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7241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24150" cy="609600"/>
                    </a:xfrm>
                    <a:prstGeom prst="rect">
                      <a:avLst/>
                    </a:prstGeom>
                  </pic:spPr>
                </pic:pic>
              </a:graphicData>
            </a:graphic>
          </wp:inline>
        </w:drawing>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08" w:line="234"/>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74" w:line="226"/>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and carries the functions that concentrate best: aggregated procurement and vendor negotiation, template legal work, the multilateral financing seat, and the continental train-the-trainers academy.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50" w:before="108"/>
      </w:pPr>
      <w:r>
        <w:rPr>
          <w:rFonts w:ascii="Calibri" w:cs="Calibri" w:eastAsia="Calibri" w:hAnsi="Calibri"/>
          <w:b/>
          <w:bCs/>
          <w:color w:val="2E6B4F"/>
          <w:sz w:val="24"/>
          <w:szCs w:val="24"/>
        </w:rPr>
        <w:t xml:space="preserve">The problem, reframed</w:t>
      </w:r>
    </w:p>
    <w:p>
      <w:pPr>
        <w:spacing w:after="74" w:line="226"/>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behind national electrification programs and the energy compacts.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50" w:before="108"/>
      </w:pPr>
      <w:r>
        <w:rPr>
          <w:rFonts w:ascii="Calibri" w:cs="Calibri" w:eastAsia="Calibri" w:hAnsi="Calibri"/>
          <w:b/>
          <w:bCs/>
          <w:color w:val="2E6B4F"/>
          <w:sz w:val="24"/>
          <w:szCs w:val="24"/>
        </w:rPr>
        <w:t xml:space="preserve">The model – one wheel, many spokes, at every level</w:t>
      </w:r>
    </w:p>
    <w:p>
      <w:pPr>
        <w:spacing w:after="74" w:line="226"/>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 – plus aggregated purchasing and vendor negotiation at continental scale, template legal work for recurring contracts, and the train-the-trainers academy.</w:t>
      </w:r>
    </w:p>
    <w:p>
      <w:pPr>
        <w:spacing w:after="74" w:line="226"/>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74" w:line="226"/>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74" w:line="226"/>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50" w:before="108"/>
      </w:pPr>
      <w:r>
        <w:rPr>
          <w:rFonts w:ascii="Calibri" w:cs="Calibri" w:eastAsia="Calibri" w:hAnsi="Calibri"/>
          <w:b/>
          <w:bCs/>
          <w:color w:val="2E6B4F"/>
          <w:sz w:val="24"/>
          <w:szCs w:val="24"/>
        </w:rPr>
        <w:t xml:space="preserve">Why it works – overhead diffused, aftercare built in</w:t>
      </w:r>
    </w:p>
    <w:p>
      <w:pPr>
        <w:spacing w:after="74" w:line="226"/>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by people already on the ground and trusted.</w:t>
      </w:r>
    </w:p>
    <w:p>
      <w:pPr>
        <w:spacing w:after="50" w:before="108"/>
      </w:pPr>
      <w:r>
        <w:rPr>
          <w:rFonts w:ascii="Calibri" w:cs="Calibri" w:eastAsia="Calibri" w:hAnsi="Calibri"/>
          <w:b/>
          <w:bCs/>
          <w:color w:val="2E6B4F"/>
          <w:sz w:val="24"/>
          <w:szCs w:val="24"/>
        </w:rPr>
        <w:t xml:space="preserve">The deployment lattice</w:t>
      </w:r>
    </w:p>
    <w:p>
      <w:pPr>
        <w:spacing w:after="74" w:line="226"/>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50" w:before="108"/>
      </w:pPr>
      <w:r>
        <w:rPr>
          <w:rFonts w:ascii="Calibri" w:cs="Calibri" w:eastAsia="Calibri" w:hAnsi="Calibri"/>
          <w:b/>
          <w:bCs/>
          <w:color w:val="2E6B4F"/>
          <w:sz w:val="24"/>
          <w:szCs w:val="24"/>
        </w:rPr>
        <w:t xml:space="preserve">One network instead of a thousand programs</w:t>
      </w:r>
    </w:p>
    <w:p>
      <w:pPr>
        <w:spacing w:after="74" w:line="226"/>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50" w:before="108"/>
      </w:pPr>
      <w:r>
        <w:rPr>
          <w:rFonts w:ascii="Calibri" w:cs="Calibri" w:eastAsia="Calibri" w:hAnsi="Calibri"/>
          <w:b/>
          <w:bCs/>
          <w:color w:val="2E6B4F"/>
          <w:sz w:val="24"/>
          <w:szCs w:val="24"/>
        </w:rPr>
        <w:t xml:space="preserve">Access first – and the jobs it unlocks</w:t>
      </w:r>
    </w:p>
    <w:p>
      <w:pPr>
        <w:spacing w:after="74" w:line="226"/>
      </w:pPr>
      <w:r>
        <w:rPr>
          <w:rFonts w:ascii="Calibri" w:cs="Calibri" w:eastAsia="Calibri" w:hAnsi="Calibri"/>
          <w:color w:val="333333"/>
          <w:sz w:val="21"/>
          <w:szCs w:val="21"/>
        </w:rPr>
        <w:t xml:space="preserve">The hubs support Mission 300 and the national energy compacts from the demand side, where access begins: productive access to electricity arrives ahead of the grid, powering irrigation, milling, cold chain and services from day one; solar home systems and clean-cooking solutions deployed through the hubs advance national goals directly; and mini-grids follow the viability gate, adding connections where they are sustainable. The architecture gives large allocations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50" w:before="108"/>
      </w:pPr>
      <w:r>
        <w:rPr>
          <w:rFonts w:ascii="Calibri" w:cs="Calibri" w:eastAsia="Calibri" w:hAnsi="Calibri"/>
          <w:b/>
          <w:bCs/>
          <w:color w:val="2E6B4F"/>
          <w:sz w:val="24"/>
          <w:szCs w:val="24"/>
        </w:rPr>
        <w:t xml:space="preserve">Engagement</w:t>
      </w:r>
    </w:p>
    <w:p>
      <w:pPr>
        <w:spacing w:after="74" w:line="226"/>
      </w:pPr>
      <w:r>
        <w:rPr>
          <w:rFonts w:ascii="Calibri" w:cs="Calibri" w:eastAsia="Calibri" w:hAnsi="Calibri"/>
          <w:color w:val="333333"/>
          <w:sz w:val="21"/>
          <w:szCs w:val="21"/>
        </w:rPr>
        <w:t xml:space="preserve">PURE Power Africa welcomes engagement from multilateral and bilateral partners, development finance institutions, foundations and aligned investors – across the full range of catalytic, concessional and commercial facilities – to build the continental deployment platform for the last mile: one architecture through which national mandates, the Sustainable Development Goals and climate commitments are delivered, country by country and pilot region by pilot region. The HQ stands in Bujumbura alongside the principal headquarters of the Trade and Development Bank (TDB), at the heart of the continent, one border from the DRC – and Burundi holds the 2026 Chairmanship of the African Union: the convening moment to launch.</w:t>
      </w:r>
    </w:p>
    <w:p>
      <w:pPr>
        <w:spacing w:after="0" w:before="8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59fdf5fe15025ca6c754d48936ebdfc3ac22d7.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2026-08-07T04:46:52.566Z</dcterms:created>
  <dcterms:modified xsi:type="dcterms:W3CDTF">2026-08-07T04:46:52.580Z</dcterms:modified>
</cp:coreProperties>
</file>

<file path=docProps/custom.xml><?xml version="1.0" encoding="utf-8"?>
<Properties xmlns="http://schemas.openxmlformats.org/officeDocument/2006/custom-properties" xmlns:vt="http://schemas.openxmlformats.org/officeDocument/2006/docPropsVTypes"/>
</file>