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note-de-présentation"/>
    <w:p>
      <w:pPr>
        <w:pStyle w:val="Heading1"/>
      </w:pPr>
      <w:r>
        <w:t xml:space="preserve">NOTE DE PRÉSENTATION</w:t>
      </w:r>
    </w:p>
    <w:p>
      <w:pPr>
        <w:pStyle w:val="FirstParagraph"/>
      </w:pPr>
      <w:r>
        <w:rPr>
          <w:bCs/>
          <w:b/>
        </w:rPr>
        <w:t xml:space="preserve">À l’attention du Bureau d’Études Stratégiques et de Développement (BESD) de la Présidence de la République</w:t>
      </w:r>
    </w:p>
    <w:p>
      <w:pPr>
        <w:pStyle w:val="BodyText"/>
      </w:pPr>
      <w:r>
        <w:rPr>
          <w:bCs/>
          <w:b/>
        </w:rPr>
        <w:t xml:space="preserve">Objet : Programme PURE Power Burundi – Segment Décentralisé. Reconnaissance comme projet présidentiel et inscription du Protocole d’Accord à l’ordre du jour du Conseil des Ministres.</w:t>
      </w:r>
    </w:p>
    <w:p>
      <w:pPr>
        <w:pStyle w:val="BodyText"/>
      </w:pPr>
      <w:r>
        <w:rPr>
          <w:bCs/>
          <w:b/>
        </w:rPr>
        <w:t xml:space="preserve">Ce qui est proposé.</w:t>
      </w:r>
      <w:r>
        <w:t xml:space="preserve"> </w:t>
      </w:r>
      <w:r>
        <w:t xml:space="preserve">Un Protocole d’Accord entre le Gouvernement (Ministère en charge de l’Énergie et, pour ses attributions, Ministère des Finances) et un partenaire privé de droit burundais, opérationnel dans le pays depuis plus de cinq ans, désigné par entente directe pour l’ensemble du Segment Décentralisé – énergie renouvelable distribuée, mini-réseaux, électrification rurale et usages productifs de l’énergie renouvelable. Le Protocole n’appelle ni garantie souveraine ni prélèvement sur le budget de l’État : la contribution du Gouvernement consiste en la politique publique, l’accès aux sites et l’endossement.</w:t>
      </w:r>
    </w:p>
    <w:p>
      <w:pPr>
        <w:pStyle w:val="BodyText"/>
      </w:pPr>
      <w:r>
        <w:rPr>
          <w:bCs/>
          <w:b/>
        </w:rPr>
        <w:t xml:space="preserve">Ce que le pays y gagne, au service de la Vision Burundi 2040-2060.</w:t>
      </w:r>
      <w:r>
        <w:t xml:space="preserve"> </w:t>
      </w:r>
      <w:r>
        <w:t xml:space="preserve">Des emplois par les chaînes de valeur agricoles que les pôles énergétiques alimentent – production, transformation, conservation, transport, services – en écho direct au projet PEAPJF et au CEFORE-RUSI de Karuzi, appelé à servir de siège opérationnel, de centre national de démonstration et d’académie de formation des formateurs du Programme. Des entrées de devises par la mobilisation de financements internationaux dédiés au Segment et par la valeur ajoutée locale. Un accès accéléré à l’électricité et aux services énergétiques dans les zones rurales, en appui du Pacte National de l’Énergie.</w:t>
      </w:r>
    </w:p>
    <w:p>
      <w:pPr>
        <w:pStyle w:val="BodyText"/>
      </w:pPr>
      <w:r>
        <w:rPr>
          <w:bCs/>
          <w:b/>
        </w:rPr>
        <w:t xml:space="preserve">La fenêtre.</w:t>
      </w:r>
      <w:r>
        <w:t xml:space="preserve"> </w:t>
      </w:r>
      <w:r>
        <w:t xml:space="preserve">Le Burundi assure la présidence de l’Union africaine en 2026. Le Programme installe à Bujumbura, aux côtés du siège principal de la Trade and Development Bank (TDB), le quartier général d’un déploiement continental dont le Burundi est le marché d’origine et le point de démonstration : un rayonnement du pays au plus haut niveau, au moment le plus opportun.</w:t>
      </w:r>
    </w:p>
    <w:p>
      <w:pPr>
        <w:pStyle w:val="BodyText"/>
      </w:pPr>
      <w:r>
        <w:rPr>
          <w:bCs/>
          <w:b/>
        </w:rPr>
        <w:t xml:space="preserve">Ce que la reconnaissance ouvre.</w:t>
      </w:r>
      <w:r>
        <w:t xml:space="preserve"> </w:t>
      </w:r>
      <w:r>
        <w:t xml:space="preserve">L’inscription du Programme au rang des projets présidentiels alignés sur la Vision 2040-2060 renforce les requêtes de l’État auprès des guichets énumérés à l’Annexe D du Protocole – notamment ASCENT et sa plateforme régionale ASCENT-REAF, SEFA, la GEAPP et sa facilité dédiée aux usages productifs, les fonds climatiques et la fenêtre catalytique de RF Catalytic Capital sur requête conjointe – sans aucun engagement financier de l’État.</w:t>
      </w:r>
    </w:p>
    <w:p>
      <w:pPr>
        <w:pStyle w:val="BodyText"/>
      </w:pPr>
      <w:r>
        <w:rPr>
          <w:bCs/>
          <w:b/>
        </w:rPr>
        <w:t xml:space="preserve">La demande.</w:t>
      </w:r>
      <w:r>
        <w:t xml:space="preserve"> </w:t>
      </w:r>
      <w:r>
        <w:t xml:space="preserve">(i) La reconnaissance du Programme comme projet présidentiel aligné sur la Vision Burundi 2040-2060 ; (ii) l’inscription du Protocole d’Accord à l’ordre du jour du Conseil des Ministres ; (iii) la coordination du BESD pour le suivi de la mise en œuvre.</w:t>
      </w:r>
    </w:p>
    <w:p>
      <w:pPr>
        <w:pStyle w:val="BodyText"/>
      </w:pPr>
      <w:r>
        <w:rPr>
          <w:iCs/>
          <w:i/>
        </w:rPr>
        <w:t xml:space="preserve">Gigawatt Burundi S.A. – Programme PURE Power Burundi</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2026-08-07T03:55:54Z</dcterms:created>
  <dcterms:modified xsi:type="dcterms:W3CDTF">2026-08-07T03:55:54Z</dcterms:modified>
</cp:coreProperties>
</file>

<file path=docProps/custom.xml><?xml version="1.0" encoding="utf-8"?>
<Properties xmlns="http://schemas.openxmlformats.org/officeDocument/2006/custom-properties" xmlns:vt="http://schemas.openxmlformats.org/officeDocument/2006/docPropsVTypes"/>
</file>