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Protocole</w:t>
      </w:r>
      <w:r>
        <w:t xml:space="preserve"> </w:t>
      </w:r>
      <w:r>
        <w:t xml:space="preserve">d’Accord</w:t>
      </w:r>
      <w:r>
        <w:t xml:space="preserve"> </w:t>
      </w:r>
      <w:r>
        <w:t xml:space="preserve">—</w:t>
      </w:r>
      <w:r>
        <w:t xml:space="preserve"> </w:t>
      </w:r>
      <w:r>
        <w:t xml:space="preserve">Segment</w:t>
      </w:r>
      <w:r>
        <w:t xml:space="preserve"> </w:t>
      </w:r>
      <w:r>
        <w:t xml:space="preserve">Décentralisé</w:t>
      </w:r>
    </w:p>
    <w:p>
      <w:pPr>
        <w:pStyle w:val="Subtitle"/>
      </w:pPr>
      <w:r>
        <w:t xml:space="preserve">Gouvernement</w:t>
      </w:r>
      <w:r>
        <w:t xml:space="preserve"> </w:t>
      </w:r>
      <w:r>
        <w:t xml:space="preserve">de</w:t>
      </w:r>
      <w:r>
        <w:t xml:space="preserve"> </w:t>
      </w:r>
      <w:r>
        <w:t xml:space="preserve">la</w:t>
      </w:r>
      <w:r>
        <w:t xml:space="preserve"> </w:t>
      </w:r>
      <w:r>
        <w:t xml:space="preserve">République</w:t>
      </w:r>
      <w:r>
        <w:t xml:space="preserve"> </w:t>
      </w:r>
      <w:r>
        <w:t xml:space="preserve">du</w:t>
      </w:r>
      <w:r>
        <w:t xml:space="preserve"> </w:t>
      </w:r>
      <w:r>
        <w:t xml:space="preserve">Burundi</w:t>
      </w:r>
      <w:r>
        <w:t xml:space="preserve"> </w:t>
      </w:r>
      <w:r>
        <w:t xml:space="preserve">·</w:t>
      </w:r>
      <w:r>
        <w:t xml:space="preserve"> </w:t>
      </w:r>
      <w:r>
        <w:t xml:space="preserve">Gigawatt</w:t>
      </w:r>
      <w:r>
        <w:t xml:space="preserve"> </w:t>
      </w:r>
      <w:r>
        <w:t xml:space="preserve">Burundi</w:t>
      </w:r>
      <w:r>
        <w:t xml:space="preserve"> </w:t>
      </w:r>
      <w:r>
        <w:t xml:space="preserve">S.A.</w:t>
      </w:r>
      <w:r>
        <w:t xml:space="preserve"> </w:t>
      </w:r>
      <w:r>
        <w:t xml:space="preserve">—</w:t>
      </w:r>
      <w:r>
        <w:t xml:space="preserve"> </w:t>
      </w:r>
      <w:r>
        <w:t xml:space="preserve">Programme</w:t>
      </w:r>
      <w:r>
        <w:t xml:space="preserve"> </w:t>
      </w:r>
      <w:r>
        <w:t xml:space="preserve">PURE</w:t>
      </w:r>
      <w:r>
        <w:t xml:space="preserve"> </w:t>
      </w:r>
      <w:r>
        <w:t xml:space="preserve">Power</w:t>
      </w:r>
      <w:r>
        <w:t xml:space="preserve"> </w:t>
      </w:r>
      <w:r>
        <w:t xml:space="preserve">Burundi</w:t>
      </w:r>
      <w:r>
        <w:t xml:space="preserve"> </w:t>
      </w:r>
      <w:r>
        <w:t xml:space="preserve">·</w:t>
      </w:r>
      <w:r>
        <w:t xml:space="preserve"> </w:t>
      </w:r>
      <w:r>
        <w:t xml:space="preserve">Version</w:t>
      </w:r>
      <w:r>
        <w:t xml:space="preserve"> </w:t>
      </w:r>
      <w:r>
        <w:t xml:space="preserve">consolidée</w:t>
      </w:r>
      <w:r>
        <w:t xml:space="preserve"> </w:t>
      </w:r>
      <w:r>
        <w:t xml:space="preserve">v07</w:t>
      </w:r>
      <w:r>
        <w:t xml:space="preserve"> </w:t>
      </w:r>
      <w:r>
        <w:t xml:space="preserve">(version</w:t>
      </w:r>
      <w:r>
        <w:t xml:space="preserve"> </w:t>
      </w:r>
      <w:r>
        <w:t xml:space="preserve">allégée)</w:t>
      </w:r>
      <w:r>
        <w:t xml:space="preserve"> </w:t>
      </w:r>
      <w:r>
        <w:t xml:space="preserve">·</w:t>
      </w:r>
      <w:r>
        <w:t xml:space="preserve"> </w:t>
      </w:r>
      <w:r>
        <w:t xml:space="preserve">5</w:t>
      </w:r>
      <w:r>
        <w:t xml:space="preserve"> </w:t>
      </w:r>
      <w:r>
        <w:t xml:space="preserve">août</w:t>
      </w:r>
      <w:r>
        <w:t xml:space="preserve"> </w:t>
      </w:r>
      <w:r>
        <w:t xml:space="preserve">2026</w:t>
      </w:r>
      <w:r>
        <w:t xml:space="preserve"> </w:t>
      </w:r>
      <w:r>
        <w:t xml:space="preserve">·</w:t>
      </w:r>
      <w:r>
        <w:t xml:space="preserve"> </w:t>
      </w:r>
      <w:r>
        <w:t xml:space="preserve">Projet</w:t>
      </w:r>
      <w:r>
        <w:t xml:space="preserve"> </w:t>
      </w:r>
      <w:r>
        <w:t xml:space="preserve">—</w:t>
      </w:r>
      <w:r>
        <w:t xml:space="preserve"> </w:t>
      </w:r>
      <w:r>
        <w:t xml:space="preserve">privilégié</w:t>
      </w:r>
      <w:r>
        <w:t xml:space="preserve"> </w:t>
      </w:r>
      <w:r>
        <w:t xml:space="preserve">et</w:t>
      </w:r>
      <w:r>
        <w:t xml:space="preserve"> </w:t>
      </w:r>
      <w:r>
        <w:t xml:space="preserve">confidentiel</w:t>
      </w:r>
    </w:p>
    <w:p>
      <w:pPr>
        <w:pStyle w:val="FirstParagraph"/>
      </w:pPr>
      <w:r>
        <w:rPr>
          <w:bCs/>
          <w:b/>
        </w:rPr>
        <w:t xml:space="preserve">RÉPUBLIQUE DU BURUNDI — PROTOCOLE D’ACCORD</w:t>
      </w:r>
    </w:p>
    <w:p>
      <w:pPr>
        <w:pStyle w:val="BodyText"/>
      </w:pPr>
      <w:r>
        <w:t xml:space="preserve">entre</w:t>
      </w:r>
      <w:r>
        <w:t xml:space="preserve"> </w:t>
      </w:r>
      <w:r>
        <w:rPr>
          <w:bCs/>
          <w:b/>
        </w:rPr>
        <w:t xml:space="preserve">LE GOUVERNEMENT DE LA RÉPUBLIQUE DU BURUNDI</w:t>
      </w:r>
      <w:r>
        <w:t xml:space="preserve">, représenté par le Ministère des Ressources Minières, Énergétiques, de l’Industrie, du Commerce et du Tourisme (MRMEICT) et, pour les stipulations relevant de ses attributions, par le Ministère des Finances, du Budget et de la Planification Économique (« le Gouvernement »)</w:t>
      </w:r>
    </w:p>
    <w:p>
      <w:pPr>
        <w:pStyle w:val="BodyText"/>
      </w:pPr>
      <w:r>
        <w:t xml:space="preserve">et</w:t>
      </w:r>
      <w:r>
        <w:t xml:space="preserve"> </w:t>
      </w:r>
      <w:r>
        <w:rPr>
          <w:bCs/>
          <w:b/>
        </w:rPr>
        <w:t xml:space="preserve">GIGAWATT BURUNDI S.A.</w:t>
      </w:r>
      <w:r>
        <w:t xml:space="preserve">, société anonyme de droit burundais, immatriculée sous le numéro RC 0059427/24 (« Gigawatt PURE Power » ou « le Partenaire »)</w:t>
      </w:r>
    </w:p>
    <w:p>
      <w:pPr>
        <w:pStyle w:val="BodyText"/>
      </w:pPr>
      <w:r>
        <w:rPr>
          <w:iCs/>
          <w:i/>
        </w:rPr>
        <w:t xml:space="preserve">relatif au Programme d’énergie renouvelable distribuée, de mini-réseaux, d’électrification rurale et d’usages productifs de l’énergie renouvelable (« Programme PURE Power Burundi »)</w:t>
      </w:r>
    </w:p>
    <w:p>
      <w:pPr>
        <w:pStyle w:val="BodyText"/>
      </w:pPr>
      <w:r>
        <w:rPr>
          <w:bCs/>
          <w:b/>
        </w:rPr>
        <w:t xml:space="preserve">PRÉAMBULE</w:t>
      </w:r>
    </w:p>
    <w:p>
      <w:pPr>
        <w:pStyle w:val="BodyText"/>
      </w:pPr>
      <w:r>
        <w:t xml:space="preserve">Considérant la Vision Burundi 2040-2060, la Stratégie d’Accès Universel à l’Électricité et le Pacte National de l’Énergie adopté dans le cadre de l’initiative Mission 300, et considérant que la stratégie nationale d’électrification au moindre coût reconnaît qu’une part significative de la population rurale ne pourra être desservie de manière économique que par des solutions décentralisées, appelées à être déployées à l’échelle nationale, segment aujourd’hui dépourvu d’opérateur désigné ;</w:t>
      </w:r>
    </w:p>
    <w:p>
      <w:pPr>
        <w:pStyle w:val="BodyText"/>
      </w:pPr>
      <w:r>
        <w:t xml:space="preserve">Considérant la loi n° 1/13 du 23 avril 2015 portant réorganisation du secteur de l’électricité, telle que révisée en mars 2024, et la loi n° 1/14 du 27 avril 2015 portant régime général des contrats de partenariat public-privé, telle que révisée par la loi n° 1/19 du 19 juillet 2019, qui ouvre la voie de l’entente directe ;</w:t>
      </w:r>
    </w:p>
    <w:p>
      <w:pPr>
        <w:pStyle w:val="BodyText"/>
      </w:pPr>
      <w:r>
        <w:t xml:space="preserve">Considérant que l’équipe dirigeante et opérationnelle du Partenaire a développé, et continue d’assurer la gestion de, la première centrale solaire de taille industrielle du pays (Mubuga, 7,5 MW), exploitée depuis plus de cinq ans dans le cadre d’un contrat d’achat d’électricité de 25 ans avec la Régie de Production et de Distribution d’Eau et d’Électricité (REGIDESO), et que le Partenaire, société de droit burundais dont les équipes opérationnelles sont établies dans le pays, dispose de la capacité opérationnelle, logistique et d’approvisionnement requise au service du Segment Décentralisé ;</w:t>
      </w:r>
    </w:p>
    <w:p>
      <w:pPr>
        <w:pStyle w:val="BodyText"/>
      </w:pPr>
      <w:r>
        <w:t xml:space="preserve">Considérant l’accord de principe du Ministère en charge de l’Énergie (lettre n° 760/CAB/5470/2026 du 17 juin 2026) pour la plateforme intégrée du Partenaire, combinant l’hydroélectricité, le solaire photovoltaïque avec stockage et, expressément, les mini-réseaux décentralisés ; l’attribution au Partenaire, par lettre n° 760/CAB/1025 du 27 mars 2025, de dix (10) sites de mini-réseaux ; et l’attribution au Partenaire, par lettre n° 760/CAB/528/2025 du 29 septembre 2025, de cinq (5) sites hydroélectriques de petite taille, dont l’inscription au périmètre du Programme est confirmée par le présent Protocole ;</w:t>
      </w:r>
    </w:p>
    <w:p>
      <w:pPr>
        <w:pStyle w:val="BodyText"/>
      </w:pPr>
      <w:r>
        <w:t xml:space="preserve">Considérant la volonté du Gouvernement de mobiliser, avec ses partenaires techniques et financiers, les financements concessionnels et mixtes dédiés au Segment Décentralisé, ce qui requiert un partenaire privé désigné et opérationnel ;</w:t>
      </w:r>
    </w:p>
    <w:p>
      <w:pPr>
        <w:pStyle w:val="BodyText"/>
      </w:pPr>
      <w:r>
        <w:rPr/>
        <w:t>Considérant le Centre de Formation Polytechnique et de Reconversion Professionnelle de Rusi (CEFORE-RUSI, Karuzi), projet présidentiel inauguré le 15 septembre 2022 et appuyé par la Banque africaine de développement, dont la vocation de centre d’excellence régional rejoint celle du Programme, ainsi que la présidence de l’Union africaine assurée par le Burundi en 2026, qui offre au pays une fenêtre continentale de démonstration ;</w:t>
      </w:r>
    </w:p>
    <w:p>
      <w:pPr>
        <w:pStyle w:val="BodyText"/>
      </w:pPr>
      <w:r>
        <w:t xml:space="preserve">Considérant enfin que le partenariat envisagé n’appelle ni garantie souveraine ni prélèvement sur le budget de l’État, la contribution du Gouvernement consistant en la politique publique, l’accès aux sites et l’endossement ;</w:t>
      </w:r>
    </w:p>
    <w:p>
      <w:pPr>
        <w:pStyle w:val="BodyText"/>
      </w:pPr>
      <w:r>
        <w:t xml:space="preserve">Les Parties conviennent de ce qui suit :</w:t>
      </w:r>
    </w:p>
    <w:p>
      <w:pPr>
        <w:pStyle w:val="BodyText"/>
      </w:pPr>
      <w:r>
        <w:rPr>
          <w:bCs/>
          <w:b/>
        </w:rPr>
        <w:t xml:space="preserve">Article 1. Objet, désignation et champ</w:t>
      </w:r>
    </w:p>
    <w:p>
      <w:pPr>
        <w:pStyle w:val="BodyText"/>
      </w:pPr>
      <w:r>
        <w:t xml:space="preserve">Le présent Protocole établit un partenariat-cadre pour la préparation, le financement et la mise en œuvre du Programme PURE Power Burundi, couvrant l’énergie renouvelable distribuée, les mini-réseaux, l’électrification rurale et les usages productifs de l’énergie renouvelable, déployés notamment sous forme de pôles énergétiques à usages productifs (« pôles énergétiques » ou « PURE Power Hubs ») (ensemble, le « Segment Décentralisé »). Le Gouvernement désigne le Partenaire, par entente directe conformément à la loi n° 1/14 du 27 avril 2015 telle que révisée par la loi n° 1/19 du 19 juillet 2019, comme son partenaire du secteur privé pour l’ensemble du Segment Décentralisé à l’échelle nationale, couvrant tant le développement de nouveaux sites que la réhabilitation d’installations existantes, contrepartie privée de l’opérateur de réseau pour le pilier décentralisé, en qualité de développeur délégué agissant en coordination avec l’Agence Burundaise de l’Électrification Rurale (ABER). Les sites qui lui sont attribués, énumérés à l’Annexe A, constituent la première tranche indicative d’un modèle conçu pour une réplication nationale au service de l’électrification de l’ensemble du pays. Pour les programmes financés par les bailleurs de fonds, la présente désignation vaut désignation de promoteur au sens de leurs règles, sans préjudice de leurs procédures.</w:t>
      </w:r>
    </w:p>
    <w:p>
      <w:pPr>
        <w:pStyle w:val="BodyText"/>
      </w:pPr>
      <w:r>
        <w:rPr>
          <w:bCs/>
          <w:b/>
        </w:rPr>
        <w:t xml:space="preserve">Article 2. Complémentarité et intégration au réseau</w:t>
      </w:r>
    </w:p>
    <w:p>
      <w:pPr>
        <w:pStyle w:val="BodyText"/>
      </w:pPr>
      <w:r>
        <w:t xml:space="preserve">Le Programme est conçu en stricte complémentarité avec le réseau national exploité par la REGIDESO, le périmètre du partenariat public-privé de distribution et les interventions de l’ABER. Il construit la demande locale en amont de l’arrivée du réseau. Les installations, conformes aux normes nationales et harmonisées, sont conçues prêtes à l’intégration ultérieure au réseau. Les Parties établissent, avec l’Autorité de Régulation des secteurs de l’Eau potable et de l’Énergie (AREEN) et la REGIDESO, un cadre préétabli d’arrivée du réseau (normes d’interconnexion et, selon le cas, conversion de l’exploitation en distribution locale ou reprise indemnisée des actifs), conformément aux pratiques exigées par les prêteurs pour écarter le risque d’actifs échoués.</w:t>
      </w:r>
    </w:p>
    <w:p>
      <w:pPr>
        <w:pStyle w:val="BodyText"/>
      </w:pPr>
      <w:r>
        <w:rPr>
          <w:bCs/>
          <w:b/>
        </w:rPr>
        <w:t xml:space="preserve">Article 3. Périmètre, flexibilité des sites et Programme pilote</w:t>
      </w:r>
    </w:p>
    <w:p>
      <w:pPr>
        <w:pStyle w:val="BodyText"/>
      </w:pPr>
      <w:r>
        <w:t xml:space="preserve">Le périmètre du Programme est constitué des sites énumérés à l’Annexe A, qui en forment la première tranche. L’Annexe A est indicative et évolutive : elle peut être complétée ou actualisée, y compris par substitution de sites, par notification écrite au Comité technique conjoint visé à l’Article 7, après consultation, sans qu’une modification du présent Protocole soit nécessaire. Le périmètre pourra être étendu d’un commun accord à d’autres zones non desservies.</w:t>
      </w:r>
    </w:p>
    <w:p>
      <w:pPr>
        <w:pStyle w:val="BodyText"/>
      </w:pPr>
      <w:r>
        <w:t xml:space="preserve">Le Programme pilote est mis en œuvre en deux phases. Phase 1 : Nyamugari (Cankuzo) et Muhwazi (Ruyigi), déployés initialement en pôles énergétiques, avec intégration ultérieure en mini-réseaux. Phase 2 : les huit (8) autres sites de la section A.1, selon un plan approuvé par le Comité technique conjoint. La solution retenue pour chaque site (pôle énergétique à usages productifs, mini-réseau, solution hybride ou raccordement) et son séquencement sont déterminés au cas par cas, selon les études de faisabilité, la viabilité technique et économique, les financements disponibles et le plan directeur ; les mini-réseaux peuvent être déployés directement et sans délai lorsque les conditions et les financements le permettent. Chaque site est retenu sous réserve de sa viabilité et de la disponibilité de financements ; le présent Protocole ne crée aucune obligation de desserte universelle, aucune obligation de desservir un site déterminé, ni aucun déploiement de réseaux de distribution à grande échelle à la charge du Partenaire.</w:t>
      </w:r>
    </w:p>
    <w:p>
      <w:pPr>
        <w:pStyle w:val="BodyText"/>
      </w:pPr>
      <w:r>
        <w:t xml:space="preserve">Les pôles énergétiques à usages productifs comprennent la production et le stockage d’énergie renouvelable, les services énergétiques et la valorisation des ressources locales. Ils peuvent notamment accueillir : la vente et le service après-vente de solutions de cuisson propre, de systèmes solaires domestiques et d’autres équipements ; la valorisation énergétique des résidus et l’économie circulaire (briquettes, fertilisant organique, biochar et biogaz) ; la mobilité électrique et la logistique de dernier kilomètre ; l’incubation d’entreprises rurales ; l’appui aux services d’éducation, de santé et d’eau potable en partenariat avec les acteurs sectoriels compétents ; ainsi que la formation et la création d’emplois locaux, une priorité étant donnée à l’autonomisation des femmes ainsi qu’à l’entrepreneuriat et à l’emploi des jeunes. Les coopératives existantes en sont des bénéficiaires et des partenaires de premier rang. Ces activités sont mises en œuvre selon les études, les financements et les partenariats applicables, sans qu’aucune d’elles n’emporte obligation au titre du présent Protocole.</w:t>
      </w:r>
    </w:p>
    <w:p>
      <w:pPr>
        <w:pStyle w:val="BodyText"/>
      </w:pPr>
      <w:r>
        <w:t xml:space="preserve">Font également partie du périmètre les cinq (5) sites hydroélectriques de petite taille attribués au Partenaire par lettre n° 760/CAB/528/2025 du 29 septembre 2025 (Annexe A, section A.2), dont le Gouvernement confirme l’inscription au périmètre du Programme, ainsi que, selon des modalités à convenir, la réhabilitation de sites hydroélectriques existants. Développés en premier lieu hors réseau, au service de l’électrification rurale, des pôles énergétiques et des communautés environnantes, et agrégés financièrement avec les sites de la section A.1 pour la bancabilité de l’ensemble, ces sites sont conçus prêts à l’intégration au réseau national à son arrivée, conformément au plan directeur et selon les modalités de l’Article 2.</w:t>
      </w:r>
    </w:p>
    <w:p>
      <w:pPr>
        <w:pStyle w:val="BodyText"/>
      </w:pPr>
      <w:r>
        <w:rPr>
          <w:b/>
        </w:rPr>
        <w:t>Article 3 bis. Siège opérationnel, démonstration et statut</w:t>
      </w:r>
    </w:p>
    <w:p>
      <w:pPr>
        <w:pStyle w:val="BodyText"/>
      </w:pPr>
      <w:r>
        <w:rPr/>
        <w:t>Les Parties conviennent d’établir le siège opérationnel du Programme, son centre national de démonstration et son académie de formation – y compris la formation des formateurs – au Centre de Formation Polytechnique et de Reconversion Professionnelle de Rusi (CEFORE-RUSI) à Karuzi, sous réserve d’une convention de collaboration à conclure avec le Centre et ses ministères de tutelle, les emprises et modalités précises demeurant indicatives jusqu’à ladite convention. Premier pôle-école du Programme, le site a vocation à servir de point de démonstration, de plateau de préparation des équipements et de campus de formation au service du déploiement national puis, le Burundi étant le marché d’origine du modèle, de son rayonnement panafricain, en coopération, le cas échéant, avec la TDB Academy et les partenaires académiques.</w:t>
      </w:r>
    </w:p>
    <w:p>
      <w:pPr>
        <w:pStyle w:val="BodyText"/>
      </w:pPr>
      <w:r>
        <w:rPr/>
        <w:t>Le Gouvernement entend soutenir, par l’entremise du Bureau d’Études Stratégiques et de Développement (BESD) de la Présidence de la République, la reconnaissance du Programme comme projet présidentiel aligné sur la Vision Burundi 2040-2060, au titre de la contribution du Programme à l’emploi, aux entrées de devises et au rayonnement du pays. Cette reconnaissance a vocation à ouvrir au Programme les guichets et appuis réservés aux initiatives portées au plus haut niveau de l’État, notamment ceux visés à l’Annexe D, sans emporter par elle-même aucune obligation financière à la charge de l’État.</w:t>
      </w:r>
    </w:p>
    <w:p>
      <w:pPr>
        <w:pStyle w:val="BodyText"/>
      </w:pPr>
      <w:r>
        <w:rPr>
          <w:bCs/>
          <w:b/>
        </w:rPr>
        <w:t xml:space="preserve">Article 4. Autorité conférée et passation des marchés</w:t>
      </w:r>
    </w:p>
    <w:p>
      <w:pPr>
        <w:pStyle w:val="BodyText"/>
      </w:pPr>
      <w:r>
        <w:t xml:space="preserve">Aux fins de la préparation et de la mise en œuvre du Programme, le Gouvernement confère au Partenaire l’autorité pour la passation des marchés de biens, de travaux et de services nécessaires sur le périmètre défini à l’Article 3, dans le respect des règles applicables et, le cas échéant, des procédures des bailleurs de fonds. Le Gouvernement reconnaît le Partenaire comme entité de mise en œuvre pressentie des composantes relevant du Segment Décentralisé au sein des financements publics et concessionnels mobilisés à cette fin, y compris tout financement additionnel ou nouvelle phase au titre du programme ASCENT et de la Mission 300. Les procédures de passation et de sauvegarde des bailleurs prévalent pour les activités qu’ils financent ; la présente désignation s’entend sans préjudice desdites procédures et ne confère aucun droit à l’attribution de marchés financés par les bailleurs en dehors de celles-ci. Les Parties se conforment aux règles d’intégrité des bailleurs de fonds.</w:t>
      </w:r>
    </w:p>
    <w:p>
      <w:pPr>
        <w:pStyle w:val="BodyText"/>
      </w:pPr>
      <w:r>
        <w:rPr>
          <w:bCs/>
          <w:b/>
        </w:rPr>
        <w:t xml:space="preserve">Article 5. Engagements des Parties</w:t>
      </w:r>
    </w:p>
    <w:p>
      <w:pPr>
        <w:pStyle w:val="BodyText"/>
      </w:pPr>
      <w:r>
        <w:t xml:space="preserve">Le Partenaire s’engage à constituer la société de projet et les équipes nécessaires, réaliser les études de faisabilité, environnementales, sociales et tarifaires requises, mobiliser un financement mixte et y contribuer par ses apports propres, en nature en priorité et, en tant que de besoin, en numéraire, réaliser et exploiter les installations conformément aux normes nationales et aux standards internationaux, mettre en place une académie de formation et des engagements de contenu local privilégiant des carrières au sein des pôles plutôt que des emplois limités à la phase de construction, associer les coopératives, les jeunes et les femmes, poursuivre les cibles dont les indicateurs figurent en Annexe B en en rendant compte au Comité technique conjoint. Les engagements de mise en œuvre du Gouvernement, structurés par ministère (Énergie ; Finances), ainsi que les engagements relevant des ministres sectoriels compétents mis en œuvre selon l’Article 8, figurent en Annexe C. Le Programme n’emporte aucun prélèvement sur le budget de l’État.</w:t>
      </w:r>
    </w:p>
    <w:p>
      <w:pPr>
        <w:pStyle w:val="BodyText"/>
      </w:pPr>
      <w:r>
        <w:rPr>
          <w:bCs/>
          <w:b/>
        </w:rPr>
        <w:t xml:space="preserve">Article 6. Financement</w:t>
      </w:r>
    </w:p>
    <w:p>
      <w:pPr>
        <w:pStyle w:val="BodyText"/>
      </w:pPr>
      <w:r>
        <w:t xml:space="preserve">Les Parties adoptent une approche de financement mixte et conviennent d’approcher conjointement les partenaires techniques et financiers. Le Gouvernement inscrit le Segment Décentralisé, avec le Partenaire comme entité de mise en œuvre, dans ses requêtes de financement pertinentes, selon les modalités précisées en Annexe C. Le partenariat vise à faciliter la mobilisation des financements internationaux ouverts au Burundi, notamment dans le cadre de l’initiative Mission 300 et des guichets multilatéraux et sectoriels dont une liste indicative et non limitative figure en Annexe D, sans engagement desdites institutions. Les Parties peuvent mobiliser les facilités d’assistance technique et de préparation de projets des partenaires pour financer les études, la structuration et le renforcement des capacités, sans charge pour le budget de l’État. Les financements publics ainsi mobilisés bénéficient au Programme et à ses usagers ; ils ne constituent pas une subvention de fonctionnement de l’opérateur.</w:t>
      </w:r>
    </w:p>
    <w:p>
      <w:pPr>
        <w:pStyle w:val="BodyText"/>
      </w:pPr>
      <w:r>
        <w:rPr>
          <w:bCs/>
          <w:b/>
        </w:rPr>
        <w:t xml:space="preserve">Article 7. Gouvernance</w:t>
      </w:r>
    </w:p>
    <w:p>
      <w:pPr>
        <w:pStyle w:val="BodyText"/>
      </w:pPr>
      <w:r>
        <w:t xml:space="preserve">Un Comité technique conjoint, présidé par le Ministère en charge de l’Énergie, le Ministère en charge des Finances y participant pour les volets relevant de ses attributions, et comprenant l’ABER, l’AREEN, la REGIDESO et le Partenaire, les partenaires techniques et financiers concernés pouvant y être associés en qualité d’observateurs, approuve les plans de mise en œuvre, reçoit les notifications d’actualisation de l’Annexe A et assure le suivi du Programme sur le cadre de résultats codétenu dont les indicateurs figurent en Annexe B. Les Parties désignent leurs points de contact dans les quinze (15) jours de la signature. Le Comité procède à une revue annuelle des performances.</w:t>
      </w:r>
    </w:p>
    <w:p>
      <w:pPr>
        <w:pStyle w:val="BodyText"/>
      </w:pPr>
      <w:r>
        <w:rPr>
          <w:bCs/>
          <w:b/>
        </w:rPr>
        <w:t xml:space="preserve">Article 8. Extension par annexes sectorielles</w:t>
      </w:r>
    </w:p>
    <w:p>
      <w:pPr>
        <w:pStyle w:val="BodyText"/>
      </w:pPr>
      <w:r>
        <w:t xml:space="preserve">Le présent Protocole constitue un cadre auquel des annexes sectorielles peuvent être adjointes, conclues entre le Partenaire, le Ministère en charge de l’Énergie et le ministère sectoriel compétent, et notifiées au Conseil des Ministres. Sont notamment anticipées des annexes avec les secteurs de l’Environnement, de l’Agriculture et de l’Élevage (volets climat, restauration des paysages et normes de cuisson propre), de la Santé (solarisation des formations sanitaires), de l’Éducation (connectivité scolaire), de l’Eau (délégation de services ruraux) et du Numérique, les pôles énergétiques servant d’infrastructure de livraison des programmes nationaux correspondants. Les annexes sectorielles n’emportent aucune contrepartie financière de l’État ; les activités qu’elles couvrent sont financées selon les instruments et règles des bailleurs de fonds concernés.</w:t>
      </w:r>
    </w:p>
    <w:p>
      <w:pPr>
        <w:pStyle w:val="BodyText"/>
      </w:pPr>
      <w:r>
        <w:rPr>
          <w:bCs/>
          <w:b/>
        </w:rPr>
        <w:t xml:space="preserve">Article 9. Exclusivité</w:t>
      </w:r>
    </w:p>
    <w:p>
      <w:pPr>
        <w:pStyle w:val="BodyText"/>
      </w:pPr>
      <w:r>
        <w:t xml:space="preserve">Pendant la durée du présent Protocole, le Partenaire bénéficie de l’exclusivité de la préparation et de la mise en œuvre du Programme sur les sites et programmes visés à l’Article 3, y compris tels qu’actualisés en Annexe A, ainsi que d’un droit de première proposition sur tout nouveau site ou programme relevant du Segment Décentralisé que le Gouvernement entend développer avec le secteur privé. Pendant la même durée, le Gouvernement s’abstient de désigner un autre partenaire-cadre pour le Segment Décentralisé, dans des conditions comparables à celles du partenariat de distribution en réseau. La présente exclusivité s’attache au rôle de partenaire-cadre ainsi qu’aux sites et programmes définis ; elle ne fait pas obstacle aux programmes publics existants ni aux projets que le Partenaire n’aurait pas retenus à l’issue de son droit de première proposition, et laisse entières les compétences de régulation de l’AREEN.</w:t>
      </w:r>
    </w:p>
    <w:p>
      <w:pPr>
        <w:pStyle w:val="BodyText"/>
      </w:pPr>
      <w:r>
        <w:rPr>
          <w:bCs/>
          <w:b/>
        </w:rPr>
        <w:t xml:space="preserve">Article 10. Durée, revue et résiliation</w:t>
      </w:r>
    </w:p>
    <w:p>
      <w:pPr>
        <w:pStyle w:val="BodyText"/>
      </w:pPr>
      <w:r>
        <w:t xml:space="preserve">Le présent Protocole est conclu pour une durée initiale de trente-six (36) mois. Il est prorogé de plein droit pour une nouvelle période de trente-six (36) mois dès lors que le Comité technique conjoint constate le démarrage effectif de la mise en œuvre, notamment l’engagement de la réalisation des premiers pôles énergétiques ; il demeure renouvelable au-delà d’un commun accord. Sa mise en œuvre fait l’objet de la revue annuelle prévue à l’Article 7. Chaque Partie peut le résilier pour manquement grave non remédié dans les soixante (60) jours d’une mise en demeure écrite. Sur la base des résultats de la Phase 1, les Parties engageront la négociation d’un accord-cadre et, le cas échéant, des concessions et contrats de partenariat public-privé nécessaires à la mise en œuvre du Programme à l’échelle nationale.</w:t>
      </w:r>
    </w:p>
    <w:p>
      <w:pPr>
        <w:pStyle w:val="BodyText"/>
      </w:pPr>
      <w:r>
        <w:rPr>
          <w:bCs/>
          <w:b/>
        </w:rPr>
        <w:t xml:space="preserve">Article 11. Dispositions diverses</w:t>
      </w:r>
    </w:p>
    <w:p>
      <w:pPr>
        <w:pStyle w:val="BodyText"/>
      </w:pPr>
      <w:r>
        <w:t xml:space="preserve">Les Articles 1er, 4, 9 et le présent Article lient les Parties ; le surplus, y compris l’Annexe C, exprime leur intention commune et n’emporte pas d’obligation financière à la charge de l’État autre que celles expressément prévues. Tout différend est réglé à l’amiable. Le présent Protocole est établi en deux exemplaires originaux en langue française. Les Annexes A, B, C et D en font partie intégrante.</w:t>
      </w:r>
    </w:p>
    <w:p>
      <w:pPr>
        <w:pStyle w:val="BodyText"/>
      </w:pPr>
      <w:r>
        <w:t xml:space="preserve">Fait à Bujumbura, le _____________________ 2026, en deux exemplaires originaux.</w:t>
      </w:r>
    </w:p>
    <w:p>
      <w:pPr>
        <w:pStyle w:val="BodyText"/>
      </w:pPr>
      <w:r>
        <w:rPr>
          <w:bCs/>
          <w:b/>
        </w:rPr>
        <w:t xml:space="preserve">Pour le Gouvernement de la République du Burundi :</w:t>
      </w:r>
      <w:r>
        <w:t xml:space="preserve"> </w:t>
      </w:r>
      <w:r>
        <w:t xml:space="preserve">Dr Hassan KIBEYA, Ministre des Ressources Minières, Énergétiques, de l’Industrie, du Commerce et du Tourisme — Et, pour les stipulations relevant de ses attributions (notamment la section C.2 de l’Annexe C) : Alain NDIKUMANA, Ministre des Finances, du Budget et de la Planification Économique.</w:t>
      </w:r>
    </w:p>
    <w:p>
      <w:pPr>
        <w:pStyle w:val="BodyText"/>
      </w:pPr>
      <w:r>
        <w:rPr>
          <w:bCs/>
          <w:b/>
        </w:rPr>
        <w:t xml:space="preserve">Pour Gigawatt Burundi S.A. :</w:t>
      </w:r>
      <w:r>
        <w:t xml:space="preserve"> </w:t>
      </w:r>
      <w:r>
        <w:t xml:space="preserve">Michael FICHTENBERG, Directeur Général.</w:t>
      </w:r>
    </w:p>
    <w:bookmarkStart w:id="20" w:name="annexe-a.-périmètre-du-programme"/>
    <w:p>
      <w:pPr>
        <w:pStyle w:val="Heading2"/>
      </w:pPr>
      <w:r>
        <w:t xml:space="preserve">Annexe A. Périmètre du Programme</w:t>
      </w:r>
    </w:p>
    <w:p>
      <w:pPr>
        <w:pStyle w:val="FirstParagraph"/>
      </w:pPr>
      <w:r>
        <w:rPr>
          <w:bCs/>
          <w:b/>
        </w:rPr>
        <w:t xml:space="preserve">A.1. Dix (10) sites attribués (lettre n° 760/CAB/1025 du 27 mars 2025)</w:t>
      </w:r>
    </w:p>
    <w:p>
      <w:pPr>
        <w:pStyle w:val="Compact"/>
        <w:numPr>
          <w:ilvl w:val="0"/>
          <w:numId w:val="1001"/>
        </w:numPr>
      </w:pPr>
      <w:r>
        <w:t xml:space="preserve">Don Divin / Gatabo - Gatabo, Makamba (-4,087073 ; 30,112315) ; 2. Muhwazi - Gatare-Gasenyi, Ruyigi - Phase 1 (site prêt) (-3,632486 ; 30,251614) ; 3. Gatwe - Sampeke, Makamba (-4,223002 ; 29,991890) ; 4. Ruzo - Ruzo, Muyinga (-2,402882 ; 30,438438) ; 5. Agakiza - Kabonga, Makamba (-4,404038 ; 29,665574) ; 6. Amagara n’ikindi - Mwegereza, Ruyigi (-3,485748 ; 30,363133) ; 7. Nyamugari - Nyamugari, Cankuzo - Phase 1 (site prêt) (-3,331903 ; 30,556412) ; 8. Mugeni - Mugeni, Makamba (-4,117272 ; 30,054907) ; 9. Mago - Mago, Ruyigi (-3,492815 ; 30,340337) ; 10. Camazi - Kamazi, Cankuzo (-3,200187 ; 30,772249).</w:t>
      </w:r>
    </w:p>
    <w:p>
      <w:pPr>
        <w:pStyle w:val="FirstParagraph"/>
      </w:pPr>
      <w:r>
        <w:rPr>
          <w:iCs/>
          <w:i/>
        </w:rPr>
        <w:t xml:space="preserve">Coordonnées géographiques (latitude ; longitude) conformes au tableau annexé à la lettre d’attribution n° 760/CAB/1025 du 27 mars 2025.</w:t>
      </w:r>
    </w:p>
    <w:p>
      <w:pPr>
        <w:pStyle w:val="BodyText"/>
      </w:pPr>
      <w:r>
        <w:rPr>
          <w:bCs/>
          <w:b/>
        </w:rPr>
        <w:t xml:space="preserve">A.2. Sites hydroélectriques de petite taille (lettre n° 760/CAB/528/2025 du 29 septembre 2025)</w:t>
      </w:r>
    </w:p>
    <w:p>
      <w:pPr>
        <w:pStyle w:val="Compact"/>
        <w:numPr>
          <w:ilvl w:val="0"/>
          <w:numId w:val="1002"/>
        </w:numPr>
      </w:pPr>
      <w:r>
        <w:t xml:space="preserve">NYEN 006 - cascade de la Nyengwe, 2 943 kW ; 2. NYEN 010 - cascade de la Nyengwe, 1 681 kW ; 3. NYEN 029 - cascade de la Nyengwe, 3 419 kW ; 4. MUSHA 008 - rivière Mushara, 1 020 kW ; 5. MUTSI 032 - rivière Mutsindozi, 1 800 kW.</w:t>
      </w:r>
    </w:p>
    <w:p>
      <w:pPr>
        <w:pStyle w:val="FirstParagraph"/>
      </w:pPr>
      <w:r>
        <w:rPr>
          <w:iCs/>
          <w:i/>
        </w:rPr>
        <w:t xml:space="preserve">Sites dont l’inscription au périmètre du Programme est confirmée par le présent Protocole (Article 3) ; sécurisation administrative achevée en Phase 1 avec la REGIDESO, l’ABER et l’AREEN. Développement initialement hors réseau au service de l’électrification rurale ; installations conçues prêtes à l’intégration au réseau national.</w:t>
      </w:r>
    </w:p>
    <w:bookmarkEnd w:id="20"/>
    <w:bookmarkStart w:id="21" w:name="X9841ea28d274b17fde7e7098a2a78b9f846bc4c"/>
    <w:p>
      <w:pPr>
        <w:pStyle w:val="Heading2"/>
      </w:pPr>
      <w:r>
        <w:t xml:space="preserve">Annexe B. Emplois et Objectifs de Développement Durable (ODD)</w:t>
      </w:r>
    </w:p>
    <w:p>
      <w:pPr>
        <w:pStyle w:val="FirstParagraph"/>
      </w:pPr>
      <w:r>
        <w:t xml:space="preserve">La présente annexe fixe les domaines de résultats, les indicateurs et les responsables. Les cibles chiffrées sont arrêtées et suivies par le Comité technique conjoint sur le cadre de résultats codétenu, avec le partenariat universitaire de mesure.</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Domaine de résultats</w:t>
            </w:r>
          </w:p>
        </w:tc>
        <w:tc>
          <w:tcPr/>
          <w:p>
            <w:pPr>
              <w:pStyle w:val="Compact"/>
              <w:jc w:val="left"/>
            </w:pPr>
            <w:r>
              <w:t xml:space="preserve">Indicateurs</w:t>
            </w:r>
          </w:p>
        </w:tc>
        <w:tc>
          <w:tcPr/>
          <w:p>
            <w:pPr>
              <w:pStyle w:val="Compact"/>
              <w:jc w:val="left"/>
            </w:pPr>
            <w:r>
              <w:t xml:space="preserve">Responsable</w:t>
            </w:r>
          </w:p>
        </w:tc>
        <w:tc>
          <w:tcPr/>
          <w:p>
            <w:pPr>
              <w:pStyle w:val="Compact"/>
              <w:jc w:val="left"/>
            </w:pPr>
            <w:r>
              <w:t xml:space="preserve">ODD</w:t>
            </w:r>
          </w:p>
        </w:tc>
      </w:tr>
      <w:tr>
        <w:tc>
          <w:tcPr/>
          <w:p>
            <w:pPr>
              <w:pStyle w:val="Compact"/>
              <w:jc w:val="left"/>
            </w:pPr>
            <w:r>
              <w:t xml:space="preserve">Pôles opérationnels</w:t>
            </w:r>
          </w:p>
        </w:tc>
        <w:tc>
          <w:tcPr/>
          <w:p>
            <w:pPr>
              <w:pStyle w:val="Compact"/>
              <w:jc w:val="left"/>
            </w:pPr>
            <w:r>
              <w:t xml:space="preserve">Pôles énergisés ; capacité renouvelable (kW) et stockage (kWh) ; unités d’usage productif en service ; chaînes de valeur desservies</w:t>
            </w:r>
          </w:p>
        </w:tc>
        <w:tc>
          <w:tcPr/>
          <w:p>
            <w:pPr>
              <w:pStyle w:val="Compact"/>
              <w:jc w:val="left"/>
            </w:pPr>
            <w:r>
              <w:t xml:space="preserve">Partenaire</w:t>
            </w:r>
          </w:p>
        </w:tc>
        <w:tc>
          <w:tcPr/>
          <w:p>
            <w:pPr>
              <w:pStyle w:val="Compact"/>
              <w:jc w:val="left"/>
            </w:pPr>
            <w:r>
              <w:t xml:space="preserve">7, 9</w:t>
            </w:r>
          </w:p>
        </w:tc>
      </w:tr>
      <w:tr>
        <w:tc>
          <w:tcPr/>
          <w:p>
            <w:pPr>
              <w:pStyle w:val="Compact"/>
              <w:jc w:val="left"/>
            </w:pPr>
            <w:r>
              <w:t xml:space="preserve">Coopératives équipées et renforcées</w:t>
            </w:r>
          </w:p>
        </w:tc>
        <w:tc>
          <w:tcPr/>
          <w:p>
            <w:pPr>
              <w:pStyle w:val="Compact"/>
              <w:jc w:val="left"/>
            </w:pPr>
            <w:r>
              <w:t xml:space="preserve">Coopératives appuyées ; intrants distribués ; jeunes agronomes formés et rémunérés ; arbres plantés</w:t>
            </w:r>
          </w:p>
        </w:tc>
        <w:tc>
          <w:tcPr/>
          <w:p>
            <w:pPr>
              <w:pStyle w:val="Compact"/>
              <w:jc w:val="left"/>
            </w:pPr>
            <w:r>
              <w:t xml:space="preserve">Partenaire</w:t>
            </w:r>
          </w:p>
        </w:tc>
        <w:tc>
          <w:tcPr/>
          <w:p>
            <w:pPr>
              <w:pStyle w:val="Compact"/>
              <w:jc w:val="left"/>
            </w:pPr>
            <w:r>
              <w:t xml:space="preserve">1, 2, 8, 15</w:t>
            </w:r>
          </w:p>
        </w:tc>
      </w:tr>
      <w:tr>
        <w:tc>
          <w:tcPr/>
          <w:p>
            <w:pPr>
              <w:pStyle w:val="Compact"/>
              <w:jc w:val="left"/>
            </w:pPr>
            <w:r>
              <w:t xml:space="preserve">Accès et services énergétiques</w:t>
            </w:r>
          </w:p>
        </w:tc>
        <w:tc>
          <w:tcPr/>
          <w:p>
            <w:pPr>
              <w:pStyle w:val="Compact"/>
              <w:jc w:val="left"/>
            </w:pPr>
            <w:r>
              <w:t xml:space="preserve">Ménages desservis ; systèmes solaires domestiques déployés ; solutions de cuisson propre distribuées</w:t>
            </w:r>
          </w:p>
        </w:tc>
        <w:tc>
          <w:tcPr/>
          <w:p>
            <w:pPr>
              <w:pStyle w:val="Compact"/>
              <w:jc w:val="left"/>
            </w:pPr>
            <w:r>
              <w:t xml:space="preserve">Partenaire</w:t>
            </w:r>
          </w:p>
        </w:tc>
        <w:tc>
          <w:tcPr/>
          <w:p>
            <w:pPr>
              <w:pStyle w:val="Compact"/>
              <w:jc w:val="left"/>
            </w:pPr>
            <w:r>
              <w:t xml:space="preserve">3, 5, 7</w:t>
            </w:r>
          </w:p>
        </w:tc>
      </w:tr>
      <w:tr>
        <w:tc>
          <w:tcPr/>
          <w:p>
            <w:pPr>
              <w:pStyle w:val="Compact"/>
              <w:jc w:val="left"/>
            </w:pPr>
            <w:r>
              <w:t xml:space="preserve">Valorisation des déchets</w:t>
            </w:r>
          </w:p>
        </w:tc>
        <w:tc>
          <w:tcPr/>
          <w:p>
            <w:pPr>
              <w:pStyle w:val="Compact"/>
              <w:jc w:val="left"/>
            </w:pPr>
            <w:r>
              <w:t xml:space="preserve">Capacité biogaz (kW) ; résidus et fumiers valorisés (t/an) ; fertilisant et biochar distribués (t/an) ; briquettes produites</w:t>
            </w:r>
          </w:p>
        </w:tc>
        <w:tc>
          <w:tcPr/>
          <w:p>
            <w:pPr>
              <w:pStyle w:val="Compact"/>
              <w:jc w:val="left"/>
            </w:pPr>
            <w:r>
              <w:t xml:space="preserve">Partenaire</w:t>
            </w:r>
          </w:p>
        </w:tc>
        <w:tc>
          <w:tcPr/>
          <w:p>
            <w:pPr>
              <w:pStyle w:val="Compact"/>
              <w:jc w:val="left"/>
            </w:pPr>
            <w:r>
              <w:t xml:space="preserve">7, 12, 13, 15</w:t>
            </w:r>
          </w:p>
        </w:tc>
      </w:tr>
      <w:tr>
        <w:tc>
          <w:tcPr/>
          <w:p>
            <w:pPr>
              <w:pStyle w:val="Compact"/>
              <w:jc w:val="left"/>
            </w:pPr>
            <w:r>
              <w:t xml:space="preserve">Mobilité électrique et accès aux marchés</w:t>
            </w:r>
          </w:p>
        </w:tc>
        <w:tc>
          <w:tcPr/>
          <w:p>
            <w:pPr>
              <w:pStyle w:val="Compact"/>
              <w:jc w:val="left"/>
            </w:pPr>
            <w:r>
              <w:t xml:space="preserve">Points de charge en service ; véhicules exploités via les coopératives ; volumes évacués vers les marchés</w:t>
            </w:r>
          </w:p>
        </w:tc>
        <w:tc>
          <w:tcPr/>
          <w:p>
            <w:pPr>
              <w:pStyle w:val="Compact"/>
              <w:jc w:val="left"/>
            </w:pPr>
            <w:r>
              <w:t xml:space="preserve">Partenaire / coopératives</w:t>
            </w:r>
          </w:p>
        </w:tc>
        <w:tc>
          <w:tcPr/>
          <w:p>
            <w:pPr>
              <w:pStyle w:val="Compact"/>
              <w:jc w:val="left"/>
            </w:pPr>
            <w:r>
              <w:t xml:space="preserve">8, 9, 11</w:t>
            </w:r>
          </w:p>
        </w:tc>
      </w:tr>
      <w:tr>
        <w:tc>
          <w:tcPr/>
          <w:p>
            <w:pPr>
              <w:pStyle w:val="Compact"/>
              <w:jc w:val="left"/>
            </w:pPr>
            <w:r>
              <w:t xml:space="preserve">Entreprises, emplois et investissements</w:t>
            </w:r>
          </w:p>
        </w:tc>
        <w:tc>
          <w:tcPr/>
          <w:p>
            <w:pPr>
              <w:pStyle w:val="Compact"/>
              <w:jc w:val="left"/>
            </w:pPr>
            <w:r>
              <w:t xml:space="preserve">Entreprises incubées ; emplois directs et indirects (part des femmes et des jeunes) ; investissements mobilisés (USD)</w:t>
            </w:r>
          </w:p>
        </w:tc>
        <w:tc>
          <w:tcPr/>
          <w:p>
            <w:pPr>
              <w:pStyle w:val="Compact"/>
              <w:jc w:val="left"/>
            </w:pPr>
            <w:r>
              <w:t xml:space="preserve">Partenaire / Comité</w:t>
            </w:r>
          </w:p>
        </w:tc>
        <w:tc>
          <w:tcPr/>
          <w:p>
            <w:pPr>
              <w:pStyle w:val="Compact"/>
              <w:jc w:val="left"/>
            </w:pPr>
            <w:r>
              <w:t xml:space="preserve">1, 5, 8, 10</w:t>
            </w:r>
          </w:p>
        </w:tc>
      </w:tr>
      <w:tr>
        <w:tc>
          <w:tcPr/>
          <w:p>
            <w:pPr>
              <w:pStyle w:val="Compact"/>
              <w:jc w:val="left"/>
            </w:pPr>
            <w:r>
              <w:t xml:space="preserve">Eau et services sociaux</w:t>
            </w:r>
          </w:p>
        </w:tc>
        <w:tc>
          <w:tcPr/>
          <w:p>
            <w:pPr>
              <w:pStyle w:val="Compact"/>
              <w:jc w:val="left"/>
            </w:pPr>
            <w:r>
              <w:t xml:space="preserve">Points d’eau alimentés ; formations sanitaires et écoles desservies ; usagers des centres numériques</w:t>
            </w:r>
          </w:p>
        </w:tc>
        <w:tc>
          <w:tcPr/>
          <w:p>
            <w:pPr>
              <w:pStyle w:val="Compact"/>
              <w:jc w:val="left"/>
            </w:pPr>
            <w:r>
              <w:t xml:space="preserve">Partenaire / ministères sectoriels</w:t>
            </w:r>
          </w:p>
        </w:tc>
        <w:tc>
          <w:tcPr/>
          <w:p>
            <w:pPr>
              <w:pStyle w:val="Compact"/>
              <w:jc w:val="left"/>
            </w:pPr>
            <w:r>
              <w:t xml:space="preserve">3, 4, 6</w:t>
            </w:r>
          </w:p>
        </w:tc>
      </w:tr>
    </w:tbl>
    <w:bookmarkEnd w:id="21"/>
    <w:bookmarkStart w:id="22" w:name="X3900e113a4a8ed62520a149eb6641e7acacf12c"/>
    <w:p>
      <w:pPr>
        <w:pStyle w:val="Heading2"/>
      </w:pPr>
      <w:r>
        <w:t xml:space="preserve">Annexe C. Engagements de mise en œuvre du Gouvernement, par ministère</w:t>
      </w:r>
    </w:p>
    <w:p>
      <w:pPr>
        <w:pStyle w:val="FirstParagraph"/>
      </w:pPr>
      <w:r>
        <w:t xml:space="preserve">Les engagements ci-après expriment l’intention commune des Parties au sens de l’Article 11 et sont mis en œuvre sous le suivi du Comité technique conjoint visé à l’Article 7.</w:t>
      </w:r>
    </w:p>
    <w:p>
      <w:pPr>
        <w:pStyle w:val="BodyText"/>
      </w:pPr>
      <w:r>
        <w:rPr>
          <w:bCs/>
          <w:b/>
        </w:rPr>
        <w:t xml:space="preserve">C.1. Ministère en charge de l’Énergie</w:t>
      </w:r>
      <w:r>
        <w:t xml:space="preserve"> </w:t>
      </w:r>
      <w:r>
        <w:t xml:space="preserve">— a) délivrer ou faciliter la délivrance, dans des délais raisonnables et selon une logique de guichet unique avec l’ABER et l’AREEN, des licences, autorisations et permis requis, et assurer la coordination pour l’allocation et la sécurisation des sites ; b) promouvoir, dans le respect des compétences de l’AREEN, une méthodologie d’approbation tarifaire fondée sur le service, reconnaissant la tarification différenciée par niveaux de service ainsi que des tarifs ciblés en faveur des usagers vulnérables, notamment les ménages dirigés par des femmes ; c) établir, avec l’AREEN et la REGIDESO, le cadre préétabli d’arrivée du réseau visé à l’Article 2 ; d) inscrire le Partenaire, en qualité de partenaire privé de mise en œuvre du pilier décentralisé, dans le Pacte National de l’Énergie (Mission 300) et dans le plan directeur d’électrification ; e) délivrer, dans un délai de dix (10) jours ouvrables à compter de la demande, les lettres d’appui, d’endossement ou de non-objection spécifiques aux programmes requises par les guichets de financement ; f) garantir au Partenaire l’accès aux sites et emprises nécessaires et faciliter l’obtention des droits fonciers correspondants ; g) présenter le Partenaire, dans ses échanges avec les partenaires techniques et financiers, notamment le Groupe de la Banque mondiale au titre de la Mission 300 et du programme ASCENT, comme le partenaire privé désigné et l’entité de mise en œuvre pressentie du Segment Décentralisé, dans l’ensemble des secteurs auxquels celui-ci contribue (énergie, environnement et climat, agriculture et sécurité alimentaire, développement rural, emploi des jeunes, autonomisation des femmes, formation), et appuyer les requêtes de financement correspondantes ; h) solliciter, en tant que de besoin, la confirmation par le Ministère de la Justice de la régularité de la sélection du Partenaire par entente directe ; i) s’abstenir de toute mesure d’expropriation ou de nationalisation des actifs du Programme, sauf pour cause d’utilité publique et moyennant une indemnisation juste et préalable conformément à la loi ; j) procéder à l’inauguration officielle, au niveau ministériel, du premier pôle énergétique.</w:t>
      </w:r>
    </w:p>
    <w:p>
      <w:pPr>
        <w:pStyle w:val="BodyText"/>
      </w:pPr>
      <w:r>
        <w:rPr>
          <w:bCs/>
          <w:b/>
        </w:rPr>
        <w:t xml:space="preserve">C.2. Ministère en charge des Finances</w:t>
      </w:r>
      <w:r>
        <w:t xml:space="preserve"> </w:t>
      </w:r>
      <w:r>
        <w:t xml:space="preserve">— a) adresser à la Banque mondiale et à la Trade and Development Bank (TDB) une requête formelle d’admission du Burundi à la prochaine cohorte de financement basé sur les résultats de la plateforme régionale ASCENT-REAF (Regional Energy Access Facility), désignant les opérateurs privés qualifiés ; b) confirmer, par la délivrance du certificat de l’Agence de Promotion des Investissements (API), l’application au Programme des exonérations de taxe sur la valeur ajoutée et de droits de douane prévues par le code des investissements pour les équipements solaires, de stockage, les systèmes solaires domestiques, les solutions de cuisson propre et de mobilité électrique, ainsi que la stabilité de ce régime conformément audit code ; c) faciliter, en liaison avec la Banque de la République du Burundi (BRB), l’accès prioritaire aux devises pour le service de la dette du Programme et les autorisations de comptes à l’étranger, codifiant la pratique existante de couverture de convertibilité applicable aux actifs de la plateforme ; d) accélérer les approbations du pays hôte requises pour les instruments de garantie et d’assurance, notamment l’Agence multilatérale de garantie des investissements (MIGA), ATIDI et GuarantCo, étant expressément constaté qu’aucune garantie souveraine n’est requise au titre du présent Protocole ; e) reconnaître le présent Protocole comme base de l’évaluation préalable des projets de la plateforme au titre du régime des partenariats public-privé, en liaison avec l’autorité compétente ; f) reconnaître et attester, dans les propositions souveraines pertinentes, les capitaux mobilisés par le Partenaire, y compris la subvention FESEC, les cofinancements associés et ses apports en nature valorisés, en qualité de cofinancement privé ; g) appuyer la mise en place d’un guichet de co-investissement de la diaspora, adossé aux rails de paiement mobile et abondé par des capitaux catalytiques, orienté vers le financement des entreprises issues des pôles, en lien avec les banques nationales d’investissement pour les jeunes et pour les femmes ; h) soutenir la participation des banques locales et les cadres de rétrocession correspondants, ainsi que, par des lettres de soutien, les candidatures du Partenaire auprès des facilités de préparation de projets, notamment de la TDB et de la Banque africaine de développement, positionnant le Burundi comme marché d’origine d’un modèle appelé à l’exportation régionale.</w:t>
      </w:r>
    </w:p>
    <w:p>
      <w:pPr>
        <w:pStyle w:val="BodyText"/>
      </w:pPr>
      <w:r>
        <w:rPr>
          <w:bCs/>
          <w:b/>
        </w:rPr>
        <w:t xml:space="preserve">C.3. Engagements relevant des ministres sectoriels compétents (environnement, agriculture et élevage, climat)</w:t>
      </w:r>
      <w:r>
        <w:t xml:space="preserve"> </w:t>
      </w:r>
      <w:r>
        <w:t xml:space="preserve">— les engagements ci-après ne lient pas les ministres sectoriels au titre du présent Protocole, auquel ils ne sont pas parties ; le Gouvernement, agissant par le Ministère en charge de l’Énergie, en assure la coordination interministérielle et leur formalisation, en tant que de besoin, par annexe sectorielle conclue selon l’Article 8 : a) mettre en place un cadre permanent de traitement accéléré des non-objections de l’Autorité Nationale Désignée (AND) pour les propositions du guichet secteur privé et de la procédure d’approbation simplifiée du Fonds Vert pour le Climat impliquant la plateforme ; b) engager la voie de l’Article 6 de l’Accord de Paris : autorisation, par l’autorité nationale compétente, du portefeuille carbone du Programme (biodigesteurs, solutions de cuisson propre, briquettes), définition d’une politique d’ajustements correspondants et partage des bénéfices à travers les coopératives ; c) désigner le Partenaire comme gestionnaire de restauration pour les zones de reboisement des pôles énergétiques ; d) reconnaître les combustibles briquettes dans la stratégie nationale de cuisson propre et coopérer sur les normes y afférentes, à l’exclusion de toute spécification de marchés particuliers ; e) faciliter la mise à disposition de terrains domaniaux pour les sites des pôles, valorisée et attestée comme contribution en nature du Gouvernement dans les propositions de financement pertinentes.</w:t>
      </w:r>
    </w:p>
    <w:bookmarkEnd w:id="22"/>
    <w:bookmarkStart w:id="23" w:name="X0ad323d882da27ec92e58c7437740e4d157a422"/>
    <w:p>
      <w:pPr>
        <w:pStyle w:val="Heading2"/>
      </w:pPr>
      <w:r>
        <w:t xml:space="preserve">Annexe D. Liste indicative des guichets de financement (Article 6)</w:t>
      </w:r>
    </w:p>
    <w:p>
      <w:pPr>
        <w:pStyle w:val="FirstParagraph"/>
      </w:pPr>
      <w:r>
        <w:rPr/>
        <w:t>Sans engagement desdites institutions : programme ASCENT du Groupe de la Banque mondiale (y compris sa facilité de préparation et tout financement additionnel) ; plateforme régionale ASCENT-REAF (TDB/Odyssey) et Trade and Development Fund ; TDB Academy (formation et renforcement des capacités) ; fenêtre ASCENT-GREEN du Fonds vert pour le climat portée par la TDB ; Fonds des énergies durables pour l’Afrique (SEFA) ; facilité FESEC (Soleil-Nyakiriza) ; Global Gateway de l’Union européenne ; Zafiri ; Fonds vert pour le climat (via l’entité à accès direct CRDB et les agences accréditées) ; Fonds d’adaptation ; Fonds pour l’environnement mondial (GEF-9) et Fonds pour les pays les moins avancés (LDCF) ; programme Africa Minigrids du PNUD ; GAFSP ; fenêtre catalytique de RF Catalytic Capital (Fondation Rockefeller), mobilisable sur requête conjointe du Gouvernement et d’une banque internationale ; GEAPP (y compris sa facilité de financement des usages productifs, PUFF) ; PREO ; EEP Africa ; ElectriFI ; AECF ; facilités d’assistance technique de la Banque africaine de développement (FAPA ; Facilité d’appui à la transition, Pilier III) ; instruments de garantie (MIGA, ATIDI, GuarantCo, Fonds Africain de Garantie, FIGA) ; financements carbone au titre de l’Article 6 de l’Accord de Paris.</w:t>
      </w:r>
    </w:p>
    <w:p>
      <w:r>
        <w:br w:type="page"/>
      </w:r>
    </w:p>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Protocole d’Accord — Segment Décentralisé</dc:title>
  <dc:creator/>
  <cp:keywords/>
  <dcterms:created xsi:type="dcterms:W3CDTF">2026-08-06T13:22:35Z</dcterms:created>
  <dcterms:modified xsi:type="dcterms:W3CDTF">2026-08-06T13:22:35Z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Gouvernement de la République du Burundi · Gigawatt Burundi S.A. — Programme PURE Power Burundi · Version consolidée v07 (version allégée) · 5 août 2026 · Projet — privilégié et confidentiel</vt:lpwstr>
  </property>
</Properties>
</file>