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i w:val="false"/>
          <w:iCs w:val="false"/>
          <w:color w:val="13315C"/>
          <w:sz w:val="30"/>
          <w:szCs w:val="30"/>
        </w:rPr>
        <w:t xml:space="preserve">MEMORANDUM OF UNDERSTANDING</w:t>
      </w:r>
    </w:p>
    <w:p>
      <w:pPr>
        <w:spacing w:after="140"/>
        <w:jc w:val="center"/>
      </w:pPr>
      <w:r>
        <w:rPr>
          <w:rFonts w:ascii="Arial" w:cs="Arial" w:eastAsia="Arial" w:hAnsi="Arial"/>
          <w:b/>
          <w:bCs/>
          <w:i w:val="false"/>
          <w:iCs w:val="false"/>
          <w:color w:val="13315C"/>
          <w:sz w:val="30"/>
          <w:szCs w:val="30"/>
        </w:rPr>
        <w:t xml:space="preserve">PROTOCOLE D’ACCORD</w:t>
      </w:r>
    </w:p>
    <w:p>
      <w:pPr>
        <w:spacing w:after="80"/>
        <w:jc w:val="center"/>
      </w:pPr>
      <w:r>
        <w:rPr>
          <w:rFonts w:ascii="Arial" w:cs="Arial" w:eastAsia="Arial" w:hAnsi="Arial"/>
          <w:b w:val="false"/>
          <w:bCs w:val="false"/>
          <w:i/>
          <w:iCs/>
          <w:color w:val="1F2A3D"/>
          <w:sz w:val="20"/>
          <w:szCs w:val="20"/>
        </w:rPr>
        <w:t xml:space="preserve">between / entre</w:t>
      </w:r>
    </w:p>
    <w:p>
      <w:pPr>
        <w:spacing w:after="80"/>
        <w:jc w:val="center"/>
      </w:pPr>
      <w:r>
        <w:rPr>
          <w:rFonts w:ascii="Arial" w:cs="Arial" w:eastAsia="Arial" w:hAnsi="Arial"/>
          <w:b/>
          <w:bCs/>
          <w:i w:val="false"/>
          <w:iCs w:val="false"/>
          <w:color w:val="1F2A3D"/>
          <w:sz w:val="23"/>
          <w:szCs w:val="23"/>
        </w:rPr>
        <w:t xml:space="preserve">The African Agribusiness Incubators Network (AAIN)</w:t>
      </w:r>
    </w:p>
    <w:p>
      <w:pPr>
        <w:spacing w:after="80"/>
        <w:jc w:val="center"/>
      </w:pPr>
      <w:r>
        <w:rPr>
          <w:rFonts w:ascii="Arial" w:cs="Arial" w:eastAsia="Arial" w:hAnsi="Arial"/>
          <w:b w:val="false"/>
          <w:bCs w:val="false"/>
          <w:i/>
          <w:iCs/>
          <w:color w:val="1F2A3D"/>
          <w:sz w:val="20"/>
          <w:szCs w:val="20"/>
        </w:rPr>
        <w:t xml:space="preserve">and / et</w:t>
      </w:r>
    </w:p>
    <w:p>
      <w:pPr>
        <w:spacing w:after="60"/>
        <w:jc w:val="center"/>
      </w:pPr>
      <w:r>
        <w:rPr>
          <w:rFonts w:ascii="Arial" w:cs="Arial" w:eastAsia="Arial" w:hAnsi="Arial"/>
          <w:b/>
          <w:bCs/>
          <w:i w:val="false"/>
          <w:iCs w:val="false"/>
          <w:color w:val="1F2A3D"/>
          <w:sz w:val="23"/>
          <w:szCs w:val="23"/>
        </w:rPr>
        <w:t xml:space="preserve">Gigawatt Burundi S.A. (PURE Power Program)</w:t>
      </w:r>
    </w:p>
    <w:p>
      <w:pPr>
        <w:pBdr>
          <w:bottom w:val="single" w:color="13315C" w:sz="6"/>
        </w:pBdr>
        <w:spacing w:after="160"/>
      </w:pPr>
    </w:p>
    <w:tbl>
      <w:tblPr>
        <w:tblW w:type="dxa" w:w="10206"/>
        <w:tblBorders>
          <w:top w:val="none" w:color="FFFFFF" w:sz="0"/>
          <w:left w:val="none" w:color="FFFFFF" w:sz="0"/>
          <w:bottom w:val="none" w:color="FFFFFF" w:sz="0"/>
          <w:right w:val="none" w:color="FFFFFF" w:sz="0"/>
          <w:insideH w:val="none" w:color="FFFFFF" w:sz="0"/>
          <w:insideV w:val="single" w:color="D9D9D9" w:sz="4"/>
        </w:tblBorders>
      </w:tblPr>
      <w:tblGrid>
        <w:gridCol w:w="5103"/>
        <w:gridCol w:w="5103"/>
      </w:tblGrid>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1. Background and Rationale</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1. Contexte et justification</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Agriculture provides the large majority of employment in Burundi and across much of rural Africa, yet the absence of reliable electricity and modern productive infrastructure constrains value addition, post-harvest management, enterprise creation and incomes. The World Bank estimates that Africa’s agrifood market can reach one trillion United States dollars by 2030, conditional on electricity and irrigation reaching the continent’s farms and rural enterprises. Converting energy access into agricultural jobs and wealth requires both productive power and the entrepreneurial ecosystems that turn it into viable agribusinesses.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L’agriculture fournit la grande majorité des emplois au Burundi et dans une large partie de l’Afrique rurale ; pourtant, l’absence d’électricité fiable et d’infrastructures productives modernes limite la valorisation, la gestion post-récolte, la création d’entreprises et les revenus. La Banque mondiale estime que le marché agroalimentaire africain peut atteindre mille milliards de dollars des États-Unis d’ici 2030, à condition que l’électricité et l’irrigation parviennent aux exploitations et aux entreprises rurales du continent. Convertir l’accès à l’énergie en emplois et en richesse agricoles exige à la fois une énergie productive et les écosystèmes entrepreneuriaux qui la transforment en agro-entreprises viables.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The African Agribusiness Incubators Network (AAIN) is an African-led and African-owned network of agribusiness incubators, accelerators and enterprise support organizations, registered in Accra, Ghana, with regional presence across the continent. AAIN serves as a technical partner of the African Union Commission’s Department for Rural Economy, Agriculture and Blue Economy for incubation and acceleration, and convenes the annual African Agribusiness Incubation Conference and Industrial Expo (AAICE). Its mandate is incubating incubators for jobs and wealth creation in Africa.</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L’African Agribusiness Incubators Network (AAIN) est un réseau d’incubateurs, d’accélérateurs et d’organisations d’appui aux entreprises agroalimentaires, dirigé et détenu par des Africains, enregistré à Accra (Ghana), avec une présence régionale à travers le continent. L’AAIN est un partenaire technique du Département de l’économie rurale, de l’agriculture et de l’économie bleue de la Commission de l’Union africaine pour l’incubation et l’accélération, et organise chaque année l’African Agribusiness Incubation Conference and Industrial Expo (AAICE). Son mandat est d’« incuber les incubateurs » pour l’emploi et la création de richesse en Afrique.</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Gigawatt Burundi S.A. is a Burundian company leading the PURE Power Program, whose centerpiece is the agro-energy hub (Pôle Agro-Énergétique): a solar-powered rural center built around the agricultural economy. Each hub powers agro-processing, cold chain and irrigation, moves produce to market through e-mobility and agricultural logistics, and returns crop residues to farmers as briquettes, biogas and organic fertilizer through a circular waste-to-energy stream. Around this agricultural core, the hub adds a business center with satellite connectivity for entrepreneurship and tele-education, tele-health services, and points of sale with long-term aftercare for clean cooking and solar home systems.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Gigawatt Burundi S.A. est une société burundaise qui conduit le programme PURE Power, dont la pièce maîtresse est le pôle agro-énergétique : un centre rural alimenté à l’énergie solaire, construit autour de l’économie agricole. Chaque pôle alimente l’agro-transformation, la chaîne du froid et l’irrigation, achemine la production vers les marchés grâce à l’e-mobilité et à la logistique agricole, et restitue les résidus de récolte aux agriculteurs sous forme de briquettes, de biogaz et d’engrais organique par une filière circulaire de valorisation énergétique des déchets. Autour de ce cœur agricole, le pôle ajoute un centre d’affaires doté d’une connectivité satellitaire pour l’entrepreneuriat et la télé-éducation, des services de télésanté, et des points de vente avec service après-vente de long terme pour la cuisson propre et les systèmes solaires domestiques.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The program is implemented on an initial cohort of pilot sites made available by the Government of Burundi, conceived from the outset as the ramp to a national roll-out and the reference for regional replication, with the endorsement of the Minister of Energy and an active roadmap with the Government’s appointed committee. The first pilot hubs are co-financed by FESEC, Burundi’s national energy financing facility, and by the Food and Agriculture Organization of the United Nations (FAO), Gigawatt Burundi’s partner under a Memorandum of Understanding on the productive use of renewable energy in agriculture. Ground was broken on the first hub at Nyamugari, Cankuzo (Buhumuza Province) on 4 August 2026.</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Le programme est mis en œuvre sur une première cohorte de sites pilotes mis à disposition par le Gouvernement du Burundi, conçue dès l’origine comme la rampe d’un déploiement national et la référence d’une réplication régionale, avec l’endossement du Ministre de l’Énergie et une feuille de route active avec le comité désigné par le Gouvernement. Les premiers pôles pilotes sont cofinancés par le FESEC, la facilité nationale burundaise de financement de l’énergie, et par l’Organisation des Nations Unies pour l’alimentation et l’agriculture (FAO), partenaire de Gigawatt Burundi dans le cadre d’un protocole d’accord sur les usages productifs de l’énergie renouvelable en agriculture. La première pierre du premier pôle a été posée à Nyamugari, Cankuzo (province de Buhumuza), le 4 août 2026.</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This MOU is concluded at Bujumbura on the occasion of AAICE 2026, in the year in which Burundi holds the Chairmanship of the African Union, under an agenda that places agricultural transformation, industrialization and energy expansion at its center. The Participants regard this alignment of national and continental leadership as the natural moment, and Burundi as the natural starting point, for an agribusiness incubation model expressly designed for replication across Africa.</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Le présent Protocole est conclu à Bujumbura à l’occasion de l’AAICE 2026, l’année où le Burundi assure la présidence de l’Union africaine, sous un agenda qui place la transformation agricole, l’industrialisation et l’expansion énergétique en son centre. Les Participants voient dans cet alignement des leaderships national et continental le moment naturel — et dans le Burundi le point de départ naturel — d’un modèle d’incubation agroalimentaire expressément conçu pour être répliqué à travers l’Afrique.</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The Participants recognize that the agro-energy hub and the agribusiness incubator are natural complements. Each hub is deliberately designed as a catalyst rather than a job pool in itself: it provides the reliable power, equipment, connectivity, logistics and long-term operational anchor around which rural agricultural enterprises form and grow, while specialist partners deliver what they do best. AAIN brings the incubation and acceleration methodology, trainer certification, quality standards and continental network that convert this platform into a pipeline of viable agribusinesses. This Memorandum of Understanding (“MOU”) establishes a framework for that collaboration: proven first in Burundi, designed for the continent, and consistent with the theme of AAICE 2026, “Advancing incubation and acceleration ecosystems for job opportunities in Africa.”</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Les Participants reconnaissent que le pôle agro-énergétique et l’incubateur d’agrobusiness sont des compléments naturels. Chaque pôle est délibérément conçu comme un catalyseur plutôt que comme un gisement d’emplois en soi : il apporte l’énergie fiable, les équipements, la connectivité, la logistique et l’ancrage opérationnel de long terme autour desquels se forment et croissent les entreprises agricoles rurales, tandis que des partenaires spécialisés font ce qu’ils font le mieux. L’AAIN apporte la méthodologie d’incubation et d’accélération, la certification des formateurs, les standards de qualité et le réseau continental qui transforment cette plateforme en un vivier d’agro-entreprises viables. Le présent Protocole d’Accord (« Protocole ») établit le cadre de cette collaboration : éprouvée d’abord au Burundi, conçue pour le continent, et en cohérence avec le thème de l’AAICE 2026, « Advancing incubation and acceleration ecosystems for job opportunities in Africa ».</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2. Purpose</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2. Objet</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The purpose of this MOU is to establish a framework of collaboration between AAIN and Gigawatt Burundi S.A. (hereinafter referred to as the “Participants”) to develop, pilot and scale PURE Power agro-energy hubs as rural agribusiness incubation and acceleration platforms within the AAIN network, and to mobilize at platform level the development, capital and operating resources this requires, beginning in Burundi and extending progressively to a regional and pan-African program as the model replicates.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Le présent Protocole a pour objet d’établir un cadre de collaboration entre l’AAIN et Gigawatt Burundi S.A. (ci-après les « Participants ») afin de développer, de piloter et de mettre à l’échelle les pôles agro-énergétiques PURE Power comme plateformes rurales d’incubation et d’accélération d’agrobusiness au sein du réseau AAIN, et de mobiliser au niveau de la plateforme les ressources de développement, d’investissement et d’exploitation que cela requiert, en commençant par le Burundi puis en s’étendant progressivement à un programme régional et panafricain à mesure que le modèle se réplique.</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3. Areas of Collaboration</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3. Domaines de collaboration</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Subject to the availability of resources and mutual agreement, the Participants intend to collaborate in the following areas: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Sous réserve de la disponibilité des ressources et d’un accord mutuel, les Participants entendent collaborer dans les domaines suivants :</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a) Designation and joint development of PURE Power agro-energy hubs as rural agribusiness incubation and acceleration centers operating in association with the AAIN network, beginning with the pilot hubs in Burundi.</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a) La désignation et le développement conjoint des pôles agro-énergétiques PURE Power comme centres ruraux d’incubation et d’accélération d’agrobusiness opérant en association avec le réseau AAIN, en commençant par les pôles pilotes du Burundi.</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b) Adaptation of AAIN incubation and acceleration methodologies, curricula and quality standards to the agro-energy hub environment, with emphasis on productive uses of renewable energy across agricultural value chains, including processing, cold chain, irrigation, aggregation and transport to market.</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b) L’adaptation des méthodologies, cursus et standards de qualité d’incubation et d’accélération de l’AAIN à l’environnement du pôle agro-énergétique, avec un accent sur les usages productifs de l’énergie renouvelable dans les chaînes de valeur agricoles, y compris la transformation, la chaîne du froid, l’irrigation, l’agrégation et le transport vers les marchés.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c) Capacity development for hub-based incubation managers, trainers, farmers, cooperatives and agri-SMEs, delivered through a dual route combining hands-on training at the hubs and accredited tele-education through the hub business centers, with particular attention to youth and women.</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c) Le renforcement des capacités des gestionnaires d’incubation, formateurs, agriculteurs, coopératives et PME agricoles basés aux pôles, par la double voie combinant formation pratique au pôle et télé-éducation accréditée via les centres d’affaires des pôles, avec une attention particulière aux jeunes et aux femmes.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d) Incubation and acceleration of cooperatives, agri-SMEs and youth- and women-led enterprises anchored on hub services, and their linkage to AAIN’s continental network of members, mentors, markets, investors and programs.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d) L’incubation et l’accélération de coopératives, de PME agricoles et d’entreprises portées par des jeunes et des femmes, adossées aux services des pôles, et leur mise en relation avec le réseau continental de membres, de mentors, de marchés, d’investisseurs et de programmes de l’AAIN.</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e) Integration of the hubs and their incubated enterprises into AAIN-led continental programs, including the African Agri-food Systems Incubation and Acceleration programme (AASIA), and participation in AAICE and other AAIN convenings.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e) L’intégration des pôles et de leurs entreprises incubées dans les programmes continentaux conduits par l’AAIN, y compris l’African Agri-food Systems Incubation and Acceleration programme (AASIA), et la participation à l’AAICE et aux autres rencontres de l’AAIN.</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f) Generation of evidence, data, methodologies and lessons learned to inform the replication of the agro-energy hub incubator model in Burundi and across Africa, and to support policy dialogue.</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f) La production de données probantes, de méthodologies et d’enseignements pour éclairer la réplication du modèle de pôle-incubateur au Burundi et à travers l’Afrique, et pour nourrir le dialogue de politiques publiques.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g) Joint mobilization of grant, concessional and investment resources at platform level, covering the development, capital expenditure and operating costs of the hub incubation platform, through engagement with development partners, financial institutions, African Union institutions and donors.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g) La mobilisation conjointe, au niveau de la plateforme, de ressources de subvention, concessionnelles et d’investissement couvrant le développement, les dépenses d’investissement et les coûts d’exploitation de la plateforme d’incubation des pôles, auprès des partenaires de développement, des institutions financières, des institutions de l’Union africaine et des bailleurs.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h) Preparation of the regional and pan-African roll-out of the agro-energy hub incubator model, including country scoping, partnerships with AAIN members and regional institutions, and alignment with continental agricultural transformation initiatives.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h) La préparation du déploiement régional et panafricain du modèle de pôle-incubateur, y compris les études pays, les partenariats avec les membres de l’AAIN et les institutions régionales, et l’alignement sur les initiatives continentales de transformation agricole.</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4. Pilot Phase and Contributions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4. Phase pilote et contributions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60" w:line="252"/>
              <w:jc w:val="left"/>
            </w:pPr>
            <w:r>
              <w:rPr>
                <w:rFonts w:ascii="Arial" w:cs="Arial" w:eastAsia="Arial" w:hAnsi="Arial"/>
                <w:b/>
                <w:bCs/>
                <w:i w:val="false"/>
                <w:iCs w:val="false"/>
                <w:color w:val="1F2A3D"/>
                <w:sz w:val="19"/>
                <w:szCs w:val="19"/>
              </w:rPr>
              <w:t xml:space="preserve">4.1 Pilot Phase</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60" w:line="252"/>
              <w:jc w:val="left"/>
            </w:pPr>
            <w:r>
              <w:rPr>
                <w:rFonts w:ascii="Arial" w:cs="Arial" w:eastAsia="Arial" w:hAnsi="Arial"/>
                <w:b/>
                <w:bCs/>
                <w:i w:val="false"/>
                <w:iCs w:val="false"/>
                <w:color w:val="1F2A3D"/>
                <w:sz w:val="19"/>
                <w:szCs w:val="19"/>
              </w:rPr>
              <w:t xml:space="preserve">4.1 Phase pilote</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The Participants intend to jointly implement an initial Pilot Phase at the first PURE Power hubs in Burundi, beginning with the Nyamugari hub, to demonstrate the technical, economic and social viability of hub-based agribusiness incubation and to establish the reference model for regional replication. The Pilot Phase will be guided by a mutually agreed work plan, including objectives, activities, indicators and timelines, to be developed within ninety (90) days of signature.</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Les Participants entendent mettre en œuvre conjointement une Phase pilote initiale sur les premiers pôles PURE Power au Burundi, en commençant par le pôle de Nyamugari, afin de démontrer la viabilité technique, économique et sociale de l’incubation d’agrobusiness basée aux pôles et d’établir le modèle de référence de la réplication régionale. La Phase pilote sera guidée par un plan de travail convenu d’un commun accord, comprenant objectifs, activités, indicateurs et calendrier, élaboré dans les quatre-vingt-dix (90) jours suivant la signature.</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60" w:line="252"/>
              <w:jc w:val="left"/>
            </w:pPr>
            <w:r>
              <w:rPr>
                <w:rFonts w:ascii="Arial" w:cs="Arial" w:eastAsia="Arial" w:hAnsi="Arial"/>
                <w:b/>
                <w:bCs/>
                <w:i w:val="false"/>
                <w:iCs w:val="false"/>
                <w:color w:val="1F2A3D"/>
                <w:sz w:val="19"/>
                <w:szCs w:val="19"/>
              </w:rPr>
              <w:t xml:space="preserve">4.2 Contributions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60" w:line="252"/>
              <w:jc w:val="left"/>
            </w:pPr>
            <w:r>
              <w:rPr>
                <w:rFonts w:ascii="Arial" w:cs="Arial" w:eastAsia="Arial" w:hAnsi="Arial"/>
                <w:b/>
                <w:bCs/>
                <w:i w:val="false"/>
                <w:iCs w:val="false"/>
                <w:color w:val="1F2A3D"/>
                <w:sz w:val="19"/>
                <w:szCs w:val="19"/>
              </w:rPr>
              <w:t xml:space="preserve">4.2 Contributions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For the Pilot Phase, and subject to internal rules, procedures and availability of resources, the Participants express their intention to make in-kind contributions as follows: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Pour la Phase pilote, et sous réserve de leurs règles et procédures internes ainsi que de la disponibilité des ressources, les Participants expriment l’intention d’apporter les contributions en nature suivantes :</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AAIN: incubation and acceleration expertise, methodologies and curricula, training of trainers and certification, access to its member network, mentors and programs, and monitoring and evaluation support.</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AAIN : expertise, méthodologies et cursus d’incubation et d’accélération ; formation de formateurs et certification ; accès à son réseau de membres, à ses mentors et à ses programmes ; appui au suivi et à l’évaluation.</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Gigawatt Burundi: workspace and access to facilities, productive-use equipment and connectivity at the pilot hubs, logistics and e-mobility support, local coordination, and operational management.</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Gigawatt Burundi : espaces de travail et accès aux installations ; équipements d’usages productifs et connectivité aux pôles pilotes ; appui logistique et e-mobilité ; coordination locale et gestion opérationnelle.</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Any financial contributions shall be agreed separately in writing between the Participants. The financing of hub development, construction and operations is addressed at platform level under Section 5 and does not form part of either Participant’s contributions under this MOU.</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Toute contribution financière fera l’objet d’un accord écrit séparé entre les Participants. Le financement du développement, de la construction et de l’exploitation des pôles est traité au niveau de la plateforme au titre de la Section 5 et ne relève pas des contributions de l’un ou l’autre Participant au titre du présent Protocole.</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5. Platform Financing, Scaling and Joint Resource Mobilization</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5. Financement de plateforme, mise à l’échelle et mobilisation conjointe des ressources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The Participants intend that the development, capital expenditure and operating costs of the agro-energy hub incubation platform be financed at platform level, through resources mobilized jointly from development partners, donors, financial institutions and investors, rather than through commitments of either Participant under this MOU.</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Les Participants entendent que le développement, les dépenses d’investissement et les coûts d’exploitation de la plateforme d’incubation des pôles agro-énergétiques soient financés au niveau de la plateforme, par des ressources mobilisées conjointement auprès des partenaires de développement, des bailleurs, des institutions financières et des investisseurs, et non par des engagements de l’un ou l’autre Participant au titre du présent Protocole.</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Building on the Pilot Phase, the Participants intend to jointly pursue this mobilization in support of a structured, multi-year platform: first across further sites in Burundi toward a national roll-out, and in parallel toward a regional and pan-African program built on the Burundi proof point and carried through AAIN’s continental network. Joint efforts may include the co-development of concept notes, funding proposals and investment cases addressing development funding, capital expenditure and operating costs, and engagement with bilateral and multilateral development partners, African Union institutions, development finance institutions, climate funds, philanthropies and impact-oriented investors.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S’appuyant sur la Phase pilote, les Participants entendent poursuivre conjointement cette mobilisation au service d’une plateforme structurée et pluriannuelle : d’abord sur de nouveaux sites au Burundi vers un déploiement national, et en parallèle vers un programme régional et panafricain bâti sur la preuve burundaise et porté par le réseau continental de l’AAIN. Les efforts conjoints pourront inclure la co-élaboration de notes conceptuelles, de propositions de financement et de dossiers d’investissement couvrant le financement du développement, les dépenses d’investissement et les coûts d’exploitation, ainsi que l’engagement des partenaires de développement bilatéraux et multilatéraux, des institutions de l’Union africaine, des institutions de financement du développement, des fonds climatiques, des philanthropies et des investisseurs à impact.</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Funding proposals and mobilization efforts that make use of the agro-energy hub platform, its sites or its data, or of the name of either Participant, will be developed and submitted jointly, or with the prior written consent of the other Participant.</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Les propositions de financement et démarches de mobilisation s’appuyant sur la plateforme des pôles agro-énergétiques, sur ses sites ou ses données, ou sur le nom de l’un des Participants, seront élaborées et soumises conjointement, ou avec le consentement écrit préalable de l’autre Participant.</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6. Roles and Responsibilities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6. Rôles et responsabilités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60" w:line="252"/>
              <w:jc w:val="left"/>
            </w:pPr>
            <w:r>
              <w:rPr>
                <w:rFonts w:ascii="Arial" w:cs="Arial" w:eastAsia="Arial" w:hAnsi="Arial"/>
                <w:b/>
                <w:bCs/>
                <w:i w:val="false"/>
                <w:iCs w:val="false"/>
                <w:color w:val="1F2A3D"/>
                <w:sz w:val="19"/>
                <w:szCs w:val="19"/>
              </w:rPr>
              <w:t xml:space="preserve">6.1 AAIN</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60" w:line="252"/>
              <w:jc w:val="left"/>
            </w:pPr>
            <w:r>
              <w:rPr>
                <w:rFonts w:ascii="Arial" w:cs="Arial" w:eastAsia="Arial" w:hAnsi="Arial"/>
                <w:b/>
                <w:bCs/>
                <w:i w:val="false"/>
                <w:iCs w:val="false"/>
                <w:color w:val="1F2A3D"/>
                <w:sz w:val="19"/>
                <w:szCs w:val="19"/>
              </w:rPr>
              <w:t xml:space="preserve">6.1 AAIN</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AAIN intends to contribute to this collaboration by:</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L’AAIN entend contribuer à cette collaboration en :</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Providing incubation and acceleration methodologies, tools and quality standards adapted to rural agro-energy hubs.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Fournissant des méthodologies, outils et standards de qualité d’incubation et d’accélération adaptés aux pôles agro-énergétiques ruraux.</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Training and certifying hub-based incubation managers, trainers and mentors.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Formant et certifiant les gestionnaires d’incubation, formateurs et mentors basés aux pôles.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Connecting hub-incubated enterprises to its continental network of members, mentors, markets, investors and programs.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Reliant les entreprises incubées aux pôles à son réseau continental de membres, mentors, marchés, investisseurs et programmes.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Facilitating the integration of the hubs into AAIN-led and African Union-aligned programs, including AASIA.</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Facilitant l’intégration des pôles dans les programmes conduits par l’AAIN et alignés sur l’Union africaine, y compris l’AASIA.</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Supporting platform-level resource mobilization through its continental network of development partners and African Union relationships.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Appuyant la mobilisation de ressources au niveau de la plateforme grâce à son réseau continental de partenaires de développement et à ses relations avec l’Union africaine.</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Supporting monitoring, evaluation, knowledge generation and dissemination, and providing visibility to the collaboration through AAICE and other AAIN platforms.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Appuyant le suivi, l’évaluation, la production et la diffusion de connaissances, et en donnant de la visibilité à la collaboration à travers l’AAICE et les autres plateformes de l’AAIN.</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60" w:line="252"/>
              <w:jc w:val="left"/>
            </w:pPr>
            <w:r>
              <w:rPr>
                <w:rFonts w:ascii="Arial" w:cs="Arial" w:eastAsia="Arial" w:hAnsi="Arial"/>
                <w:b/>
                <w:bCs/>
                <w:i w:val="false"/>
                <w:iCs w:val="false"/>
                <w:color w:val="1F2A3D"/>
                <w:sz w:val="19"/>
                <w:szCs w:val="19"/>
              </w:rPr>
              <w:t xml:space="preserve">6.2 Gigawatt Burundi</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60" w:line="252"/>
              <w:jc w:val="left"/>
            </w:pPr>
            <w:r>
              <w:rPr>
                <w:rFonts w:ascii="Arial" w:cs="Arial" w:eastAsia="Arial" w:hAnsi="Arial"/>
                <w:b/>
                <w:bCs/>
                <w:i w:val="false"/>
                <w:iCs w:val="false"/>
                <w:color w:val="1F2A3D"/>
                <w:sz w:val="19"/>
                <w:szCs w:val="19"/>
              </w:rPr>
              <w:t xml:space="preserve">6.2 Gigawatt Burundi</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Gigawatt Burundi intends to contribute to this collaboration by:</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Gigawatt Burundi entend contribuer à cette collaboration en :</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Developing, constructing and operating the agro-energy hubs, including renewable generation, storage and productive-use equipment, with financing mobilized at platform level under Section 5.</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Développant, construisant et exploitant les pôles agro-énergétiques, y compris la production renouvelable, le stockage et les équipements d’usages productifs, avec un financement mobilisé au niveau de la plateforme au titre de la Section 5.</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Structuring the platform through which development, capital and operating resources are raised and deployed.</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Structurant la plateforme par laquelle les ressources de développement, d’investissement et d’exploitation sont levées et déployées.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Providing incubation workspace, connectivity and tele-education facilities at the hubs.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Mettant à disposition, aux pôles, des espaces d’incubation, la connectivité et les installations de télé-éducation.</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Providing logistics, e-mobility and market-access support for incubated enterprises.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Fournissant la logistique, l’e-mobilité et l’appui à l’accès au marché pour les entreprises incubées.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Coordinating with the Government of Burundi, cooperatives, communities and co-financing partners.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Assurant la coordination avec le Gouvernement du Burundi, les coopératives, les communautés et les partenaires de cofinancement.</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Ensuring the long-term operation, maintenance and aftercare of hub infrastructure so that incubation partners can focus on what they do best, and supporting data collection on energy performance, enterprise outcomes and socio-economic benefits.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ind w:left="180"/>
              <w:jc w:val="left"/>
            </w:pPr>
            <w:r>
              <w:rPr>
                <w:rFonts w:ascii="Arial" w:cs="Arial" w:eastAsia="Arial" w:hAnsi="Arial"/>
                <w:b w:val="false"/>
                <w:bCs w:val="false"/>
                <w:i w:val="false"/>
                <w:iCs w:val="false"/>
                <w:color w:val="1F2A3D"/>
                <w:sz w:val="19"/>
                <w:szCs w:val="19"/>
              </w:rPr>
              <w:t xml:space="preserve">— Garantissant l’exploitation, la maintenance et le service après-vente de long terme des infrastructures des pôles, afin que les partenaires d’incubation se concentrent sur ce qu’ils font le mieux, et en appuyant la collecte de données sur la performance énergétique, les résultats des entreprises et les bénéfices socio-économiques.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7. Coordination Arrangements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7. Modalités de coordination</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Each Participant will appoint a focal point to facilitate coordination, implementation, information exchange and strategic guidance. The focal points will be designated in writing within fifteen (15) days of signature. They will review progress, lessons learned and opportunities for scaling and resource mobilization at least twice per year, and will report to their respective managements for decision making.</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Chaque Participant désignera un point focal chargé de faciliter la coordination, la mise en œuvre, l’échange d’informations et l’orientation stratégique. Les points focaux seront désignés par écrit dans les quinze (15) jours suivant la signature. Ils examineront au moins deux fois par an les progrès, les enseignements et les opportunités de mise à l’échelle et de mobilisation de ressources, et en rendront compte à leurs directions respectives pour décision.</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8. Monitoring, Evaluation and Learning</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8. Suivi, évaluation et apprentissage</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Activities under this MOU will be guided by mutually agreed indicators, including enterprises incubated and accelerated, jobs supported, participation of youth and women, the uptake of productive uses of renewable energy, and readiness for regional replication, consistent with the established monitoring approaches of both Participants.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Les activités menées au titre du présent Protocole seront guidées par des indicateurs convenus d’un commun accord, notamment les entreprises incubées et accélérées, les emplois soutenus, la participation des jeunes et des femmes, l’adoption des usages productifs de l’énergie renouvelable et la maturité pour la réplication régionale, en cohérence avec les approches de suivi établies des deux Participants.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Any exchange or publication of data will respect applicable data-protection requirements and the commercial confidentiality of each Participant; public dissemination will use aggregated or anonymized data.</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Tout échange ou publication de données respectera les exigences applicables en matière de protection des données ainsi que la confidentialité commerciale de chaque Participant ; la diffusion publique s’appuiera sur des données agrégées ou anonymisées.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9. Visibility and Communications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9. Visibilité et communications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Any use of names, emblems or logos, and any public communications related to activities under this MOU, shall require the prior written consent of both Participants and shall comply with the communication policies of AAIN and Gigawatt Burundi.</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Toute utilisation des noms, emblèmes ou logos, et toute communication publique relative aux activités menées au titre du présent Protocole, requièrent le consentement écrit préalable des deux Participants et respectent les politiques de communication de l’AAIN et de Gigawatt Burundi.</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10. Confidentiality</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10. Confidentialité</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Each Participant will treat as confidential any non-public information received from the other Participant in connection with this MOU and will not disclose it to third parties without the other Participant’s prior consent, except as required by law. This understanding will continue to apply for two (2) years after the expiry or termination of this MOU.</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Chaque Participant traitera comme confidentielle toute information non publique reçue de l’autre Participant dans le cadre du présent Protocole et ne la divulguera pas à des tiers sans le consentement préalable de l’autre Participant, sauf obligation légale. Cet engagement demeurera applicable pendant deux (2) ans après l’expiration ou la résiliation du présent Protocole.</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11. Legal Status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11. Statut juridique</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This MOU is a statement of the Participants’ good-faith intentions. It does not create any legal, financial or partnership obligations, nor does it establish a joint venture, agency or employment relationship between the Participants, and it does not confer exclusivity on either Participant. Specific activities, projects and any financial arrangements shall be set out in separate written agreements between the Participants.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Le présent Protocole est une déclaration d’intentions de bonne foi des Participants. Il ne crée aucune obligation juridique, financière ou de partenariat, n’établit ni coentreprise, ni mandat, ni relation d’emploi entre les Participants, et ne confère d’exclusivité à aucun d’eux. Les activités, projets et éventuels arrangements financiers spécifiques feront l’objet d’accords écrits séparés entre les Participants.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12. Settlement of Differences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12. Règlement des différends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Any difference arising from the interpretation or implementation of this MOU will be settled amicably through consultation between the Participants.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Tout différend relatif à l’interprétation ou à la mise en œuvre du présent Protocole sera réglé à l’amiable par voie de consultation entre les Participants.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13. Duration and Termination</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13. Durée et résiliation</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This MOU shall become effective upon signature and shall remain in effect for three (3) years, renewable by mutual written consent, unless terminated earlier by either Participant upon ninety (90) days’ written notice.</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Le présent Protocole prend effet à sa signature et demeure en vigueur pour une durée de trois (3) ans, renouvelable par consentement écrit mutuel, sauf résiliation anticipée par l’un des Participants moyennant un préavis écrit de quatre-vingt-dix (90) jours.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14. Amendments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spacing w:after="90" w:before="60"/>
            </w:pPr>
            <w:r>
              <w:rPr>
                <w:rFonts w:ascii="Arial" w:cs="Arial" w:eastAsia="Arial" w:hAnsi="Arial"/>
                <w:b/>
                <w:bCs/>
                <w:color w:val="13315C"/>
                <w:sz w:val="21"/>
                <w:szCs w:val="21"/>
              </w:rPr>
              <w:t xml:space="preserve">14. Amendements</w:t>
            </w:r>
          </w:p>
        </w:tc>
      </w:tr>
      <w:tr>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This MOU may be amended by mutual written consent of the Participants.</w:t>
            </w:r>
          </w:p>
        </w:tc>
        <w:tc>
          <w:tcPr>
            <w:tcW w:type="dxa" w:w="5103"/>
            <w:tcBorders>
              <w:top w:val="none" w:color="FFFFFF" w:sz="0"/>
              <w:left w:val="none" w:color="FFFFFF" w:sz="0"/>
              <w:bottom w:val="none" w:color="FFFFFF" w:sz="0"/>
              <w:right w:val="none" w:color="FFFFFF" w:sz="0"/>
            </w:tcBorders>
            <w:tcMar>
              <w:top w:type="dxa" w:w="10"/>
              <w:left w:type="dxa" w:w="140"/>
              <w:bottom w:type="dxa" w:w="10"/>
              <w:right w:type="dxa" w:w="140"/>
            </w:tcMar>
            <w:vAlign w:val="top"/>
          </w:tcPr>
          <w:p>
            <w:pPr>
              <w:keepNext w:val="false"/>
              <w:keepLines w:val="false"/>
              <w:spacing w:after="110" w:line="252"/>
              <w:jc w:val="left"/>
            </w:pPr>
            <w:r>
              <w:rPr>
                <w:rFonts w:ascii="Arial" w:cs="Arial" w:eastAsia="Arial" w:hAnsi="Arial"/>
                <w:b w:val="false"/>
                <w:bCs w:val="false"/>
                <w:i w:val="false"/>
                <w:iCs w:val="false"/>
                <w:color w:val="1F2A3D"/>
                <w:sz w:val="19"/>
                <w:szCs w:val="19"/>
              </w:rPr>
              <w:t xml:space="preserve">Le présent Protocole peut être amendé par consentement écrit mutuel des Participants.</w:t>
            </w:r>
          </w:p>
        </w:tc>
      </w:tr>
    </w:tbl>
    <w:p>
      <w:pPr>
        <w:pBdr>
          <w:top w:val="single" w:color="13315C" w:sz="6"/>
        </w:pBdr>
        <w:spacing w:after="120" w:before="160"/>
      </w:pPr>
    </w:p>
    <w:p>
      <w:pPr>
        <w:keepNext/>
        <w:spacing w:after="90" w:before="60"/>
      </w:pPr>
      <w:r>
        <w:rPr>
          <w:rFonts w:ascii="Arial" w:cs="Arial" w:eastAsia="Arial" w:hAnsi="Arial"/>
          <w:b/>
          <w:bCs/>
          <w:color w:val="13315C"/>
          <w:sz w:val="21"/>
          <w:szCs w:val="21"/>
        </w:rPr>
        <w:t xml:space="preserve">15. Signatures / Signatures</w:t>
      </w:r>
    </w:p>
    <w:p>
      <w:pPr>
        <w:keepNext w:val="false"/>
        <w:keepLines w:val="false"/>
        <w:spacing w:after="70" w:line="252"/>
        <w:jc w:val="left"/>
      </w:pPr>
      <w:r>
        <w:rPr>
          <w:rFonts w:ascii="Arial" w:cs="Arial" w:eastAsia="Arial" w:hAnsi="Arial"/>
          <w:b w:val="false"/>
          <w:bCs w:val="false"/>
          <w:i w:val="false"/>
          <w:iCs w:val="false"/>
          <w:color w:val="1F2A3D"/>
          <w:sz w:val="19"/>
          <w:szCs w:val="19"/>
        </w:rPr>
        <w:t xml:space="preserve">Signed in two originals, each in the English and French languages, both texts being equally authentic, at Bujumbura, Burundi, on the occasion of the 11th African Agribusiness Incubation Conference and Industrial Expo (AAICE 2026).</w:t>
      </w:r>
    </w:p>
    <w:p>
      <w:pPr>
        <w:keepNext w:val="false"/>
        <w:keepLines w:val="false"/>
        <w:spacing w:after="200" w:line="252"/>
        <w:jc w:val="left"/>
      </w:pPr>
      <w:r>
        <w:rPr>
          <w:rFonts w:ascii="Arial" w:cs="Arial" w:eastAsia="Arial" w:hAnsi="Arial"/>
          <w:b w:val="false"/>
          <w:bCs w:val="false"/>
          <w:i/>
          <w:iCs/>
          <w:color w:val="1F2A3D"/>
          <w:sz w:val="19"/>
          <w:szCs w:val="19"/>
        </w:rPr>
        <w:t xml:space="preserve">Signé en deux exemplaires originaux, chacun en langues anglaise et française, les deux textes faisant également foi, à Bujumbura (Burundi), à l’occasion de la 11e African Agribusiness Incubation Conference and Industrial Expo (AAICE 2026).</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5103"/>
        <w:gridCol w:w="5103"/>
      </w:tblGrid>
      <w:tr>
        <w:tc>
          <w:tcPr>
            <w:tcW w:type="dxa" w:w="5103"/>
            <w:tcBorders>
              <w:top w:val="none" w:color="FFFFFF" w:sz="0"/>
              <w:left w:val="none" w:color="FFFFFF" w:sz="0"/>
              <w:bottom w:val="none" w:color="FFFFFF" w:sz="0"/>
              <w:right w:val="none" w:color="FFFFFF" w:sz="0"/>
            </w:tcBorders>
            <w:tcMar>
              <w:top w:type="dxa" w:w="80"/>
              <w:left w:type="dxa" w:w="140"/>
              <w:bottom w:type="dxa" w:w="80"/>
              <w:right w:type="dxa" w:w="140"/>
            </w:tcMar>
          </w:tcPr>
          <w:p>
            <w:pPr>
              <w:keepNext w:val="false"/>
              <w:keepLines w:val="false"/>
              <w:spacing w:after="160" w:line="252"/>
              <w:jc w:val="left"/>
            </w:pPr>
            <w:r>
              <w:rPr>
                <w:rFonts w:ascii="Arial" w:cs="Arial" w:eastAsia="Arial" w:hAnsi="Arial"/>
                <w:b/>
                <w:bCs/>
                <w:i w:val="false"/>
                <w:iCs w:val="false"/>
                <w:color w:val="1F2A3D"/>
                <w:sz w:val="19"/>
                <w:szCs w:val="19"/>
              </w:rPr>
              <w:t xml:space="preserve">For the African Agribusiness Incubators Network (AAIN) / Pour l’African Agribusiness Incubators Network (AAIN)</w:t>
            </w:r>
          </w:p>
          <w:p>
            <w:pPr>
              <w:keepNext w:val="false"/>
              <w:keepLines w:val="false"/>
              <w:spacing w:after="100" w:line="252"/>
              <w:jc w:val="left"/>
            </w:pPr>
            <w:r>
              <w:rPr>
                <w:rFonts w:ascii="Arial" w:cs="Arial" w:eastAsia="Arial" w:hAnsi="Arial"/>
                <w:b w:val="false"/>
                <w:bCs w:val="false"/>
                <w:i w:val="false"/>
                <w:iCs w:val="false"/>
                <w:color w:val="1F2A3D"/>
                <w:sz w:val="19"/>
                <w:szCs w:val="19"/>
              </w:rPr>
              <w:t xml:space="preserve">Name / Nom : Prof. Alex Ariho</w:t>
            </w:r>
          </w:p>
          <w:p>
            <w:pPr>
              <w:keepNext w:val="false"/>
              <w:keepLines w:val="false"/>
              <w:spacing w:after="100" w:line="252"/>
              <w:jc w:val="left"/>
            </w:pPr>
            <w:r>
              <w:rPr>
                <w:rFonts w:ascii="Arial" w:cs="Arial" w:eastAsia="Arial" w:hAnsi="Arial"/>
                <w:b w:val="false"/>
                <w:bCs w:val="false"/>
                <w:i w:val="false"/>
                <w:iCs w:val="false"/>
                <w:color w:val="1F2A3D"/>
                <w:sz w:val="19"/>
                <w:szCs w:val="19"/>
              </w:rPr>
              <w:t xml:space="preserve">Title / Titre : Chief Executive Officer</w:t>
            </w:r>
          </w:p>
          <w:p>
            <w:pPr>
              <w:keepNext w:val="false"/>
              <w:keepLines w:val="false"/>
              <w:spacing w:after="100" w:line="252"/>
              <w:jc w:val="left"/>
            </w:pPr>
            <w:r>
              <w:rPr>
                <w:rFonts w:ascii="Arial" w:cs="Arial" w:eastAsia="Arial" w:hAnsi="Arial"/>
                <w:b w:val="false"/>
                <w:bCs w:val="false"/>
                <w:i w:val="false"/>
                <w:iCs w:val="false"/>
                <w:color w:val="1F2A3D"/>
                <w:sz w:val="19"/>
                <w:szCs w:val="19"/>
              </w:rPr>
              <w:t xml:space="preserve">Date : ______________________</w:t>
            </w:r>
          </w:p>
          <w:p>
            <w:pPr>
              <w:keepNext w:val="false"/>
              <w:keepLines w:val="false"/>
              <w:spacing w:after="60" w:line="252"/>
              <w:jc w:val="left"/>
            </w:pPr>
            <w:r>
              <w:rPr>
                <w:rFonts w:ascii="Arial" w:cs="Arial" w:eastAsia="Arial" w:hAnsi="Arial"/>
                <w:b w:val="false"/>
                <w:bCs w:val="false"/>
                <w:i w:val="false"/>
                <w:iCs w:val="false"/>
                <w:color w:val="1F2A3D"/>
                <w:sz w:val="19"/>
                <w:szCs w:val="19"/>
              </w:rPr>
              <w:t xml:space="preserve">Signature : ______________________</w:t>
            </w:r>
          </w:p>
        </w:tc>
        <w:tc>
          <w:tcPr>
            <w:tcW w:type="dxa" w:w="5103"/>
            <w:tcBorders>
              <w:top w:val="none" w:color="FFFFFF" w:sz="0"/>
              <w:left w:val="none" w:color="FFFFFF" w:sz="0"/>
              <w:bottom w:val="none" w:color="FFFFFF" w:sz="0"/>
              <w:right w:val="none" w:color="FFFFFF" w:sz="0"/>
            </w:tcBorders>
            <w:tcMar>
              <w:top w:type="dxa" w:w="80"/>
              <w:left w:type="dxa" w:w="140"/>
              <w:bottom w:type="dxa" w:w="80"/>
              <w:right w:type="dxa" w:w="140"/>
            </w:tcMar>
          </w:tcPr>
          <w:p>
            <w:pPr>
              <w:keepNext w:val="false"/>
              <w:keepLines w:val="false"/>
              <w:spacing w:after="160" w:line="252"/>
              <w:jc w:val="left"/>
            </w:pPr>
            <w:r>
              <w:rPr>
                <w:rFonts w:ascii="Arial" w:cs="Arial" w:eastAsia="Arial" w:hAnsi="Arial"/>
                <w:b/>
                <w:bCs/>
                <w:i w:val="false"/>
                <w:iCs w:val="false"/>
                <w:color w:val="1F2A3D"/>
                <w:sz w:val="19"/>
                <w:szCs w:val="19"/>
              </w:rPr>
              <w:t xml:space="preserve">For Gigawatt Burundi S.A. / Pour Gigawatt Burundi S.A.</w:t>
            </w:r>
          </w:p>
          <w:p>
            <w:pPr>
              <w:keepNext w:val="false"/>
              <w:keepLines w:val="false"/>
              <w:spacing w:after="100" w:line="252"/>
              <w:jc w:val="left"/>
            </w:pPr>
            <w:r>
              <w:rPr>
                <w:rFonts w:ascii="Arial" w:cs="Arial" w:eastAsia="Arial" w:hAnsi="Arial"/>
                <w:b w:val="false"/>
                <w:bCs w:val="false"/>
                <w:i w:val="false"/>
                <w:iCs w:val="false"/>
                <w:color w:val="1F2A3D"/>
                <w:sz w:val="19"/>
                <w:szCs w:val="19"/>
              </w:rPr>
              <w:t xml:space="preserve">Name / Nom : Michael Fichtenberg</w:t>
            </w:r>
          </w:p>
          <w:p>
            <w:pPr>
              <w:keepNext w:val="false"/>
              <w:keepLines w:val="false"/>
              <w:spacing w:after="100" w:line="252"/>
              <w:jc w:val="left"/>
            </w:pPr>
            <w:r>
              <w:rPr>
                <w:rFonts w:ascii="Arial" w:cs="Arial" w:eastAsia="Arial" w:hAnsi="Arial"/>
                <w:b w:val="false"/>
                <w:bCs w:val="false"/>
                <w:i w:val="false"/>
                <w:iCs w:val="false"/>
                <w:color w:val="1F2A3D"/>
                <w:sz w:val="19"/>
                <w:szCs w:val="19"/>
              </w:rPr>
              <w:t xml:space="preserve">Title / Titre : Managing Director</w:t>
            </w:r>
          </w:p>
          <w:p>
            <w:pPr>
              <w:keepNext w:val="false"/>
              <w:keepLines w:val="false"/>
              <w:spacing w:after="100" w:line="252"/>
              <w:jc w:val="left"/>
            </w:pPr>
            <w:r>
              <w:rPr>
                <w:rFonts w:ascii="Arial" w:cs="Arial" w:eastAsia="Arial" w:hAnsi="Arial"/>
                <w:b w:val="false"/>
                <w:bCs w:val="false"/>
                <w:i w:val="false"/>
                <w:iCs w:val="false"/>
                <w:color w:val="1F2A3D"/>
                <w:sz w:val="19"/>
                <w:szCs w:val="19"/>
              </w:rPr>
              <w:t xml:space="preserve">Date : ______________________</w:t>
            </w:r>
          </w:p>
          <w:p>
            <w:pPr>
              <w:keepNext w:val="false"/>
              <w:keepLines w:val="false"/>
              <w:spacing w:after="60" w:line="252"/>
              <w:jc w:val="left"/>
            </w:pPr>
            <w:r>
              <w:rPr>
                <w:rFonts w:ascii="Arial" w:cs="Arial" w:eastAsia="Arial" w:hAnsi="Arial"/>
                <w:b w:val="false"/>
                <w:bCs w:val="false"/>
                <w:i w:val="false"/>
                <w:iCs w:val="false"/>
                <w:color w:val="1F2A3D"/>
                <w:sz w:val="19"/>
                <w:szCs w:val="19"/>
              </w:rPr>
              <w:t xml:space="preserve">Signature : ______________________</w:t>
            </w:r>
          </w:p>
        </w:tc>
      </w:tr>
    </w:tbl>
    <w:p>
      <w:pPr>
        <w:spacing w:after="140"/>
        <w:jc w:val="center"/>
      </w:pPr>
      <w:r>
        <w:rPr>
          <w:rFonts w:ascii="Arial" w:cs="Arial" w:eastAsia="Arial" w:hAnsi="Arial"/>
          <w:b/>
          <w:bCs/>
          <w:i w:val="false"/>
          <w:iCs w:val="false"/>
          <w:color w:val="1F2A3D"/>
          <w:sz w:val="20"/>
          <w:szCs w:val="20"/>
        </w:rPr>
        <w:t xml:space="preserve">In the presence of / En présence de :</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5103"/>
        <w:gridCol w:w="5103"/>
      </w:tblGrid>
      <w:tr>
        <w:tc>
          <w:tcPr>
            <w:tcW w:type="dxa" w:w="5103"/>
            <w:tcBorders>
              <w:top w:val="none" w:color="FFFFFF" w:sz="0"/>
              <w:left w:val="none" w:color="FFFFFF" w:sz="0"/>
              <w:bottom w:val="none" w:color="FFFFFF" w:sz="0"/>
              <w:right w:val="none" w:color="FFFFFF" w:sz="0"/>
            </w:tcBorders>
            <w:tcMar>
              <w:top w:type="dxa" w:w="80"/>
              <w:left w:type="dxa" w:w="140"/>
              <w:bottom w:type="dxa" w:w="80"/>
              <w:right w:type="dxa" w:w="140"/>
            </w:tcMar>
          </w:tcPr>
          <w:p>
            <w:pPr>
              <w:keepNext w:val="false"/>
              <w:keepLines w:val="false"/>
              <w:spacing w:after="100" w:line="252"/>
              <w:jc w:val="left"/>
            </w:pPr>
            <w:r>
              <w:rPr>
                <w:rFonts w:ascii="Arial" w:cs="Arial" w:eastAsia="Arial" w:hAnsi="Arial"/>
                <w:b w:val="false"/>
                <w:bCs w:val="false"/>
                <w:i w:val="false"/>
                <w:iCs w:val="false"/>
                <w:color w:val="1F2A3D"/>
                <w:sz w:val="19"/>
                <w:szCs w:val="19"/>
              </w:rPr>
              <w:t xml:space="preserve">Name / Nom : ______________________</w:t>
            </w:r>
          </w:p>
          <w:p>
            <w:pPr>
              <w:keepNext w:val="false"/>
              <w:keepLines w:val="false"/>
              <w:spacing w:after="100" w:line="252"/>
              <w:jc w:val="left"/>
            </w:pPr>
            <w:r>
              <w:rPr>
                <w:rFonts w:ascii="Arial" w:cs="Arial" w:eastAsia="Arial" w:hAnsi="Arial"/>
                <w:b w:val="false"/>
                <w:bCs w:val="false"/>
                <w:i w:val="false"/>
                <w:iCs w:val="false"/>
                <w:color w:val="1F2A3D"/>
                <w:sz w:val="19"/>
                <w:szCs w:val="19"/>
              </w:rPr>
              <w:t xml:space="preserve">Title / Titre : ______________________</w:t>
            </w:r>
          </w:p>
          <w:p>
            <w:pPr>
              <w:keepNext w:val="false"/>
              <w:keepLines w:val="false"/>
              <w:spacing w:after="60" w:line="252"/>
              <w:jc w:val="left"/>
            </w:pPr>
            <w:r>
              <w:rPr>
                <w:rFonts w:ascii="Arial" w:cs="Arial" w:eastAsia="Arial" w:hAnsi="Arial"/>
                <w:b w:val="false"/>
                <w:bCs w:val="false"/>
                <w:i w:val="false"/>
                <w:iCs w:val="false"/>
                <w:color w:val="1F2A3D"/>
                <w:sz w:val="19"/>
                <w:szCs w:val="19"/>
              </w:rPr>
              <w:t xml:space="preserve">Signature : ______________________</w:t>
            </w:r>
          </w:p>
        </w:tc>
        <w:tc>
          <w:tcPr>
            <w:tcW w:type="dxa" w:w="5103"/>
            <w:tcBorders>
              <w:top w:val="none" w:color="FFFFFF" w:sz="0"/>
              <w:left w:val="none" w:color="FFFFFF" w:sz="0"/>
              <w:bottom w:val="none" w:color="FFFFFF" w:sz="0"/>
              <w:right w:val="none" w:color="FFFFFF" w:sz="0"/>
            </w:tcBorders>
            <w:tcMar>
              <w:top w:type="dxa" w:w="80"/>
              <w:left w:type="dxa" w:w="140"/>
              <w:bottom w:type="dxa" w:w="80"/>
              <w:right w:type="dxa" w:w="140"/>
            </w:tcMar>
          </w:tcPr>
          <w:p>
            <w:pPr>
              <w:keepNext w:val="false"/>
              <w:keepLines w:val="false"/>
              <w:spacing w:after="100" w:line="252"/>
              <w:jc w:val="left"/>
            </w:pPr>
            <w:r>
              <w:rPr>
                <w:rFonts w:ascii="Arial" w:cs="Arial" w:eastAsia="Arial" w:hAnsi="Arial"/>
                <w:b w:val="false"/>
                <w:bCs w:val="false"/>
                <w:i w:val="false"/>
                <w:iCs w:val="false"/>
                <w:color w:val="1F2A3D"/>
                <w:sz w:val="19"/>
                <w:szCs w:val="19"/>
              </w:rPr>
              <w:t xml:space="preserve">Name / Nom : ______________________</w:t>
            </w:r>
          </w:p>
          <w:p>
            <w:pPr>
              <w:keepNext w:val="false"/>
              <w:keepLines w:val="false"/>
              <w:spacing w:after="100" w:line="252"/>
              <w:jc w:val="left"/>
            </w:pPr>
            <w:r>
              <w:rPr>
                <w:rFonts w:ascii="Arial" w:cs="Arial" w:eastAsia="Arial" w:hAnsi="Arial"/>
                <w:b w:val="false"/>
                <w:bCs w:val="false"/>
                <w:i w:val="false"/>
                <w:iCs w:val="false"/>
                <w:color w:val="1F2A3D"/>
                <w:sz w:val="19"/>
                <w:szCs w:val="19"/>
              </w:rPr>
              <w:t xml:space="preserve">Title / Titre : ______________________</w:t>
            </w:r>
          </w:p>
          <w:p>
            <w:pPr>
              <w:keepNext w:val="false"/>
              <w:keepLines w:val="false"/>
              <w:spacing w:after="60" w:line="252"/>
              <w:jc w:val="left"/>
            </w:pPr>
            <w:r>
              <w:rPr>
                <w:rFonts w:ascii="Arial" w:cs="Arial" w:eastAsia="Arial" w:hAnsi="Arial"/>
                <w:b w:val="false"/>
                <w:bCs w:val="false"/>
                <w:i w:val="false"/>
                <w:iCs w:val="false"/>
                <w:color w:val="1F2A3D"/>
                <w:sz w:val="19"/>
                <w:szCs w:val="19"/>
              </w:rPr>
              <w:t xml:space="preserve">Signature : ______________________</w:t>
            </w:r>
          </w:p>
        </w:tc>
      </w:tr>
    </w:tbl>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2026-08-05T01:20:48.670Z</dcterms:created>
  <dcterms:modified xsi:type="dcterms:W3CDTF">2026-08-05T01:20:48.670Z</dcterms:modified>
</cp:coreProperties>
</file>

<file path=docProps/custom.xml><?xml version="1.0" encoding="utf-8"?>
<Properties xmlns="http://schemas.openxmlformats.org/officeDocument/2006/custom-properties" xmlns:vt="http://schemas.openxmlformats.org/officeDocument/2006/docPropsVTypes"/>
</file>