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26"/>
          <w:szCs w:val="26"/>
          <w:lang w:val="en-US"/>
        </w:rPr>
      </w:pPr>
      <w:r>
        <w:rPr>
          <w:rFonts w:cs="Arial" w:ascii="Arial" w:hAnsi="Arial"/>
          <w:b/>
          <w:bCs/>
          <w:sz w:val="26"/>
          <w:szCs w:val="26"/>
          <w:lang w:val="en-US"/>
        </w:rPr>
      </w:r>
      <w:bookmarkStart w:id="0" w:name="AGAI_078_Appendix_028"/>
      <w:bookmarkStart w:id="1" w:name="AGAI_078_Appendix_028"/>
      <w:bookmarkEnd w:id="1"/>
    </w:p>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26"/>
          <w:szCs w:val="26"/>
          <w:lang w:val="en-US"/>
        </w:rPr>
      </w:pPr>
      <w:r>
        <w:rPr>
          <w:rFonts w:cs="Arial" w:ascii="Arial" w:hAnsi="Arial"/>
          <w:b/>
          <w:bCs/>
          <w:sz w:val="26"/>
          <w:szCs w:val="26"/>
          <w:lang w:val="en-US"/>
        </w:rPr>
        <w:t>APPENDIX 17A TO CHAPTER 78</w:t>
      </w:r>
    </w:p>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22"/>
          <w:szCs w:val="22"/>
          <w:lang w:val="en-US"/>
        </w:rPr>
      </w:pPr>
      <w:r>
        <w:rPr>
          <w:rFonts w:cs="Arial" w:ascii="Arial" w:hAnsi="Arial"/>
          <w:b/>
          <w:bCs/>
          <w:sz w:val="22"/>
          <w:szCs w:val="22"/>
          <w:lang w:val="en-US"/>
        </w:rPr>
      </w:r>
    </w:p>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Bold;Arial" w:hAnsi="Arial Bold;Arial" w:cs="Arial"/>
          <w:b/>
          <w:bCs/>
          <w:caps/>
          <w:sz w:val="26"/>
          <w:szCs w:val="26"/>
          <w:lang w:val="en-US"/>
        </w:rPr>
      </w:pPr>
      <w:r>
        <w:rPr>
          <w:rFonts w:cs="Arial" w:ascii="Arial Bold;Arial" w:hAnsi="Arial Bold;Arial"/>
          <w:b/>
          <w:bCs/>
          <w:caps/>
          <w:sz w:val="26"/>
          <w:szCs w:val="26"/>
          <w:lang w:val="en-US"/>
        </w:rPr>
        <w:t>Consent to Disclosure of Medical Records Following a Fitness for Work Assessment Guidance</w:t>
      </w:r>
    </w:p>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caps/>
          <w:sz w:val="22"/>
          <w:szCs w:val="22"/>
          <w:lang w:val="en-US"/>
        </w:rPr>
      </w:pPr>
      <w:r>
        <w:rPr>
          <w:rFonts w:cs="Arial" w:ascii="Arial" w:hAnsi="Arial"/>
          <w:b/>
          <w:bCs/>
          <w:caps/>
          <w:sz w:val="22"/>
          <w:szCs w:val="22"/>
          <w:lang w:val="en-US"/>
        </w:rPr>
      </w:r>
    </w:p>
    <w:p>
      <w:pPr>
        <w:pStyle w:val="Normal"/>
        <w:widowControl w:val="false"/>
        <w:numPr>
          <w:ilvl w:val="0"/>
          <w:numId w:val="6"/>
        </w:numPr>
        <w:tabs>
          <w:tab w:val="clear" w:pos="567"/>
          <w:tab w:val="left" w:pos="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hanging="0" w:start="0" w:end="0"/>
        <w:rPr>
          <w:rFonts w:ascii="Arial" w:hAnsi="Arial" w:cs="Arial"/>
          <w:sz w:val="22"/>
          <w:szCs w:val="22"/>
          <w:lang w:val="en-US"/>
        </w:rPr>
      </w:pPr>
      <w:r>
        <w:rPr>
          <w:rFonts w:cs="Arial" w:ascii="Arial" w:hAnsi="Arial"/>
          <w:sz w:val="22"/>
          <w:szCs w:val="22"/>
          <w:lang w:val="en-US"/>
        </w:rPr>
        <w:t xml:space="preserve">The Army is obliged to provide a safe system of work for its Service Personnel under the Health and Safety at Work Act 1974 (HASAWA 74).  The Army needs to understand your functional restrictions (non-medical information) through the Medical Employment Policy Appendices in order to safely employ you and ensure the safety of others employed with you.  Furthermore, it may be beneficial to you and Defence for you to release elements of your health record to other departments.  </w:t>
      </w:r>
    </w:p>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22"/>
          <w:szCs w:val="22"/>
          <w:lang w:val="en-US"/>
        </w:rPr>
      </w:pPr>
      <w:r>
        <w:rPr>
          <w:rFonts w:cs="Arial" w:ascii="Arial" w:hAnsi="Arial"/>
          <w:sz w:val="22"/>
          <w:szCs w:val="22"/>
          <w:lang w:val="en-US"/>
        </w:rPr>
      </w:r>
    </w:p>
    <w:p>
      <w:pPr>
        <w:pStyle w:val="Normal"/>
        <w:widowControl w:val="false"/>
        <w:numPr>
          <w:ilvl w:val="0"/>
          <w:numId w:val="6"/>
        </w:numPr>
        <w:tabs>
          <w:tab w:val="clear" w:pos="567"/>
          <w:tab w:val="left" w:pos="0" w:leader="none"/>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hanging="0" w:start="0" w:end="0"/>
        <w:rPr>
          <w:rFonts w:ascii="Arial" w:hAnsi="Arial" w:cs="Arial"/>
          <w:sz w:val="22"/>
          <w:szCs w:val="22"/>
          <w:lang w:val="en-US"/>
        </w:rPr>
      </w:pPr>
      <w:r>
        <w:rPr>
          <w:rFonts w:cs="Arial" w:ascii="Arial" w:hAnsi="Arial"/>
          <w:sz w:val="22"/>
          <w:szCs w:val="22"/>
          <w:lang w:val="en-US"/>
        </w:rPr>
        <w:t xml:space="preserve">The information that may be requested is </w:t>
      </w:r>
      <w:r>
        <w:rPr>
          <w:rFonts w:cs="Arial" w:ascii="Arial" w:hAnsi="Arial"/>
          <w:iCs/>
          <w:sz w:val="22"/>
          <w:szCs w:val="22"/>
          <w:lang w:val="en-US"/>
        </w:rPr>
        <w:t>confidential</w:t>
      </w:r>
      <w:r>
        <w:rPr>
          <w:rFonts w:cs="Arial" w:ascii="Arial" w:hAnsi="Arial"/>
          <w:sz w:val="22"/>
          <w:szCs w:val="22"/>
          <w:lang w:val="en-US"/>
        </w:rPr>
        <w:t xml:space="preserve"> and cannot be disclosed without your specific consent.  If your records are required for any purpose other than those detailed in the table below, further consent will be required.  You may withdraw your consent at any time and if you do so it is your responsibility to inform both the Chain of Command and Medical Officer.  The consent that you provide here is not continuous and will need to be re-issued if your JMES changes.  </w:t>
      </w:r>
      <w:r>
        <w:rPr>
          <w:rFonts w:cs="Arial" w:ascii="Arial" w:hAnsi="Arial"/>
          <w:sz w:val="22"/>
          <w:szCs w:val="22"/>
        </w:rPr>
        <w:t>It only applies to this Fitness for Work Assessment and the actions that follow as shown in the table below.  I</w:t>
      </w:r>
      <w:r>
        <w:rPr>
          <w:rFonts w:cs="Arial" w:ascii="Arial" w:hAnsi="Arial"/>
          <w:sz w:val="22"/>
          <w:szCs w:val="22"/>
          <w:lang w:val="en-US"/>
        </w:rPr>
        <w:t>f your records are required after you leave the Service for reassessment of your entitlements, further consent from you will be required before your records may be released to the requesting agency.</w:t>
      </w:r>
    </w:p>
    <w:p>
      <w:pPr>
        <w:pStyle w:val="Normal"/>
        <w:rPr>
          <w:rFonts w:ascii="Arial" w:hAnsi="Arial" w:cs="Arial"/>
          <w:sz w:val="22"/>
          <w:szCs w:val="22"/>
          <w:lang w:val="en-US"/>
        </w:rPr>
      </w:pPr>
      <w:r>
        <w:rPr>
          <w:rFonts w:cs="Arial" w:ascii="Arial" w:hAnsi="Arial"/>
          <w:sz w:val="22"/>
          <w:szCs w:val="22"/>
          <w:lang w:val="en-US"/>
        </w:rPr>
      </w:r>
    </w:p>
    <w:p>
      <w:pPr>
        <w:pStyle w:val="Normal"/>
        <w:rPr/>
      </w:pPr>
      <w:r>
        <w:rPr>
          <w:rFonts w:cs="Arial" w:ascii="Arial" w:hAnsi="Arial"/>
          <w:sz w:val="22"/>
          <w:szCs w:val="22"/>
          <w:lang w:val="en-US"/>
        </w:rPr>
        <w:t>Should you refuse to release information regarding your functional restrictions (non-medical information) to the Chain of Command the army may no longer be able to employ you in your current role and you may be subject to an administrative discharge with loss of entitlement, liability to pay back any Return of Service (RoS) and the nature of the discharge recorded on your AFB108 Certificate of Service/Discharge.  You will also be precluded from re-joining the Army.</w:t>
      </w:r>
    </w:p>
    <w:sectPr>
      <w:headerReference w:type="default" r:id="rId2"/>
      <w:footerReference w:type="default" r:id="rId3"/>
      <w:type w:val="nextPage"/>
      <w:pgSz w:w="11906" w:h="16838"/>
      <w:pgMar w:left="1134" w:right="1134" w:gutter="0" w:header="567" w:top="737" w:footer="397" w:bottom="45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Times New Roman Bold">
    <w:altName w:val="Times New Roman"/>
    <w:charset w:val="00" w:characterSet="windows-1252"/>
    <w:family w:val="roman"/>
    <w:pitch w:val="default"/>
  </w:font>
  <w:font w:name="Tahoma">
    <w:charset w:val="00" w:characterSet="windows-1252"/>
    <w:family w:val="swiss"/>
    <w:pitch w:val="variable"/>
  </w:font>
  <w:font w:name="Garamond">
    <w:charset w:val="00" w:characterSet="windows-1252"/>
    <w:family w:val="roman"/>
    <w:pitch w:val="variable"/>
  </w:font>
  <w:font w:name="Arial Bold">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pPr>
    <w:r>
      <w:rPr>
        <w:rFonts w:cs="Arial" w:ascii="Arial" w:hAnsi="Arial"/>
        <w:sz w:val="20"/>
        <w:szCs w:val="20"/>
      </w:rPr>
      <w:t>AEL 180                                                                        78/A17A</w:t>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301"/>
      <w:numFmt w:val="decimalZero"/>
      <w:lvlText w:val="%1."/>
      <w:lvlJc w:val="start"/>
      <w:pPr>
        <w:tabs>
          <w:tab w:val="num" w:pos="0"/>
        </w:tabs>
        <w:ind w:start="900" w:hanging="540"/>
      </w:pPr>
      <w:rPr>
        <w:rFonts w:cs="Times New Roman"/>
      </w:rPr>
    </w:lvl>
  </w:abstractNum>
  <w:abstractNum w:abstractNumId="6">
    <w:lvl w:ilvl="0">
      <w:start w:val="1"/>
      <w:numFmt w:val="decimal"/>
      <w:lvlText w:val="%1."/>
      <w:lvlJc w:val="start"/>
      <w:pPr>
        <w:tabs>
          <w:tab w:val="num" w:pos="720"/>
        </w:tabs>
        <w:ind w:start="720" w:hanging="360"/>
      </w:pPr>
      <w:rPr>
        <w:rFonts w:cs="Times New Roman"/>
      </w:rPr>
    </w:lvl>
  </w:abstractNum>
  <w:abstractNum w:abstractNumId="7">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8">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9">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w:docVar w:name="Free_Text_Prompt_2" w:val="Trade restrictions:"/>
    <w:docVar w:name="Free_Text_Prompt_3" w:val="Date of onset:"/>
    <w:docVar w:name="Free_Text_Prompt_4" w:val="Anticipated Outcome:"/>
    <w:docVar w:name="Free_Text_Prompt_5" w:val="Anticipated Timeline (ie stability):"/>
    <w:docVar w:name="PCS_DOCUMENT_NAME" w:val="Appendix_17A_AGAI_78_V1_0.dot"/>
    <w:docVar w:name="PCS_HANDLE" w:val="65756"/>
    <w:docVar w:name="PCS_MSG" w:val="49566"/>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3z5">
    <w:name w:val="WW8Num3z5"/>
    <w:qFormat/>
    <w:rPr>
      <w:b w:val="false"/>
      <w:i w:val="false"/>
      <w:sz w:val="24"/>
    </w:rPr>
  </w:style>
  <w:style w:type="character" w:styleId="WW8Num3z7">
    <w:name w:val="WW8Num3z7"/>
    <w:qFormat/>
    <w:rPr/>
  </w:style>
  <w:style w:type="character" w:styleId="WW8Num4z0">
    <w:name w:val="WW8Num4z0"/>
    <w:qFormat/>
    <w:rPr>
      <w:rFonts w:cs="Times New Roman"/>
    </w:rPr>
  </w:style>
  <w:style w:type="character" w:styleId="WW8Num4z1">
    <w:name w:val="WW8Num4z1"/>
    <w:qFormat/>
    <w:rPr>
      <w:rFonts w:cs="Times New Roman"/>
    </w:rPr>
  </w:style>
  <w:style w:type="character" w:styleId="WW8Num5z0">
    <w:name w:val="WW8Num5z0"/>
    <w:qFormat/>
    <w:rPr>
      <w:rFonts w:cs="Times New Roman"/>
    </w:rPr>
  </w:style>
  <w:style w:type="character" w:styleId="WW8Num6z0">
    <w:name w:val="WW8Num6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7z5">
    <w:name w:val="WW8Num7z5"/>
    <w:qFormat/>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8z5">
    <w:name w:val="WW8Num8z5"/>
    <w:qFormat/>
    <w:rPr>
      <w:b w:val="false"/>
      <w:i w:val="false"/>
      <w:sz w:val="24"/>
    </w:rPr>
  </w:style>
  <w:style w:type="character" w:styleId="WW8Num8z7">
    <w:name w:val="WW8Num8z7"/>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character" w:styleId="Heading1Char">
    <w:name w:val="Heading 1 Char"/>
    <w:qFormat/>
    <w:rPr>
      <w:rFonts w:ascii="Cambria" w:hAnsi="Cambria" w:eastAsia="Times New Roman" w:cs="Times New Roman"/>
      <w:b/>
      <w:bCs/>
      <w:kern w:val="2"/>
      <w:sz w:val="32"/>
      <w:szCs w:val="32"/>
    </w:rPr>
  </w:style>
  <w:style w:type="character" w:styleId="Heading2Char">
    <w:name w:val="Heading 2 Char"/>
    <w:qFormat/>
    <w:rPr>
      <w:rFonts w:ascii="Arial" w:hAnsi="Arial" w:cs="Arial"/>
      <w:b/>
      <w:i/>
      <w:kern w:val="2"/>
      <w:sz w:val="28"/>
      <w:szCs w:val="24"/>
    </w:rPr>
  </w:style>
  <w:style w:type="character" w:styleId="Heading3Char">
    <w:name w:val="Heading 3 Char"/>
    <w:qFormat/>
    <w:rPr>
      <w:rFonts w:ascii="Arial" w:hAnsi="Arial" w:cs="Arial"/>
      <w:b/>
      <w:kern w:val="2"/>
      <w:sz w:val="26"/>
      <w:szCs w:val="24"/>
    </w:rPr>
  </w:style>
  <w:style w:type="character" w:styleId="Heading4Char">
    <w:name w:val="Heading 4 Char"/>
    <w:qFormat/>
    <w:rPr>
      <w:rFonts w:ascii="Arial" w:hAnsi="Arial" w:cs="Arial"/>
      <w:b/>
      <w:kern w:val="2"/>
      <w:sz w:val="28"/>
      <w:szCs w:val="24"/>
    </w:rPr>
  </w:style>
  <w:style w:type="character" w:styleId="Heading5Char">
    <w:name w:val="Heading 5 Char"/>
    <w:qFormat/>
    <w:rPr>
      <w:rFonts w:ascii="Arial" w:hAnsi="Arial" w:cs="Arial"/>
      <w:b/>
      <w:i/>
      <w:kern w:val="2"/>
      <w:sz w:val="26"/>
      <w:szCs w:val="24"/>
    </w:rPr>
  </w:style>
  <w:style w:type="character" w:styleId="Heading6Char">
    <w:name w:val="Heading 6 Char"/>
    <w:qFormat/>
    <w:rPr>
      <w:rFonts w:ascii="Arial" w:hAnsi="Arial" w:cs="Arial"/>
      <w:b/>
      <w:kern w:val="2"/>
      <w:sz w:val="22"/>
      <w:szCs w:val="24"/>
    </w:rPr>
  </w:style>
  <w:style w:type="character" w:styleId="Heading7Char">
    <w:name w:val="Heading 7 Char"/>
    <w:qFormat/>
    <w:rPr>
      <w:rFonts w:ascii="Arial" w:hAnsi="Arial" w:cs="Arial"/>
      <w:kern w:val="2"/>
      <w:sz w:val="22"/>
      <w:szCs w:val="24"/>
    </w:rPr>
  </w:style>
  <w:style w:type="character" w:styleId="Heading8Char">
    <w:name w:val="Heading 8 Char"/>
    <w:qFormat/>
    <w:rPr>
      <w:rFonts w:ascii="Arial" w:hAnsi="Arial" w:cs="Arial"/>
      <w:i/>
      <w:kern w:val="2"/>
      <w:sz w:val="22"/>
      <w:szCs w:val="24"/>
    </w:rPr>
  </w:style>
  <w:style w:type="character" w:styleId="Heading9Char">
    <w:name w:val="Heading 9 Char"/>
    <w:qFormat/>
    <w:rPr>
      <w:rFonts w:ascii="Arial" w:hAnsi="Arial" w:cs="Arial"/>
      <w:kern w:val="2"/>
      <w:sz w:val="22"/>
      <w:szCs w:val="24"/>
    </w:rPr>
  </w:style>
  <w:style w:type="character" w:styleId="FooterChar">
    <w:name w:val="Footer Char"/>
    <w:qFormat/>
    <w:rPr>
      <w:sz w:val="24"/>
      <w:szCs w:val="24"/>
    </w:rPr>
  </w:style>
  <w:style w:type="character" w:styleId="BodyTextChar">
    <w:name w:val="Body Text Char"/>
    <w:qFormat/>
    <w:rPr>
      <w:sz w:val="24"/>
    </w:rPr>
  </w:style>
  <w:style w:type="character" w:styleId="BodyTextIndentChar">
    <w:name w:val="Body Text Indent Char"/>
    <w:qFormat/>
    <w:rPr>
      <w:b/>
      <w:sz w:val="24"/>
    </w:rPr>
  </w:style>
  <w:style w:type="character" w:styleId="TitleChar">
    <w:name w:val="Title Char"/>
    <w:qFormat/>
    <w:rPr>
      <w:b/>
      <w:sz w:val="40"/>
    </w:rPr>
  </w:style>
  <w:style w:type="character" w:styleId="BodyText2Char">
    <w:name w:val="Body Text 2 Char"/>
    <w:qFormat/>
    <w:rPr>
      <w:b/>
      <w:sz w:val="24"/>
    </w:rPr>
  </w:style>
  <w:style w:type="character" w:styleId="BodyTextIndent2Char">
    <w:name w:val="Body Text Indent 2 Char"/>
    <w:qFormat/>
    <w:rPr>
      <w:b/>
      <w:sz w:val="24"/>
    </w:rPr>
  </w:style>
  <w:style w:type="character" w:styleId="BodyText3Char">
    <w:name w:val="Body Text 3 Char"/>
    <w:qFormat/>
    <w:rPr>
      <w:b/>
      <w:sz w:val="28"/>
    </w:rPr>
  </w:style>
  <w:style w:type="character" w:styleId="ParaHeading">
    <w:name w:val="Para Heading"/>
    <w:qFormat/>
    <w:rPr>
      <w:rFonts w:ascii="Times New Roman Bold;Times New Roman" w:hAnsi="Times New Roman Bold;Times New Roman" w:cs="Times New Roman Bold;Times New Roman"/>
      <w:b/>
      <w:sz w:val="20"/>
    </w:rPr>
  </w:style>
  <w:style w:type="character" w:styleId="FollowedHyperlink">
    <w:name w:val="FollowedHyperlink"/>
    <w:rPr>
      <w:color w:val="800080"/>
      <w:u w:val="single"/>
    </w:rPr>
  </w:style>
  <w:style w:type="character" w:styleId="BalloonTextChar">
    <w:name w:val="Balloon Text Char"/>
    <w:qFormat/>
    <w:rPr>
      <w:rFonts w:ascii="Tahoma" w:hAnsi="Tahoma" w:cs="Tahoma"/>
      <w:sz w:val="16"/>
      <w:szCs w:val="16"/>
    </w:rPr>
  </w:style>
  <w:style w:type="character" w:styleId="Hyperlink">
    <w:name w:val="Hyperlink"/>
    <w:rPr>
      <w:color w:val="0000FF"/>
      <w:u w:val="single"/>
    </w:rPr>
  </w:style>
  <w:style w:type="character" w:styleId="FootnoteTextChar">
    <w:name w:val="Footnote Text Char"/>
    <w:qFormat/>
    <w:rPr>
      <w:sz w:val="16"/>
      <w:szCs w:val="24"/>
    </w:rPr>
  </w:style>
  <w:style w:type="character" w:styleId="SubtitleChar">
    <w:name w:val="Subtitle Char"/>
    <w:qFormat/>
    <w:rPr>
      <w:b/>
      <w:sz w:val="40"/>
    </w:rPr>
  </w:style>
  <w:style w:type="character" w:styleId="sub-paraheadings">
    <w:name w:val="sub-para headings"/>
    <w:qFormat/>
    <w:rPr>
      <w:rFonts w:ascii="Times New Roman" w:hAnsi="Times New Roman" w:cs="Times New Roman"/>
      <w:i/>
      <w:sz w:val="20"/>
    </w:rPr>
  </w:style>
  <w:style w:type="character" w:styleId="paraheading1">
    <w:name w:val="paraheading"/>
    <w:qFormat/>
    <w:rPr>
      <w:rFonts w:ascii="Times New Roman Bold;Times New Roman" w:hAnsi="Times New Roman Bold;Times New Roman" w:cs="Times New Roman Bold;Times New Roman"/>
      <w:b/>
    </w:rPr>
  </w:style>
  <w:style w:type="character" w:styleId="BodyTextIndent3Char">
    <w:name w:val="Body Text Indent 3 Char"/>
    <w:qFormat/>
    <w:rPr>
      <w:sz w:val="16"/>
      <w:szCs w:val="16"/>
    </w:rPr>
  </w:style>
  <w:style w:type="character" w:styleId="CommentReference">
    <w:name w:val="Comment Reference"/>
    <w:qFormat/>
    <w:rPr>
      <w:sz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UnresolvedMention1">
    <w:name w:val="Unresolved Mention1"/>
    <w:qFormat/>
    <w:rPr>
      <w:rFonts w:cs="Times New Roman"/>
      <w:color w:val="808080"/>
      <w:shd w:fill="E6E6E6" w:val="clear"/>
    </w:rPr>
  </w:style>
  <w:style w:type="character" w:styleId="EndnoteTextChar">
    <w:name w:val="Endnote Text Char"/>
    <w:qFormat/>
    <w:rPr>
      <w:szCs w:val="24"/>
    </w:rPr>
  </w:style>
  <w:style w:type="character" w:styleId="UnresolvedMention">
    <w:name w:val="Unresolved Mention"/>
    <w:qFormat/>
    <w:rPr>
      <w:rFonts w:cs="Times New Roman"/>
      <w:color w:val="808080"/>
      <w:shd w:fill="E6E6E6" w:val="clear"/>
    </w:rPr>
  </w:style>
  <w:style w:type="paragraph" w:styleId="Heading">
    <w:name w:val="Heading"/>
    <w:basedOn w:val="Normal"/>
    <w:next w:val="BodyText"/>
    <w:qFormat/>
    <w:pPr>
      <w:jc w:val="center"/>
    </w:pPr>
    <w:rPr>
      <w:b/>
      <w:sz w:val="40"/>
      <w:szCs w:val="20"/>
    </w:rPr>
  </w:style>
  <w:style w:type="paragraph" w:styleId="BodyText">
    <w:name w:val="Body Text"/>
    <w:basedOn w:val="Normal"/>
    <w:pPr>
      <w:widowControl w:val="false"/>
      <w:ind w:hanging="0" w:start="0" w:end="-43"/>
    </w:pPr>
    <w:rPr>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7"/>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9"/>
      </w:numPr>
      <w:tabs>
        <w:tab w:val="clear" w:pos="567"/>
      </w:tabs>
    </w:pPr>
    <w:rPr/>
  </w:style>
  <w:style w:type="paragraph" w:styleId="DWParaNum2">
    <w:name w:val="DW Para Num2"/>
    <w:basedOn w:val="DWPara"/>
    <w:qFormat/>
    <w:pPr>
      <w:numPr>
        <w:ilvl w:val="0"/>
        <w:numId w:val="9"/>
      </w:numPr>
      <w:tabs>
        <w:tab w:val="clear" w:pos="567"/>
      </w:tabs>
    </w:pPr>
    <w:rPr/>
  </w:style>
  <w:style w:type="paragraph" w:styleId="DWParaNum3">
    <w:name w:val="DW Para Num3"/>
    <w:basedOn w:val="DWPara"/>
    <w:qFormat/>
    <w:pPr>
      <w:numPr>
        <w:ilvl w:val="0"/>
        <w:numId w:val="9"/>
      </w:numPr>
      <w:tabs>
        <w:tab w:val="clear" w:pos="567"/>
      </w:tabs>
    </w:pPr>
    <w:rPr/>
  </w:style>
  <w:style w:type="paragraph" w:styleId="DWParaNum4">
    <w:name w:val="DW Para Num4"/>
    <w:basedOn w:val="DWPara"/>
    <w:qFormat/>
    <w:pPr>
      <w:numPr>
        <w:ilvl w:val="0"/>
        <w:numId w:val="9"/>
      </w:numPr>
      <w:tabs>
        <w:tab w:val="clear" w:pos="567"/>
      </w:tabs>
    </w:pPr>
    <w:rPr/>
  </w:style>
  <w:style w:type="paragraph" w:styleId="DWParaNum5">
    <w:name w:val="DW Para Num5"/>
    <w:basedOn w:val="DWPara"/>
    <w:qFormat/>
    <w:pPr>
      <w:numPr>
        <w:ilvl w:val="0"/>
        <w:numId w:val="9"/>
      </w:numPr>
      <w:tabs>
        <w:tab w:val="clear" w:pos="567"/>
      </w:tabs>
    </w:pPr>
    <w:rPr/>
  </w:style>
  <w:style w:type="paragraph" w:styleId="DWParaPB1">
    <w:name w:val="DW Para PB1"/>
    <w:basedOn w:val="DWPara"/>
    <w:qFormat/>
    <w:pPr>
      <w:numPr>
        <w:ilvl w:val="0"/>
        <w:numId w:val="8"/>
      </w:numPr>
      <w:tabs>
        <w:tab w:val="clear" w:pos="567"/>
      </w:tabs>
    </w:pPr>
    <w:rPr/>
  </w:style>
  <w:style w:type="paragraph" w:styleId="DWParaPB2">
    <w:name w:val="DW Para PB2"/>
    <w:basedOn w:val="DWPara"/>
    <w:qFormat/>
    <w:pPr>
      <w:numPr>
        <w:ilvl w:val="0"/>
        <w:numId w:val="8"/>
      </w:numPr>
      <w:tabs>
        <w:tab w:val="clear" w:pos="567"/>
      </w:tabs>
    </w:pPr>
    <w:rPr/>
  </w:style>
  <w:style w:type="paragraph" w:styleId="DWParaPB3">
    <w:name w:val="DW Para PB3"/>
    <w:basedOn w:val="DWPara"/>
    <w:qFormat/>
    <w:pPr>
      <w:numPr>
        <w:ilvl w:val="0"/>
        <w:numId w:val="8"/>
      </w:numPr>
      <w:tabs>
        <w:tab w:val="clear" w:pos="567"/>
      </w:tabs>
    </w:pPr>
    <w:rPr/>
  </w:style>
  <w:style w:type="paragraph" w:styleId="DWParaPB4">
    <w:name w:val="DW Para PB4"/>
    <w:basedOn w:val="DWPara"/>
    <w:qFormat/>
    <w:pPr>
      <w:numPr>
        <w:ilvl w:val="0"/>
        <w:numId w:val="8"/>
      </w:numPr>
      <w:tabs>
        <w:tab w:val="clear" w:pos="567"/>
      </w:tabs>
    </w:pPr>
    <w:rPr/>
  </w:style>
  <w:style w:type="paragraph" w:styleId="DWParaPB5">
    <w:name w:val="DW Para PB5"/>
    <w:basedOn w:val="DWPara"/>
    <w:qFormat/>
    <w:pPr>
      <w:numPr>
        <w:ilvl w:val="0"/>
        <w:numId w:val="8"/>
      </w:numPr>
      <w:tabs>
        <w:tab w:val="clear" w:pos="567"/>
      </w:tabs>
    </w:pPr>
    <w:rPr/>
  </w:style>
  <w:style w:type="paragraph" w:styleId="DWTableParaNum1">
    <w:name w:val="DW Table Para Num1"/>
    <w:basedOn w:val="DWTablePara"/>
    <w:qFormat/>
    <w:pPr>
      <w:numPr>
        <w:ilvl w:val="0"/>
        <w:numId w:val="4"/>
      </w:numPr>
      <w:tabs>
        <w:tab w:val="clear" w:pos="567"/>
        <w:tab w:val="left" w:pos="369" w:leader="none"/>
      </w:tabs>
    </w:pPr>
    <w:rPr/>
  </w:style>
  <w:style w:type="paragraph" w:styleId="DWTableParaNum2">
    <w:name w:val="DW Table Para Num2"/>
    <w:basedOn w:val="DWTablePara"/>
    <w:qFormat/>
    <w:pPr>
      <w:numPr>
        <w:ilvl w:val="0"/>
        <w:numId w:val="4"/>
      </w:numPr>
      <w:tabs>
        <w:tab w:val="clear" w:pos="567"/>
        <w:tab w:val="left" w:pos="737" w:leader="none"/>
      </w:tabs>
    </w:pPr>
    <w:rPr/>
  </w:style>
  <w:style w:type="paragraph" w:styleId="DWTableParaNum3">
    <w:name w:val="DW Table Para Num3"/>
    <w:basedOn w:val="DWTablePara"/>
    <w:qFormat/>
    <w:pPr>
      <w:numPr>
        <w:ilvl w:val="0"/>
        <w:numId w:val="4"/>
      </w:numPr>
      <w:tabs>
        <w:tab w:val="clear" w:pos="567"/>
        <w:tab w:val="left" w:pos="1106" w:leader="none"/>
      </w:tabs>
    </w:pPr>
    <w:rPr/>
  </w:style>
  <w:style w:type="paragraph" w:styleId="DWTableParaNum4">
    <w:name w:val="DW Table Para Num4"/>
    <w:basedOn w:val="DWTablePara"/>
    <w:qFormat/>
    <w:pPr>
      <w:numPr>
        <w:ilvl w:val="0"/>
        <w:numId w:val="4"/>
      </w:numPr>
      <w:tabs>
        <w:tab w:val="clear" w:pos="567"/>
        <w:tab w:val="left" w:pos="1474" w:leader="none"/>
      </w:tabs>
    </w:pPr>
    <w:rPr/>
  </w:style>
  <w:style w:type="paragraph" w:styleId="DWTableParaNum5">
    <w:name w:val="DW Table Para Num5"/>
    <w:basedOn w:val="DWTablePara"/>
    <w:qFormat/>
    <w:pPr>
      <w:numPr>
        <w:ilvl w:val="0"/>
        <w:numId w:val="4"/>
      </w:numPr>
      <w:tabs>
        <w:tab w:val="clear" w:pos="567"/>
        <w:tab w:val="left" w:pos="1843" w:leader="none"/>
      </w:tabs>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ind w:hanging="0" w:start="720" w:end="0"/>
    </w:pPr>
    <w:rPr>
      <w:sz w:val="20"/>
      <w:szCs w:val="20"/>
    </w:rPr>
  </w:style>
  <w:style w:type="paragraph" w:styleId="BodyTextIndent">
    <w:name w:val="Body Text Indent"/>
    <w:basedOn w:val="Normal"/>
    <w:pPr>
      <w:ind w:hanging="426" w:start="426" w:end="0"/>
    </w:pPr>
    <w:rPr>
      <w:b/>
      <w:szCs w:val="20"/>
    </w:rPr>
  </w:style>
  <w:style w:type="paragraph" w:styleId="BodyText2">
    <w:name w:val="Body Text 2"/>
    <w:basedOn w:val="Normal"/>
    <w:qFormat/>
    <w:pPr/>
    <w:rPr>
      <w:b/>
      <w:szCs w:val="20"/>
    </w:rPr>
  </w:style>
  <w:style w:type="paragraph" w:styleId="BodyTextIndent2">
    <w:name w:val="Body Text Indent 2"/>
    <w:basedOn w:val="Normal"/>
    <w:qFormat/>
    <w:pPr>
      <w:ind w:hanging="426" w:start="426" w:end="0"/>
      <w:jc w:val="center"/>
    </w:pPr>
    <w:rPr>
      <w:b/>
      <w:szCs w:val="20"/>
    </w:rPr>
  </w:style>
  <w:style w:type="paragraph" w:styleId="BodyText3">
    <w:name w:val="Body Text 3"/>
    <w:basedOn w:val="Normal"/>
    <w:qFormat/>
    <w:pPr>
      <w:jc w:val="center"/>
    </w:pPr>
    <w:rPr>
      <w:b/>
      <w:sz w:val="28"/>
      <w:szCs w:val="20"/>
    </w:rPr>
  </w:style>
  <w:style w:type="paragraph" w:styleId="HEADING1CHAPTER">
    <w:name w:val="HEADING 1 (CHAPTER)"/>
    <w:basedOn w:val="Heading1"/>
    <w:qFormat/>
    <w:pPr>
      <w:numPr>
        <w:ilvl w:val="0"/>
        <w:numId w:val="0"/>
      </w:numPr>
      <w:tabs>
        <w:tab w:val="clear" w:pos="567"/>
        <w:tab w:val="left" w:pos="425" w:leader="none"/>
      </w:tabs>
      <w:jc w:val="center"/>
      <w:outlineLvl w:val="9"/>
    </w:pPr>
    <w:rPr>
      <w:rFonts w:ascii="Times New Roman" w:hAnsi="Times New Roman" w:eastAsia="Times New Roman" w:cs="Times New Roman"/>
      <w:b w:val="false"/>
      <w:bCs w:val="false"/>
      <w:kern w:val="2"/>
      <w:sz w:val="24"/>
      <w:szCs w:val="20"/>
    </w:rPr>
  </w:style>
  <w:style w:type="paragraph" w:styleId="Subtitle">
    <w:name w:val="Subtitle"/>
    <w:basedOn w:val="Normal"/>
    <w:next w:val="BodyText"/>
    <w:qFormat/>
    <w:pPr>
      <w:jc w:val="center"/>
    </w:pPr>
    <w:rPr>
      <w:b/>
      <w:sz w:val="40"/>
      <w:szCs w:val="20"/>
    </w:rPr>
  </w:style>
  <w:style w:type="paragraph" w:styleId="Style11">
    <w:name w:val="Style1"/>
    <w:basedOn w:val="Heading1"/>
    <w:next w:val="Heading1"/>
    <w:qFormat/>
    <w:pPr>
      <w:keepNext w:val="false"/>
      <w:numPr>
        <w:ilvl w:val="0"/>
        <w:numId w:val="0"/>
      </w:numPr>
      <w:tabs>
        <w:tab w:val="clear" w:pos="567"/>
        <w:tab w:val="left" w:pos="720" w:leader="none"/>
      </w:tabs>
      <w:spacing w:before="0" w:after="240"/>
      <w:outlineLvl w:val="9"/>
    </w:pPr>
    <w:rPr>
      <w:rFonts w:ascii="Arial" w:hAnsi="Arial" w:eastAsia="Times New Roman" w:cs="Times New Roman"/>
      <w:b w:val="false"/>
      <w:bCs w:val="false"/>
      <w:kern w:val="2"/>
      <w:sz w:val="24"/>
      <w:szCs w:val="20"/>
    </w:rPr>
  </w:style>
  <w:style w:type="paragraph" w:styleId="TOAHeading">
    <w:name w:val="TOA Heading"/>
    <w:basedOn w:val="Normal"/>
    <w:next w:val="Normal"/>
    <w:qFormat/>
    <w:pPr>
      <w:tabs>
        <w:tab w:val="clear" w:pos="567"/>
        <w:tab w:val="left" w:pos="9000" w:leader="none"/>
        <w:tab w:val="right" w:pos="9360" w:leader="none"/>
      </w:tabs>
      <w:suppressAutoHyphens w:val="true"/>
    </w:pPr>
    <w:rPr>
      <w:szCs w:val="20"/>
    </w:rPr>
  </w:style>
  <w:style w:type="paragraph" w:styleId="Sub-sub-sub-sub-para">
    <w:name w:val="Sub-sub-sub-sub-para"/>
    <w:basedOn w:val="Normal"/>
    <w:qFormat/>
    <w:pPr>
      <w:tabs>
        <w:tab w:val="clear" w:pos="567"/>
        <w:tab w:val="left" w:pos="425" w:leader="none"/>
      </w:tabs>
      <w:spacing w:before="0" w:after="60"/>
      <w:ind w:hanging="284" w:start="1418" w:end="0"/>
      <w:jc w:val="both"/>
    </w:pPr>
    <w:rPr>
      <w:sz w:val="20"/>
      <w:szCs w:val="20"/>
    </w:rPr>
  </w:style>
  <w:style w:type="paragraph" w:styleId="sub-sub-sub-sub-para1">
    <w:name w:val="sub-sub-sub-sub-para1"/>
    <w:basedOn w:val="Normal"/>
    <w:qFormat/>
    <w:pPr>
      <w:spacing w:before="0" w:after="60"/>
      <w:ind w:hanging="284" w:start="1418" w:end="0"/>
      <w:jc w:val="both"/>
    </w:pPr>
    <w:rPr>
      <w:sz w:val="20"/>
      <w:szCs w:val="20"/>
    </w:rPr>
  </w:style>
  <w:style w:type="paragraph" w:styleId="StyleHeading1Left">
    <w:name w:val="Style Heading 1 + Left"/>
    <w:basedOn w:val="Heading1"/>
    <w:qFormat/>
    <w:pPr>
      <w:keepNext w:val="false"/>
      <w:numPr>
        <w:ilvl w:val="0"/>
        <w:numId w:val="5"/>
      </w:numPr>
      <w:spacing w:before="0" w:after="240"/>
      <w:outlineLvl w:val="9"/>
    </w:pPr>
    <w:rPr>
      <w:rFonts w:ascii="Arial" w:hAnsi="Arial" w:eastAsia="Times New Roman" w:cs="Times New Roman"/>
      <w:b w:val="false"/>
      <w:bCs w:val="false"/>
      <w:kern w:val="2"/>
      <w:sz w:val="24"/>
      <w:szCs w:val="20"/>
    </w:rPr>
  </w:style>
  <w:style w:type="paragraph" w:styleId="BodyTextIndent3">
    <w:name w:val="Body Text Indent 3"/>
    <w:basedOn w:val="Normal"/>
    <w:qFormat/>
    <w:pPr>
      <w:spacing w:before="0" w:after="120"/>
      <w:ind w:hanging="0" w:start="283" w:end="0"/>
    </w:pPr>
    <w:rPr>
      <w:sz w:val="16"/>
      <w:szCs w:val="16"/>
    </w:rPr>
  </w:style>
  <w:style w:type="paragraph" w:styleId="Author">
    <w:name w:val="Author"/>
    <w:basedOn w:val="BodyText"/>
    <w:qFormat/>
    <w:pPr>
      <w:widowControl/>
      <w:tabs>
        <w:tab w:val="clear" w:pos="567"/>
        <w:tab w:val="right" w:pos="8309" w:leader="none"/>
      </w:tabs>
      <w:spacing w:lineRule="auto" w:line="480"/>
      <w:ind w:hanging="0" w:start="0" w:end="0"/>
      <w:jc w:val="center"/>
    </w:pPr>
    <w:rPr>
      <w:rFonts w:ascii="Garamond" w:hAnsi="Garamond" w:cs="Garamond"/>
      <w:spacing w:val="-2"/>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4"/>
      <w:szCs w:val="20"/>
      <w:lang w:val="en-GB" w:bidi="ar-SA" w:eastAsia="zh-CN"/>
    </w:rPr>
  </w:style>
  <w:style w:type="paragraph" w:styleId="NormalWeb">
    <w:name w:val="Normal (Web)"/>
    <w:basedOn w:val="Normal"/>
    <w:qFormat/>
    <w:pPr>
      <w:spacing w:before="100" w:after="100"/>
    </w:pPr>
    <w:rPr/>
  </w:style>
  <w:style w:type="paragraph" w:styleId="NoSpacing">
    <w:name w:val="No Spacing"/>
    <w:qFormat/>
    <w:pPr>
      <w:widowControl/>
      <w:bidi w:val="0"/>
    </w:pPr>
    <w:rPr>
      <w:rFonts w:ascii="Times New Roman" w:hAnsi="Times New Roman" w:eastAsia="Times New Roman" w:cs="Times New Roman"/>
      <w:color w:val="auto"/>
      <w:sz w:val="24"/>
      <w:szCs w:val="20"/>
      <w:lang w:val="en-GB" w:bidi="ar-SA" w:eastAsia="zh-CN"/>
    </w:rPr>
  </w:style>
  <w:style w:type="paragraph" w:styleId="Normal10Right">
    <w:name w:val="Normal 10 Right"/>
    <w:basedOn w:val="Normal"/>
    <w:qFormat/>
    <w:pPr>
      <w:tabs>
        <w:tab w:val="clear" w:pos="567"/>
        <w:tab w:val="left" w:pos="425" w:leader="none"/>
      </w:tabs>
      <w:spacing w:before="0" w:after="60"/>
      <w:jc w:val="end"/>
    </w:pPr>
    <w:rPr>
      <w:sz w:val="20"/>
      <w:szCs w:val="20"/>
    </w:rPr>
  </w:style>
  <w:style w:type="paragraph" w:styleId="Heading3lookslike4">
    <w:name w:val="Heading 3 looks like 4"/>
    <w:basedOn w:val="Heading4"/>
    <w:next w:val="Normal"/>
    <w:qFormat/>
    <w:pPr>
      <w:numPr>
        <w:ilvl w:val="0"/>
        <w:numId w:val="0"/>
      </w:numPr>
      <w:spacing w:before="120" w:after="60"/>
      <w:outlineLvl w:val="2"/>
    </w:pPr>
    <w:rPr>
      <w:rFonts w:ascii="Times New Roman Bold;Times New Roman" w:hAnsi="Times New Roman Bold;Times New Roman" w:cs="Times New Roman Bold;Times New Roman"/>
      <w:kern w:val="0"/>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Appendix_17A_AGAI_78_V1_0.dot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2019-04-02T21:37:00Z</dcterms:created>
  <dc:creator>Johnstone, Thomas Maj</dc:creator>
  <dc:description/>
  <cp:keywords/>
  <dc:language>en-GB</dc:language>
  <cp:lastModifiedBy>Johnstone, Thomas Maj</cp:lastModifiedBy>
  <cp:lastPrinted>2019-04-02T12:51:00Z</cp:lastPrinted>
  <dcterms:modified xsi:type="dcterms:W3CDTF">2025-02-03T02:59:00Z</dcterms:modified>
  <cp:revision>4</cp:revision>
  <dc:subject/>
  <dc:title>APPENDIX 9</dc:title>
</cp:coreProperties>
</file>