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26"/>
          <w:szCs w:val="26"/>
          <w:lang w:val="en-US"/>
        </w:rPr>
      </w:pPr>
      <w:r>
        <w:rPr>
          <w:rFonts w:cs="Arial" w:ascii="Arial" w:hAnsi="Arial"/>
          <w:b/>
          <w:bCs/>
          <w:sz w:val="26"/>
          <w:szCs w:val="26"/>
          <w:lang w:val="en-US"/>
        </w:rPr>
      </w:r>
      <w:bookmarkStart w:id="0" w:name="AGAI_078_Appendix_028"/>
      <w:bookmarkStart w:id="1" w:name="AGAI_078_Appendix_028"/>
      <w:bookmarkEnd w:id="1"/>
    </w:p>
    <w:p>
      <w:pPr>
        <w:pStyle w:val="Heading1"/>
        <w:keepNext w:val="false"/>
        <w:ind w:hanging="0" w:start="0"/>
        <w:jc w:val="center"/>
        <w:rPr>
          <w:rFonts w:ascii="Arial" w:hAnsi="Arial" w:cs="Arial"/>
          <w:sz w:val="26"/>
          <w:szCs w:val="26"/>
        </w:rPr>
      </w:pPr>
      <w:r>
        <w:rPr>
          <w:rFonts w:cs="Arial" w:ascii="Arial" w:hAnsi="Arial"/>
          <w:sz w:val="26"/>
          <w:szCs w:val="26"/>
        </w:rPr>
        <w:t>APPENDIX 7 TO CHAPTER 78</w:t>
      </w:r>
    </w:p>
    <w:p>
      <w:pPr>
        <w:pStyle w:val="Normal"/>
        <w:jc w:val="center"/>
        <w:rPr>
          <w:rFonts w:ascii="Arial" w:hAnsi="Arial" w:cs="Arial"/>
          <w:b/>
          <w:sz w:val="22"/>
          <w:szCs w:val="22"/>
        </w:rPr>
      </w:pPr>
      <w:r>
        <w:rPr>
          <w:rFonts w:cs="Arial" w:ascii="Arial" w:hAnsi="Arial"/>
          <w:b/>
          <w:sz w:val="22"/>
          <w:szCs w:val="22"/>
        </w:rPr>
      </w:r>
    </w:p>
    <w:p>
      <w:pPr>
        <w:pStyle w:val="Heading2"/>
        <w:ind w:hanging="0" w:start="0"/>
        <w:jc w:val="center"/>
        <w:rPr>
          <w:rFonts w:cs="Arial"/>
          <w:i w:val="false"/>
          <w:i w:val="false"/>
          <w:sz w:val="26"/>
          <w:szCs w:val="26"/>
        </w:rPr>
      </w:pPr>
      <w:r>
        <w:rPr>
          <w:rFonts w:cs="Arial"/>
          <w:i w:val="false"/>
          <w:sz w:val="26"/>
          <w:szCs w:val="26"/>
        </w:rPr>
        <w:t>Instructions to be given to a SP on notification of the requirement to attend a Fitness for Work Assessment (FWA)</w:t>
      </w:r>
    </w:p>
    <w:p>
      <w:pPr>
        <w:pStyle w:val="Normal"/>
        <w:rPr>
          <w:rFonts w:ascii="Arial" w:hAnsi="Arial" w:cs="Arial"/>
          <w:i/>
          <w:i/>
          <w:sz w:val="26"/>
          <w:szCs w:val="26"/>
        </w:rPr>
      </w:pPr>
      <w:r>
        <w:rPr>
          <w:rFonts w:cs="Arial" w:ascii="Arial" w:hAnsi="Arial"/>
          <w:i/>
          <w:sz w:val="26"/>
          <w:szCs w:val="26"/>
        </w:rPr>
      </w:r>
    </w:p>
    <w:p>
      <w:pPr>
        <w:pStyle w:val="ListParagraph"/>
        <w:numPr>
          <w:ilvl w:val="0"/>
          <w:numId w:val="3"/>
        </w:numPr>
        <w:tabs>
          <w:tab w:val="left" w:pos="567" w:leader="none"/>
        </w:tabs>
        <w:autoSpaceDE w:val="false"/>
        <w:ind w:hanging="0" w:start="0" w:end="0"/>
        <w:rPr>
          <w:rFonts w:ascii="Arial" w:hAnsi="Arial" w:cs="Arial"/>
          <w:sz w:val="22"/>
          <w:szCs w:val="22"/>
        </w:rPr>
      </w:pPr>
      <w:r>
        <w:rPr>
          <w:rFonts w:cs="Arial" w:ascii="Arial" w:hAnsi="Arial"/>
          <w:b/>
          <w:bCs/>
          <w:sz w:val="22"/>
          <w:szCs w:val="22"/>
        </w:rPr>
        <w:t>Introduction.</w:t>
      </w:r>
      <w:r>
        <w:rPr>
          <w:rFonts w:cs="Arial" w:ascii="Arial" w:hAnsi="Arial"/>
          <w:bCs/>
          <w:sz w:val="22"/>
          <w:szCs w:val="22"/>
        </w:rPr>
        <w:t xml:space="preserve">  </w:t>
      </w:r>
      <w:r>
        <w:rPr>
          <w:rFonts w:cs="Arial" w:ascii="Arial" w:hAnsi="Arial"/>
          <w:sz w:val="22"/>
          <w:szCs w:val="22"/>
        </w:rPr>
        <w:t>Your FWA / FMB will be conducted on [date] which is a mandatory requirement of your employment in the Army as it determines your fitness and safety to work. You may elect for the board to be conducted in your absence. Failure to attend may result in a JMES being awarded in your absence.</w:t>
      </w:r>
    </w:p>
    <w:p>
      <w:pPr>
        <w:pStyle w:val="Normal"/>
        <w:autoSpaceDE w:val="false"/>
        <w:rPr>
          <w:rFonts w:ascii="Arial" w:hAnsi="Arial" w:cs="Arial"/>
          <w:sz w:val="22"/>
          <w:szCs w:val="22"/>
        </w:rPr>
      </w:pPr>
      <w:r>
        <w:rPr>
          <w:rFonts w:cs="Arial" w:ascii="Arial" w:hAnsi="Arial"/>
          <w:sz w:val="22"/>
          <w:szCs w:val="22"/>
        </w:rPr>
      </w:r>
    </w:p>
    <w:p>
      <w:pPr>
        <w:pStyle w:val="ListParagraph"/>
        <w:numPr>
          <w:ilvl w:val="0"/>
          <w:numId w:val="3"/>
        </w:numPr>
        <w:tabs>
          <w:tab w:val="left" w:pos="567" w:leader="none"/>
        </w:tabs>
        <w:autoSpaceDE w:val="false"/>
        <w:ind w:hanging="0" w:start="0" w:end="0"/>
        <w:rPr>
          <w:rFonts w:ascii="Arial" w:hAnsi="Arial" w:cs="Arial"/>
          <w:sz w:val="22"/>
          <w:szCs w:val="22"/>
        </w:rPr>
      </w:pPr>
      <w:r>
        <w:rPr>
          <w:rFonts w:cs="Arial" w:ascii="Arial" w:hAnsi="Arial"/>
          <w:b/>
          <w:bCs/>
          <w:sz w:val="22"/>
          <w:szCs w:val="22"/>
        </w:rPr>
        <w:t>Purpose of FWA.</w:t>
      </w:r>
      <w:r>
        <w:rPr>
          <w:rFonts w:cs="Arial" w:ascii="Arial" w:hAnsi="Arial"/>
          <w:bCs/>
          <w:sz w:val="22"/>
          <w:szCs w:val="22"/>
        </w:rPr>
        <w:t xml:space="preserve">  </w:t>
      </w:r>
      <w:r>
        <w:rPr>
          <w:rFonts w:cs="Arial" w:ascii="Arial" w:hAnsi="Arial"/>
          <w:sz w:val="22"/>
          <w:szCs w:val="22"/>
        </w:rPr>
        <w:t>The purpose of the FWA is to assess the effect your medical condition has (positively or negatively), or may have, on your ability to undertake your trade role within your Career Employment Group (trade), or the effect that your trade role and wider military employment may have (positively or negatively) on your medical condition and overall health.</w:t>
      </w:r>
    </w:p>
    <w:p>
      <w:pPr>
        <w:pStyle w:val="Normal"/>
        <w:autoSpaceDE w:val="false"/>
        <w:rPr>
          <w:rFonts w:ascii="Arial" w:hAnsi="Arial" w:cs="Arial"/>
          <w:b/>
          <w:bCs/>
          <w:sz w:val="22"/>
          <w:szCs w:val="22"/>
        </w:rPr>
      </w:pPr>
      <w:r>
        <w:rPr>
          <w:rFonts w:cs="Arial" w:ascii="Arial" w:hAnsi="Arial"/>
          <w:b/>
          <w:bCs/>
          <w:sz w:val="22"/>
          <w:szCs w:val="22"/>
        </w:rPr>
      </w:r>
    </w:p>
    <w:p>
      <w:pPr>
        <w:pStyle w:val="ListParagraph"/>
        <w:numPr>
          <w:ilvl w:val="0"/>
          <w:numId w:val="3"/>
        </w:numPr>
        <w:tabs>
          <w:tab w:val="left" w:pos="567" w:leader="none"/>
        </w:tabs>
        <w:autoSpaceDE w:val="false"/>
        <w:ind w:hanging="0" w:start="0" w:end="0"/>
        <w:rPr>
          <w:rFonts w:ascii="Arial" w:hAnsi="Arial" w:cs="Arial"/>
          <w:sz w:val="22"/>
          <w:szCs w:val="22"/>
        </w:rPr>
      </w:pPr>
      <w:r>
        <w:rPr>
          <w:rFonts w:cs="Arial" w:ascii="Arial" w:hAnsi="Arial"/>
          <w:b/>
          <w:bCs/>
          <w:sz w:val="22"/>
          <w:szCs w:val="22"/>
        </w:rPr>
        <w:t>Aim.</w:t>
      </w:r>
      <w:r>
        <w:rPr>
          <w:rFonts w:cs="Arial" w:ascii="Arial" w:hAnsi="Arial"/>
          <w:bCs/>
          <w:sz w:val="22"/>
          <w:szCs w:val="22"/>
        </w:rPr>
        <w:t xml:space="preserve">  Th</w:t>
      </w:r>
      <w:r>
        <w:rPr>
          <w:rFonts w:cs="Arial" w:ascii="Arial" w:hAnsi="Arial"/>
          <w:sz w:val="22"/>
          <w:szCs w:val="22"/>
        </w:rPr>
        <w:t>e aim is to provide the greatest level of employability and deployability capability for both yourself and the Army while serving to also protect both you and the Army from unnecessary risk of further harm, physical and mental, as a direct or indirect result of continued employment within your trade.</w:t>
      </w:r>
    </w:p>
    <w:p>
      <w:pPr>
        <w:pStyle w:val="Normal"/>
        <w:autoSpaceDE w:val="false"/>
        <w:rPr>
          <w:rFonts w:ascii="Arial" w:hAnsi="Arial" w:cs="Arial"/>
          <w:b/>
          <w:bCs/>
          <w:sz w:val="22"/>
          <w:szCs w:val="22"/>
        </w:rPr>
      </w:pPr>
      <w:r>
        <w:rPr>
          <w:rFonts w:cs="Arial" w:ascii="Arial" w:hAnsi="Arial"/>
          <w:b/>
          <w:bCs/>
          <w:sz w:val="22"/>
          <w:szCs w:val="22"/>
        </w:rPr>
      </w:r>
    </w:p>
    <w:p>
      <w:pPr>
        <w:pStyle w:val="ListParagraph"/>
        <w:numPr>
          <w:ilvl w:val="0"/>
          <w:numId w:val="3"/>
        </w:numPr>
        <w:tabs>
          <w:tab w:val="left" w:pos="567" w:leader="none"/>
        </w:tabs>
        <w:autoSpaceDE w:val="false"/>
        <w:ind w:hanging="0" w:start="0" w:end="0"/>
        <w:rPr>
          <w:rFonts w:ascii="Arial" w:hAnsi="Arial" w:cs="Arial"/>
          <w:sz w:val="22"/>
          <w:szCs w:val="22"/>
        </w:rPr>
      </w:pPr>
      <w:r>
        <w:rPr>
          <w:rFonts w:cs="Arial" w:ascii="Arial" w:hAnsi="Arial"/>
          <w:b/>
          <w:bCs/>
          <w:sz w:val="22"/>
          <w:szCs w:val="22"/>
        </w:rPr>
        <w:t>Outcome.</w:t>
      </w:r>
      <w:r>
        <w:rPr>
          <w:rFonts w:cs="Arial" w:ascii="Arial" w:hAnsi="Arial"/>
          <w:bCs/>
          <w:sz w:val="22"/>
          <w:szCs w:val="22"/>
        </w:rPr>
        <w:t xml:space="preserve">  </w:t>
      </w:r>
      <w:r>
        <w:rPr>
          <w:rFonts w:cs="Arial" w:ascii="Arial" w:hAnsi="Arial"/>
          <w:sz w:val="22"/>
          <w:szCs w:val="22"/>
        </w:rPr>
        <w:t>The outcome may require varying levels of adaptation to your current trade role, or restriction in your employment to reduce exposure to any hazards that may exacerbate or worsen your condition.  This may have an effect on how you undertake your trade and how you may be employed and deployed on military exercise or Operations.</w:t>
      </w:r>
    </w:p>
    <w:p>
      <w:pPr>
        <w:pStyle w:val="Normal"/>
        <w:autoSpaceDE w:val="false"/>
        <w:rPr>
          <w:rFonts w:ascii="Arial" w:hAnsi="Arial" w:cs="Arial"/>
          <w:b/>
          <w:bCs/>
          <w:sz w:val="22"/>
          <w:szCs w:val="22"/>
        </w:rPr>
      </w:pPr>
      <w:r>
        <w:rPr>
          <w:rFonts w:cs="Arial" w:ascii="Arial" w:hAnsi="Arial"/>
          <w:b/>
          <w:bCs/>
          <w:sz w:val="22"/>
          <w:szCs w:val="22"/>
        </w:rPr>
      </w:r>
    </w:p>
    <w:p>
      <w:pPr>
        <w:pStyle w:val="ListParagraph"/>
        <w:numPr>
          <w:ilvl w:val="0"/>
          <w:numId w:val="3"/>
        </w:numPr>
        <w:tabs>
          <w:tab w:val="left" w:pos="567" w:leader="none"/>
        </w:tabs>
        <w:autoSpaceDE w:val="false"/>
        <w:ind w:hanging="0" w:start="0" w:end="0"/>
        <w:rPr>
          <w:rFonts w:ascii="Arial" w:hAnsi="Arial" w:cs="Arial"/>
          <w:sz w:val="22"/>
          <w:szCs w:val="22"/>
        </w:rPr>
      </w:pPr>
      <w:r>
        <w:rPr>
          <w:rFonts w:cs="Arial" w:ascii="Arial" w:hAnsi="Arial"/>
          <w:b/>
          <w:bCs/>
          <w:sz w:val="22"/>
          <w:szCs w:val="22"/>
        </w:rPr>
        <w:t>Consent.</w:t>
      </w:r>
      <w:r>
        <w:rPr>
          <w:rFonts w:cs="Arial" w:ascii="Arial" w:hAnsi="Arial"/>
          <w:bCs/>
          <w:sz w:val="22"/>
          <w:szCs w:val="22"/>
        </w:rPr>
        <w:t xml:space="preserve">  </w:t>
      </w:r>
      <w:r>
        <w:rPr>
          <w:rFonts w:cs="Arial" w:ascii="Arial" w:hAnsi="Arial"/>
          <w:sz w:val="22"/>
          <w:szCs w:val="22"/>
        </w:rPr>
        <w:t>Your attendance at FWA / FMB will involve discussion of your consent to release the JMES employment standard to the CoC. You can withhold consent for both the FWA being undertaken and release of the JMES to the CoC as of right (Appx 9 box and Appx 17A/B). Without consent the medical chain cannot convey any legitimate and appropriate risk management advice to the CoC in relation to your appropriate and safe employment.  This may lead to new employment considerations in relation to continued Service</w:t>
      </w:r>
      <w:r>
        <w:rPr>
          <w:rFonts w:cs="Arial" w:ascii="Arial" w:hAnsi="Arial"/>
          <w:i/>
          <w:sz w:val="22"/>
          <w:szCs w:val="22"/>
        </w:rPr>
        <w:t xml:space="preserve">, </w:t>
      </w:r>
      <w:r>
        <w:rPr>
          <w:rFonts w:cs="Arial" w:ascii="Arial" w:hAnsi="Arial"/>
          <w:sz w:val="22"/>
          <w:szCs w:val="22"/>
        </w:rPr>
        <w:t xml:space="preserve">see </w:t>
      </w:r>
      <w:r>
        <w:rPr>
          <w:rFonts w:cs="Arial" w:ascii="Arial" w:hAnsi="Arial"/>
          <w:b/>
          <w:sz w:val="22"/>
          <w:szCs w:val="22"/>
        </w:rPr>
        <w:t>para 78.1025</w:t>
      </w:r>
      <w:r>
        <w:rPr>
          <w:rFonts w:cs="Arial" w:ascii="Arial" w:hAnsi="Arial"/>
          <w:sz w:val="22"/>
          <w:szCs w:val="22"/>
        </w:rPr>
        <w:t xml:space="preserve">.  </w:t>
      </w:r>
    </w:p>
    <w:p>
      <w:pPr>
        <w:pStyle w:val="Normal"/>
        <w:autoSpaceDE w:val="false"/>
        <w:rPr>
          <w:rFonts w:ascii="Arial" w:hAnsi="Arial" w:cs="Arial"/>
          <w:sz w:val="22"/>
          <w:szCs w:val="22"/>
        </w:rPr>
      </w:pPr>
      <w:r>
        <w:rPr>
          <w:rFonts w:cs="Arial" w:ascii="Arial" w:hAnsi="Arial"/>
          <w:sz w:val="22"/>
          <w:szCs w:val="22"/>
        </w:rPr>
      </w:r>
    </w:p>
    <w:p>
      <w:pPr>
        <w:pStyle w:val="ListParagraph"/>
        <w:numPr>
          <w:ilvl w:val="0"/>
          <w:numId w:val="3"/>
        </w:numPr>
        <w:tabs>
          <w:tab w:val="left" w:pos="567" w:leader="none"/>
        </w:tabs>
        <w:autoSpaceDE w:val="false"/>
        <w:ind w:hanging="0" w:start="0" w:end="0"/>
        <w:rPr>
          <w:rFonts w:ascii="Arial" w:hAnsi="Arial" w:cs="Arial"/>
          <w:sz w:val="22"/>
          <w:szCs w:val="22"/>
        </w:rPr>
      </w:pPr>
      <w:r>
        <w:rPr>
          <w:rFonts w:cs="Arial" w:ascii="Arial" w:hAnsi="Arial"/>
          <w:b/>
          <w:sz w:val="22"/>
          <w:szCs w:val="22"/>
        </w:rPr>
        <w:t>Non- Attendance</w:t>
      </w:r>
      <w:r>
        <w:rPr>
          <w:rFonts w:cs="Arial" w:ascii="Arial" w:hAnsi="Arial"/>
          <w:b/>
          <w:bCs/>
          <w:sz w:val="22"/>
          <w:szCs w:val="22"/>
        </w:rPr>
        <w:t xml:space="preserve">. </w:t>
      </w:r>
      <w:r>
        <w:rPr>
          <w:rFonts w:cs="Arial" w:ascii="Arial" w:hAnsi="Arial"/>
          <w:bCs/>
          <w:sz w:val="22"/>
          <w:szCs w:val="22"/>
        </w:rPr>
        <w:t xml:space="preserve"> Y</w:t>
      </w:r>
      <w:r>
        <w:rPr>
          <w:rFonts w:cs="Arial" w:ascii="Arial" w:hAnsi="Arial"/>
          <w:sz w:val="22"/>
          <w:szCs w:val="22"/>
        </w:rPr>
        <w:t xml:space="preserve">ou do not need to participate directly in the assessment if you do not wish to and it may be considered that your review medical FWA can be coordinated by telephone or email.  However, this is your opportunity to discuss the practical implications of your health and employment. You are strongly encouraged to engage in the process and attend all assessments.  It is important to understand that without the assessment your CoC cannot be assured of your safety in your employment and that any risk is appropriately managed to protect you.  If you do not attend the safest and most restrictive employment grade is likely to be recommended based on a reading of your medical record.  This permanent protective grade may however prevent the CoC from employing you in a meaningful, regular and gainful way. In this situation Appendix 28 may be initiated. </w:t>
      </w:r>
    </w:p>
    <w:p>
      <w:pPr>
        <w:pStyle w:val="Normal"/>
        <w:autoSpaceDE w:val="false"/>
        <w:rPr>
          <w:rFonts w:ascii="Arial" w:hAnsi="Arial" w:cs="Arial"/>
          <w:b/>
          <w:bCs/>
          <w:sz w:val="22"/>
          <w:szCs w:val="22"/>
        </w:rPr>
      </w:pPr>
      <w:r>
        <w:rPr>
          <w:rFonts w:cs="Arial" w:ascii="Arial" w:hAnsi="Arial"/>
          <w:b/>
          <w:bCs/>
          <w:sz w:val="22"/>
          <w:szCs w:val="22"/>
        </w:rPr>
      </w:r>
    </w:p>
    <w:p>
      <w:pPr>
        <w:pStyle w:val="ListParagraph"/>
        <w:numPr>
          <w:ilvl w:val="0"/>
          <w:numId w:val="3"/>
        </w:numPr>
        <w:autoSpaceDE w:val="false"/>
        <w:ind w:hanging="0" w:start="0" w:end="0"/>
        <w:rPr>
          <w:rFonts w:ascii="Arial" w:hAnsi="Arial" w:cs="Arial"/>
          <w:sz w:val="22"/>
          <w:szCs w:val="22"/>
        </w:rPr>
      </w:pPr>
      <w:r>
        <w:rPr>
          <w:rFonts w:cs="Arial" w:ascii="Arial" w:hAnsi="Arial"/>
          <w:b/>
          <w:bCs/>
          <w:sz w:val="22"/>
          <w:szCs w:val="22"/>
        </w:rPr>
        <w:t>Concerns.</w:t>
      </w:r>
      <w:r>
        <w:rPr>
          <w:rFonts w:cs="Arial" w:ascii="Arial" w:hAnsi="Arial"/>
          <w:bCs/>
          <w:sz w:val="22"/>
          <w:szCs w:val="22"/>
        </w:rPr>
        <w:t xml:space="preserve">  </w:t>
      </w:r>
      <w:r>
        <w:rPr>
          <w:rFonts w:cs="Arial" w:ascii="Arial" w:hAnsi="Arial"/>
          <w:sz w:val="22"/>
          <w:szCs w:val="22"/>
        </w:rPr>
        <w:t>If you have any questions regarding your FWA they can be addressed to your CoC or local Med Centre.</w:t>
      </w:r>
    </w:p>
    <w:p>
      <w:pPr>
        <w:pStyle w:val="Normal"/>
        <w:rPr>
          <w:rFonts w:ascii="Arial" w:hAnsi="Arial" w:cs="Arial"/>
          <w:sz w:val="22"/>
          <w:szCs w:val="22"/>
        </w:rPr>
      </w:pPr>
      <w:r>
        <w:rPr>
          <w:rFonts w:cs="Arial" w:ascii="Arial" w:hAnsi="Arial"/>
          <w:sz w:val="22"/>
          <w:szCs w:val="22"/>
        </w:rPr>
      </w:r>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22"/>
          <w:szCs w:val="22"/>
        </w:rPr>
      </w:pPr>
      <w:r>
        <w:rPr>
          <w:rFonts w:cs="Arial" w:ascii="Arial" w:hAnsi="Arial"/>
          <w:sz w:val="22"/>
          <w:szCs w:val="22"/>
        </w:rPr>
      </w:r>
    </w:p>
    <w:sectPr>
      <w:headerReference w:type="default" r:id="rId2"/>
      <w:footerReference w:type="default" r:id="rId3"/>
      <w:type w:val="nextPage"/>
      <w:pgSz w:w="11906" w:h="16838"/>
      <w:pgMar w:left="1134" w:right="1134" w:gutter="0" w:header="567" w:top="737" w:footer="397" w:bottom="45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Times New Roman Bold">
    <w:altName w:val="Times New Roman"/>
    <w:charset w:val="00" w:characterSet="windows-1252"/>
    <w:family w:val="roman"/>
    <w:pitch w:val="default"/>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67"/>
        <w:tab w:val="center" w:pos="4820" w:leader="none"/>
        <w:tab w:val="right" w:pos="9639" w:leader="none"/>
      </w:tabs>
      <w:rPr/>
    </w:pPr>
    <w:r>
      <w:rPr>
        <w:rFonts w:cs="Arial" w:ascii="Arial" w:hAnsi="Arial"/>
        <w:sz w:val="22"/>
        <w:szCs w:val="22"/>
      </w:rPr>
      <w:t>AEL 180</w:t>
      <w:tab/>
      <w:t>78/A7-</w:t>
    </w:r>
    <w:r>
      <w:rPr>
        <w:rFonts w:cs="Arial" w:ascii="Arial" w:hAnsi="Arial"/>
        <w:sz w:val="22"/>
        <w:szCs w:val="22"/>
      </w:rPr>
      <w:fldChar w:fldCharType="begin"/>
    </w:r>
    <w:r>
      <w:rPr>
        <w:sz w:val="22"/>
        <w:szCs w:val="22"/>
        <w:rFonts w:cs="Arial" w:ascii="Arial" w:hAnsi="Arial"/>
      </w:rPr>
      <w:instrText xml:space="preserve"> PAGE </w:instrText>
    </w:r>
    <w:r>
      <w:rPr>
        <w:sz w:val="22"/>
        <w:szCs w:val="22"/>
        <w:rFonts w:cs="Arial" w:ascii="Arial" w:hAnsi="Arial"/>
      </w:rPr>
      <w:fldChar w:fldCharType="separate"/>
    </w:r>
    <w:r>
      <w:rPr>
        <w:sz w:val="22"/>
        <w:szCs w:val="22"/>
        <w:rFonts w:cs="Arial" w:ascii="Arial" w:hAnsi="Arial"/>
      </w:rPr>
      <w:t>1</w:t>
    </w:r>
    <w:r>
      <w:rPr>
        <w:sz w:val="22"/>
        <w:szCs w:val="22"/>
        <w:rFonts w:cs="Arial" w:ascii="Arial" w:hAnsi="Arial"/>
      </w:rPr>
      <w:fldChar w:fldCharType="end"/>
    </w:r>
    <w:r>
      <w:rPr>
        <w:rFonts w:cs="Arial" w:ascii="Arial" w:hAnsi="Arial"/>
        <w:sz w:val="22"/>
        <w:szCs w:val="22"/>
      </w:rPr>
      <w:tab/>
      <w:t>AC 60974/2</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567"/>
        <w:tab w:val="center" w:pos="4820" w:leader="none"/>
        <w:tab w:val="right" w:pos="9639" w:leader="none"/>
      </w:tabs>
      <w:spacing w:before="0" w:after="0"/>
      <w:rPr>
        <w:rFonts w:ascii="Arial" w:hAnsi="Arial" w:cs="Arial"/>
        <w:sz w:val="20"/>
      </w:rPr>
    </w:pPr>
    <w:r>
      <w:rPr>
        <w:rFonts w:cs="Arial" w:ascii="Arial" w:hAnsi="Arial"/>
        <w:sz w:val="20"/>
      </w:rPr>
      <w:t>AGAI Vol 2 Ch 78</w:t>
      <w:tab/>
      <w:t>ARMY MEDICAL EMPLOYMENT POLICY</w:t>
      <w:tab/>
      <w:t>January 2025</w:t>
    </w:r>
  </w:p>
  <w:p>
    <w:pPr>
      <w:pStyle w:val="Header"/>
      <w:spacing w:before="0" w:after="0"/>
      <w:jc w:val="end"/>
      <w:rPr>
        <w:rFonts w:ascii="Arial" w:hAnsi="Arial" w:cs="Arial"/>
        <w:sz w:val="20"/>
      </w:rPr>
    </w:pPr>
    <w:r>
      <w:rPr>
        <w:rFonts w:cs="Arial" w:ascii="Arial" w:hAnsi="Arial"/>
        <w:sz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0"/>
        </w:tabs>
        <w:ind w:start="720" w:hanging="360"/>
      </w:pPr>
      <w:rPr>
        <w:rFonts w:ascii="Arial" w:hAnsi="Arial" w:cs="Arial"/>
      </w:rPr>
    </w:lvl>
  </w:abstractNum>
  <w:abstractNum w:abstractNumId="4">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5">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6">
    <w:lvl w:ilvl="0">
      <w:start w:val="301"/>
      <w:numFmt w:val="decimalZero"/>
      <w:lvlText w:val="%1."/>
      <w:lvlJc w:val="start"/>
      <w:pPr>
        <w:tabs>
          <w:tab w:val="num" w:pos="0"/>
        </w:tabs>
        <w:ind w:start="900" w:hanging="540"/>
      </w:pPr>
      <w:rPr>
        <w:rFonts w:cs="Times New Roman"/>
      </w:rPr>
    </w:lvl>
  </w:abstractNum>
  <w:abstractNum w:abstractNumId="7">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8">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9">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Trade restrictions:"/>
    <w:docVar w:name="Free_Text_Prompt_3" w:val="Date of onset:"/>
    <w:docVar w:name="Free_Text_Prompt_4" w:val="Anticipated Outcome:"/>
    <w:docVar w:name="Free_Text_Prompt_5" w:val="Anticipated Timeline (ie stability):"/>
    <w:docVar w:name="PCS_DOCUMENT_NAME" w:val="Appendix_7_AGAI_78_V1_0.dot"/>
    <w:docVar w:name="PCS_HANDLE" w:val="65756"/>
    <w:docVar w:name="PCS_MSG" w:val="49563"/>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rFonts w:ascii="Arial" w:hAnsi="Arial" w:cs="Arial"/>
    </w:rPr>
  </w:style>
  <w:style w:type="character" w:styleId="WW8Num2z1">
    <w:name w:val="WW8Num2z1"/>
    <w:qFormat/>
    <w:rPr>
      <w:rFonts w:cs="Times New Roman"/>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rFonts w:cs="Times New Roman"/>
    </w:rPr>
  </w:style>
  <w:style w:type="character" w:styleId="WW8Num5z1">
    <w:name w:val="WW8Num5z1"/>
    <w:qFormat/>
    <w:rPr>
      <w:rFonts w:cs="Times New Roman"/>
    </w:rPr>
  </w:style>
  <w:style w:type="character" w:styleId="WW8Num6z0">
    <w:name w:val="WW8Num6z0"/>
    <w:qFormat/>
    <w:rPr>
      <w:rFonts w:cs="Times New Roman"/>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character" w:styleId="Heading1Char">
    <w:name w:val="Heading 1 Char"/>
    <w:qFormat/>
    <w:rPr>
      <w:rFonts w:ascii="Cambria" w:hAnsi="Cambria" w:eastAsia="Times New Roman" w:cs="Times New Roman"/>
      <w:b/>
      <w:bCs/>
      <w:kern w:val="2"/>
      <w:sz w:val="32"/>
      <w:szCs w:val="32"/>
    </w:rPr>
  </w:style>
  <w:style w:type="character" w:styleId="Heading2Char">
    <w:name w:val="Heading 2 Char"/>
    <w:qFormat/>
    <w:rPr>
      <w:rFonts w:ascii="Arial" w:hAnsi="Arial" w:cs="Arial"/>
      <w:b/>
      <w:i/>
      <w:kern w:val="2"/>
      <w:sz w:val="28"/>
      <w:szCs w:val="24"/>
    </w:rPr>
  </w:style>
  <w:style w:type="character" w:styleId="Heading3Char">
    <w:name w:val="Heading 3 Char"/>
    <w:qFormat/>
    <w:rPr>
      <w:rFonts w:ascii="Arial" w:hAnsi="Arial" w:cs="Arial"/>
      <w:b/>
      <w:kern w:val="2"/>
      <w:sz w:val="26"/>
      <w:szCs w:val="24"/>
    </w:rPr>
  </w:style>
  <w:style w:type="character" w:styleId="Heading4Char">
    <w:name w:val="Heading 4 Char"/>
    <w:qFormat/>
    <w:rPr>
      <w:rFonts w:ascii="Arial" w:hAnsi="Arial" w:cs="Arial"/>
      <w:b/>
      <w:kern w:val="2"/>
      <w:sz w:val="28"/>
      <w:szCs w:val="24"/>
    </w:rPr>
  </w:style>
  <w:style w:type="character" w:styleId="Heading5Char">
    <w:name w:val="Heading 5 Char"/>
    <w:qFormat/>
    <w:rPr>
      <w:rFonts w:ascii="Arial" w:hAnsi="Arial" w:cs="Arial"/>
      <w:b/>
      <w:i/>
      <w:kern w:val="2"/>
      <w:sz w:val="26"/>
      <w:szCs w:val="24"/>
    </w:rPr>
  </w:style>
  <w:style w:type="character" w:styleId="Heading6Char">
    <w:name w:val="Heading 6 Char"/>
    <w:qFormat/>
    <w:rPr>
      <w:rFonts w:ascii="Arial" w:hAnsi="Arial" w:cs="Arial"/>
      <w:b/>
      <w:kern w:val="2"/>
      <w:sz w:val="22"/>
      <w:szCs w:val="24"/>
    </w:rPr>
  </w:style>
  <w:style w:type="character" w:styleId="Heading7Char">
    <w:name w:val="Heading 7 Char"/>
    <w:qFormat/>
    <w:rPr>
      <w:rFonts w:ascii="Arial" w:hAnsi="Arial" w:cs="Arial"/>
      <w:kern w:val="2"/>
      <w:sz w:val="22"/>
      <w:szCs w:val="24"/>
    </w:rPr>
  </w:style>
  <w:style w:type="character" w:styleId="Heading8Char">
    <w:name w:val="Heading 8 Char"/>
    <w:qFormat/>
    <w:rPr>
      <w:rFonts w:ascii="Arial" w:hAnsi="Arial" w:cs="Arial"/>
      <w:i/>
      <w:kern w:val="2"/>
      <w:sz w:val="22"/>
      <w:szCs w:val="24"/>
    </w:rPr>
  </w:style>
  <w:style w:type="character" w:styleId="Heading9Char">
    <w:name w:val="Heading 9 Char"/>
    <w:qFormat/>
    <w:rPr>
      <w:rFonts w:ascii="Arial" w:hAnsi="Arial" w:cs="Arial"/>
      <w:kern w:val="2"/>
      <w:sz w:val="22"/>
      <w:szCs w:val="24"/>
    </w:rPr>
  </w:style>
  <w:style w:type="character" w:styleId="FooterChar">
    <w:name w:val="Footer Char"/>
    <w:qFormat/>
    <w:rPr>
      <w:sz w:val="24"/>
      <w:szCs w:val="24"/>
    </w:rPr>
  </w:style>
  <w:style w:type="character" w:styleId="BodyTextChar">
    <w:name w:val="Body Text Char"/>
    <w:qFormat/>
    <w:rPr>
      <w:sz w:val="24"/>
    </w:rPr>
  </w:style>
  <w:style w:type="character" w:styleId="BodyTextIndentChar">
    <w:name w:val="Body Text Indent Char"/>
    <w:qFormat/>
    <w:rPr>
      <w:b/>
      <w:sz w:val="24"/>
    </w:rPr>
  </w:style>
  <w:style w:type="character" w:styleId="TitleChar">
    <w:name w:val="Title Char"/>
    <w:qFormat/>
    <w:rPr>
      <w:b/>
      <w:sz w:val="40"/>
    </w:rPr>
  </w:style>
  <w:style w:type="character" w:styleId="BodyText2Char">
    <w:name w:val="Body Text 2 Char"/>
    <w:qFormat/>
    <w:rPr>
      <w:b/>
      <w:sz w:val="24"/>
    </w:rPr>
  </w:style>
  <w:style w:type="character" w:styleId="BodyTextIndent2Char">
    <w:name w:val="Body Text Indent 2 Char"/>
    <w:qFormat/>
    <w:rPr>
      <w:b/>
      <w:sz w:val="24"/>
    </w:rPr>
  </w:style>
  <w:style w:type="character" w:styleId="BodyText3Char">
    <w:name w:val="Body Text 3 Char"/>
    <w:qFormat/>
    <w:rPr>
      <w:b/>
      <w:sz w:val="28"/>
    </w:rPr>
  </w:style>
  <w:style w:type="character" w:styleId="ParaHeading">
    <w:name w:val="Para Heading"/>
    <w:qFormat/>
    <w:rPr>
      <w:rFonts w:ascii="Times New Roman Bold;Times New Roman" w:hAnsi="Times New Roman Bold;Times New Roman" w:cs="Times New Roman Bold;Times New Roman"/>
      <w:b/>
      <w:sz w:val="20"/>
    </w:rPr>
  </w:style>
  <w:style w:type="character" w:styleId="FollowedHyperlink">
    <w:name w:val="FollowedHyperlink"/>
    <w:rPr>
      <w:color w:val="800080"/>
      <w:u w:val="single"/>
    </w:rPr>
  </w:style>
  <w:style w:type="character" w:styleId="BalloonTextChar">
    <w:name w:val="Balloon Text Char"/>
    <w:qFormat/>
    <w:rPr>
      <w:rFonts w:ascii="Tahoma" w:hAnsi="Tahoma" w:cs="Tahoma"/>
      <w:sz w:val="16"/>
      <w:szCs w:val="16"/>
    </w:rPr>
  </w:style>
  <w:style w:type="character" w:styleId="Hyperlink">
    <w:name w:val="Hyperlink"/>
    <w:rPr>
      <w:color w:val="0000FF"/>
      <w:u w:val="single"/>
    </w:rPr>
  </w:style>
  <w:style w:type="character" w:styleId="FootnoteTextChar">
    <w:name w:val="Footnote Text Char"/>
    <w:qFormat/>
    <w:rPr>
      <w:sz w:val="16"/>
      <w:szCs w:val="24"/>
    </w:rPr>
  </w:style>
  <w:style w:type="character" w:styleId="SubtitleChar">
    <w:name w:val="Subtitle Char"/>
    <w:qFormat/>
    <w:rPr>
      <w:b/>
      <w:sz w:val="40"/>
    </w:rPr>
  </w:style>
  <w:style w:type="character" w:styleId="sub-paraheadings">
    <w:name w:val="sub-para headings"/>
    <w:qFormat/>
    <w:rPr>
      <w:rFonts w:ascii="Times New Roman" w:hAnsi="Times New Roman" w:cs="Times New Roman"/>
      <w:i/>
      <w:sz w:val="20"/>
    </w:rPr>
  </w:style>
  <w:style w:type="character" w:styleId="paraheading1">
    <w:name w:val="paraheading"/>
    <w:qFormat/>
    <w:rPr>
      <w:rFonts w:ascii="Times New Roman Bold;Times New Roman" w:hAnsi="Times New Roman Bold;Times New Roman" w:cs="Times New Roman Bold;Times New Roman"/>
      <w:b/>
    </w:rPr>
  </w:style>
  <w:style w:type="character" w:styleId="BodyTextIndent3Char">
    <w:name w:val="Body Text Indent 3 Char"/>
    <w:qFormat/>
    <w:rPr>
      <w:sz w:val="16"/>
      <w:szCs w:val="16"/>
    </w:rPr>
  </w:style>
  <w:style w:type="character" w:styleId="CommentReference">
    <w:name w:val="Comment Reference"/>
    <w:qFormat/>
    <w:rPr>
      <w:sz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UnresolvedMention1">
    <w:name w:val="Unresolved Mention1"/>
    <w:qFormat/>
    <w:rPr>
      <w:rFonts w:cs="Times New Roman"/>
      <w:color w:val="808080"/>
      <w:shd w:fill="E6E6E6" w:val="clear"/>
    </w:rPr>
  </w:style>
  <w:style w:type="character" w:styleId="EndnoteTextChar">
    <w:name w:val="Endnote Text Char"/>
    <w:qFormat/>
    <w:rPr>
      <w:szCs w:val="24"/>
    </w:rPr>
  </w:style>
  <w:style w:type="character" w:styleId="UnresolvedMention">
    <w:name w:val="Unresolved Mention"/>
    <w:qFormat/>
    <w:rPr>
      <w:rFonts w:cs="Times New Roman"/>
      <w:color w:val="808080"/>
      <w:shd w:fill="E6E6E6" w:val="clear"/>
    </w:rPr>
  </w:style>
  <w:style w:type="paragraph" w:styleId="Heading">
    <w:name w:val="Heading"/>
    <w:basedOn w:val="Normal"/>
    <w:next w:val="BodyText"/>
    <w:qFormat/>
    <w:pPr>
      <w:jc w:val="center"/>
    </w:pPr>
    <w:rPr>
      <w:b/>
      <w:sz w:val="40"/>
      <w:szCs w:val="20"/>
    </w:rPr>
  </w:style>
  <w:style w:type="paragraph" w:styleId="BodyText">
    <w:name w:val="Body Text"/>
    <w:basedOn w:val="Normal"/>
    <w:pPr>
      <w:widowControl w:val="false"/>
      <w:ind w:hanging="0" w:start="0" w:end="-43"/>
    </w:pPr>
    <w:rPr>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7"/>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4"/>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9"/>
      </w:numPr>
      <w:tabs>
        <w:tab w:val="clear" w:pos="567"/>
      </w:tabs>
    </w:pPr>
    <w:rPr/>
  </w:style>
  <w:style w:type="paragraph" w:styleId="DWParaNum2">
    <w:name w:val="DW Para Num2"/>
    <w:basedOn w:val="DWPara"/>
    <w:qFormat/>
    <w:pPr>
      <w:numPr>
        <w:ilvl w:val="0"/>
        <w:numId w:val="9"/>
      </w:numPr>
      <w:tabs>
        <w:tab w:val="clear" w:pos="567"/>
      </w:tabs>
    </w:pPr>
    <w:rPr/>
  </w:style>
  <w:style w:type="paragraph" w:styleId="DWParaNum3">
    <w:name w:val="DW Para Num3"/>
    <w:basedOn w:val="DWPara"/>
    <w:qFormat/>
    <w:pPr>
      <w:numPr>
        <w:ilvl w:val="0"/>
        <w:numId w:val="9"/>
      </w:numPr>
      <w:tabs>
        <w:tab w:val="clear" w:pos="567"/>
      </w:tabs>
    </w:pPr>
    <w:rPr/>
  </w:style>
  <w:style w:type="paragraph" w:styleId="DWParaNum4">
    <w:name w:val="DW Para Num4"/>
    <w:basedOn w:val="DWPara"/>
    <w:qFormat/>
    <w:pPr>
      <w:numPr>
        <w:ilvl w:val="0"/>
        <w:numId w:val="9"/>
      </w:numPr>
      <w:tabs>
        <w:tab w:val="clear" w:pos="567"/>
      </w:tabs>
    </w:pPr>
    <w:rPr/>
  </w:style>
  <w:style w:type="paragraph" w:styleId="DWParaNum5">
    <w:name w:val="DW Para Num5"/>
    <w:basedOn w:val="DWPara"/>
    <w:qFormat/>
    <w:pPr>
      <w:numPr>
        <w:ilvl w:val="0"/>
        <w:numId w:val="9"/>
      </w:numPr>
      <w:tabs>
        <w:tab w:val="clear" w:pos="567"/>
      </w:tabs>
    </w:pPr>
    <w:rPr/>
  </w:style>
  <w:style w:type="paragraph" w:styleId="DWParaPB1">
    <w:name w:val="DW Para PB1"/>
    <w:basedOn w:val="DWPara"/>
    <w:qFormat/>
    <w:pPr>
      <w:numPr>
        <w:ilvl w:val="0"/>
        <w:numId w:val="8"/>
      </w:numPr>
      <w:tabs>
        <w:tab w:val="clear" w:pos="567"/>
      </w:tabs>
    </w:pPr>
    <w:rPr/>
  </w:style>
  <w:style w:type="paragraph" w:styleId="DWParaPB2">
    <w:name w:val="DW Para PB2"/>
    <w:basedOn w:val="DWPara"/>
    <w:qFormat/>
    <w:pPr>
      <w:numPr>
        <w:ilvl w:val="0"/>
        <w:numId w:val="8"/>
      </w:numPr>
      <w:tabs>
        <w:tab w:val="clear" w:pos="567"/>
      </w:tabs>
    </w:pPr>
    <w:rPr/>
  </w:style>
  <w:style w:type="paragraph" w:styleId="DWParaPB3">
    <w:name w:val="DW Para PB3"/>
    <w:basedOn w:val="DWPara"/>
    <w:qFormat/>
    <w:pPr>
      <w:numPr>
        <w:ilvl w:val="0"/>
        <w:numId w:val="8"/>
      </w:numPr>
      <w:tabs>
        <w:tab w:val="clear" w:pos="567"/>
      </w:tabs>
    </w:pPr>
    <w:rPr/>
  </w:style>
  <w:style w:type="paragraph" w:styleId="DWParaPB4">
    <w:name w:val="DW Para PB4"/>
    <w:basedOn w:val="DWPara"/>
    <w:qFormat/>
    <w:pPr>
      <w:numPr>
        <w:ilvl w:val="0"/>
        <w:numId w:val="8"/>
      </w:numPr>
      <w:tabs>
        <w:tab w:val="clear" w:pos="567"/>
      </w:tabs>
    </w:pPr>
    <w:rPr/>
  </w:style>
  <w:style w:type="paragraph" w:styleId="DWParaPB5">
    <w:name w:val="DW Para PB5"/>
    <w:basedOn w:val="DWPara"/>
    <w:qFormat/>
    <w:pPr>
      <w:numPr>
        <w:ilvl w:val="0"/>
        <w:numId w:val="8"/>
      </w:numPr>
      <w:tabs>
        <w:tab w:val="clear" w:pos="567"/>
      </w:tabs>
    </w:pPr>
    <w:rPr/>
  </w:style>
  <w:style w:type="paragraph" w:styleId="DWTableParaNum1">
    <w:name w:val="DW Table Para Num1"/>
    <w:basedOn w:val="DWTablePara"/>
    <w:qFormat/>
    <w:pPr>
      <w:numPr>
        <w:ilvl w:val="0"/>
        <w:numId w:val="5"/>
      </w:numPr>
      <w:tabs>
        <w:tab w:val="clear" w:pos="567"/>
        <w:tab w:val="left" w:pos="369" w:leader="none"/>
      </w:tabs>
    </w:pPr>
    <w:rPr/>
  </w:style>
  <w:style w:type="paragraph" w:styleId="DWTableParaNum2">
    <w:name w:val="DW Table Para Num2"/>
    <w:basedOn w:val="DWTablePara"/>
    <w:qFormat/>
    <w:pPr>
      <w:numPr>
        <w:ilvl w:val="0"/>
        <w:numId w:val="5"/>
      </w:numPr>
      <w:tabs>
        <w:tab w:val="clear" w:pos="567"/>
        <w:tab w:val="left" w:pos="737" w:leader="none"/>
      </w:tabs>
    </w:pPr>
    <w:rPr/>
  </w:style>
  <w:style w:type="paragraph" w:styleId="DWTableParaNum3">
    <w:name w:val="DW Table Para Num3"/>
    <w:basedOn w:val="DWTablePara"/>
    <w:qFormat/>
    <w:pPr>
      <w:numPr>
        <w:ilvl w:val="0"/>
        <w:numId w:val="5"/>
      </w:numPr>
      <w:tabs>
        <w:tab w:val="clear" w:pos="567"/>
        <w:tab w:val="left" w:pos="1106" w:leader="none"/>
      </w:tabs>
    </w:pPr>
    <w:rPr/>
  </w:style>
  <w:style w:type="paragraph" w:styleId="DWTableParaNum4">
    <w:name w:val="DW Table Para Num4"/>
    <w:basedOn w:val="DWTablePara"/>
    <w:qFormat/>
    <w:pPr>
      <w:numPr>
        <w:ilvl w:val="0"/>
        <w:numId w:val="5"/>
      </w:numPr>
      <w:tabs>
        <w:tab w:val="clear" w:pos="567"/>
        <w:tab w:val="left" w:pos="1474" w:leader="none"/>
      </w:tabs>
    </w:pPr>
    <w:rPr/>
  </w:style>
  <w:style w:type="paragraph" w:styleId="DWTableParaNum5">
    <w:name w:val="DW Table Para Num5"/>
    <w:basedOn w:val="DWTablePara"/>
    <w:qFormat/>
    <w:pPr>
      <w:numPr>
        <w:ilvl w:val="0"/>
        <w:numId w:val="5"/>
      </w:numPr>
      <w:tabs>
        <w:tab w:val="clear" w:pos="567"/>
        <w:tab w:val="left" w:pos="1843" w:leader="none"/>
      </w:tabs>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ind w:hanging="0" w:start="720" w:end="0"/>
    </w:pPr>
    <w:rPr>
      <w:sz w:val="20"/>
      <w:szCs w:val="20"/>
    </w:rPr>
  </w:style>
  <w:style w:type="paragraph" w:styleId="BodyTextIndent">
    <w:name w:val="Body Text Indent"/>
    <w:basedOn w:val="Normal"/>
    <w:pPr>
      <w:ind w:hanging="426" w:start="426" w:end="0"/>
    </w:pPr>
    <w:rPr>
      <w:b/>
      <w:szCs w:val="20"/>
    </w:rPr>
  </w:style>
  <w:style w:type="paragraph" w:styleId="BodyText2">
    <w:name w:val="Body Text 2"/>
    <w:basedOn w:val="Normal"/>
    <w:qFormat/>
    <w:pPr/>
    <w:rPr>
      <w:b/>
      <w:szCs w:val="20"/>
    </w:rPr>
  </w:style>
  <w:style w:type="paragraph" w:styleId="BodyTextIndent2">
    <w:name w:val="Body Text Indent 2"/>
    <w:basedOn w:val="Normal"/>
    <w:qFormat/>
    <w:pPr>
      <w:ind w:hanging="426" w:start="426" w:end="0"/>
      <w:jc w:val="center"/>
    </w:pPr>
    <w:rPr>
      <w:b/>
      <w:szCs w:val="20"/>
    </w:rPr>
  </w:style>
  <w:style w:type="paragraph" w:styleId="BodyText3">
    <w:name w:val="Body Text 3"/>
    <w:basedOn w:val="Normal"/>
    <w:qFormat/>
    <w:pPr>
      <w:jc w:val="center"/>
    </w:pPr>
    <w:rPr>
      <w:b/>
      <w:sz w:val="28"/>
      <w:szCs w:val="20"/>
    </w:rPr>
  </w:style>
  <w:style w:type="paragraph" w:styleId="HEADING1CHAPTER">
    <w:name w:val="HEADING 1 (CHAPTER)"/>
    <w:basedOn w:val="Heading1"/>
    <w:qFormat/>
    <w:pPr>
      <w:numPr>
        <w:ilvl w:val="0"/>
        <w:numId w:val="0"/>
      </w:numPr>
      <w:tabs>
        <w:tab w:val="clear" w:pos="567"/>
        <w:tab w:val="left" w:pos="425" w:leader="none"/>
      </w:tabs>
      <w:jc w:val="center"/>
      <w:outlineLvl w:val="9"/>
    </w:pPr>
    <w:rPr>
      <w:rFonts w:ascii="Times New Roman" w:hAnsi="Times New Roman" w:eastAsia="Times New Roman" w:cs="Times New Roman"/>
      <w:b w:val="false"/>
      <w:bCs w:val="false"/>
      <w:kern w:val="2"/>
      <w:sz w:val="24"/>
      <w:szCs w:val="20"/>
    </w:rPr>
  </w:style>
  <w:style w:type="paragraph" w:styleId="Subtitle">
    <w:name w:val="Subtitle"/>
    <w:basedOn w:val="Normal"/>
    <w:next w:val="BodyText"/>
    <w:qFormat/>
    <w:pPr>
      <w:jc w:val="center"/>
    </w:pPr>
    <w:rPr>
      <w:b/>
      <w:sz w:val="40"/>
      <w:szCs w:val="20"/>
    </w:rPr>
  </w:style>
  <w:style w:type="paragraph" w:styleId="Style11">
    <w:name w:val="Style1"/>
    <w:basedOn w:val="Heading1"/>
    <w:next w:val="Heading1"/>
    <w:qFormat/>
    <w:pPr>
      <w:keepNext w:val="false"/>
      <w:numPr>
        <w:ilvl w:val="0"/>
        <w:numId w:val="0"/>
      </w:numPr>
      <w:tabs>
        <w:tab w:val="clear" w:pos="567"/>
        <w:tab w:val="left" w:pos="720" w:leader="none"/>
      </w:tabs>
      <w:spacing w:before="0" w:after="240"/>
      <w:outlineLvl w:val="9"/>
    </w:pPr>
    <w:rPr>
      <w:rFonts w:ascii="Arial" w:hAnsi="Arial" w:eastAsia="Times New Roman" w:cs="Times New Roman"/>
      <w:b w:val="false"/>
      <w:bCs w:val="false"/>
      <w:kern w:val="2"/>
      <w:sz w:val="24"/>
      <w:szCs w:val="20"/>
    </w:rPr>
  </w:style>
  <w:style w:type="paragraph" w:styleId="TOAHeading">
    <w:name w:val="TOA Heading"/>
    <w:basedOn w:val="Normal"/>
    <w:next w:val="Normal"/>
    <w:qFormat/>
    <w:pPr>
      <w:tabs>
        <w:tab w:val="clear" w:pos="567"/>
        <w:tab w:val="left" w:pos="9000" w:leader="none"/>
        <w:tab w:val="right" w:pos="9360" w:leader="none"/>
      </w:tabs>
      <w:suppressAutoHyphens w:val="true"/>
    </w:pPr>
    <w:rPr>
      <w:szCs w:val="20"/>
    </w:rPr>
  </w:style>
  <w:style w:type="paragraph" w:styleId="Sub-sub-sub-sub-para">
    <w:name w:val="Sub-sub-sub-sub-para"/>
    <w:basedOn w:val="Normal"/>
    <w:qFormat/>
    <w:pPr>
      <w:tabs>
        <w:tab w:val="clear" w:pos="567"/>
        <w:tab w:val="left" w:pos="425" w:leader="none"/>
      </w:tabs>
      <w:spacing w:before="0" w:after="60"/>
      <w:ind w:hanging="284" w:start="1418" w:end="0"/>
      <w:jc w:val="both"/>
    </w:pPr>
    <w:rPr>
      <w:sz w:val="20"/>
      <w:szCs w:val="20"/>
    </w:rPr>
  </w:style>
  <w:style w:type="paragraph" w:styleId="sub-sub-sub-sub-para1">
    <w:name w:val="sub-sub-sub-sub-para1"/>
    <w:basedOn w:val="Normal"/>
    <w:qFormat/>
    <w:pPr>
      <w:spacing w:before="0" w:after="60"/>
      <w:ind w:hanging="284" w:start="1418" w:end="0"/>
      <w:jc w:val="both"/>
    </w:pPr>
    <w:rPr>
      <w:sz w:val="20"/>
      <w:szCs w:val="20"/>
    </w:rPr>
  </w:style>
  <w:style w:type="paragraph" w:styleId="StyleHeading1Left">
    <w:name w:val="Style Heading 1 + Left"/>
    <w:basedOn w:val="Heading1"/>
    <w:qFormat/>
    <w:pPr>
      <w:keepNext w:val="false"/>
      <w:numPr>
        <w:ilvl w:val="0"/>
        <w:numId w:val="6"/>
      </w:numPr>
      <w:spacing w:before="0" w:after="240"/>
      <w:outlineLvl w:val="9"/>
    </w:pPr>
    <w:rPr>
      <w:rFonts w:ascii="Arial" w:hAnsi="Arial" w:eastAsia="Times New Roman" w:cs="Times New Roman"/>
      <w:b w:val="false"/>
      <w:bCs w:val="false"/>
      <w:kern w:val="2"/>
      <w:sz w:val="24"/>
      <w:szCs w:val="20"/>
    </w:rPr>
  </w:style>
  <w:style w:type="paragraph" w:styleId="BodyTextIndent3">
    <w:name w:val="Body Text Indent 3"/>
    <w:basedOn w:val="Normal"/>
    <w:qFormat/>
    <w:pPr>
      <w:spacing w:before="0" w:after="120"/>
      <w:ind w:hanging="0" w:start="283" w:end="0"/>
    </w:pPr>
    <w:rPr>
      <w:sz w:val="16"/>
      <w:szCs w:val="16"/>
    </w:rPr>
  </w:style>
  <w:style w:type="paragraph" w:styleId="Author">
    <w:name w:val="Author"/>
    <w:basedOn w:val="BodyText"/>
    <w:qFormat/>
    <w:pPr>
      <w:widowControl/>
      <w:tabs>
        <w:tab w:val="clear" w:pos="567"/>
        <w:tab w:val="right" w:pos="8309" w:leader="none"/>
      </w:tabs>
      <w:spacing w:lineRule="auto" w:line="480"/>
      <w:ind w:hanging="0" w:start="0" w:end="0"/>
      <w:jc w:val="center"/>
    </w:pPr>
    <w:rPr>
      <w:rFonts w:ascii="Garamond" w:hAnsi="Garamond" w:cs="Garamond"/>
      <w:spacing w:val="-2"/>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0"/>
      <w:lang w:val="en-GB" w:bidi="ar-SA" w:eastAsia="zh-CN"/>
    </w:rPr>
  </w:style>
  <w:style w:type="paragraph" w:styleId="NormalWeb">
    <w:name w:val="Normal (Web)"/>
    <w:basedOn w:val="Normal"/>
    <w:qFormat/>
    <w:pPr>
      <w:spacing w:before="100" w:after="100"/>
    </w:pPr>
    <w:rPr/>
  </w:style>
  <w:style w:type="paragraph" w:styleId="NoSpacing">
    <w:name w:val="No Spacing"/>
    <w:qFormat/>
    <w:pPr>
      <w:widowControl/>
      <w:bidi w:val="0"/>
    </w:pPr>
    <w:rPr>
      <w:rFonts w:ascii="Times New Roman" w:hAnsi="Times New Roman" w:eastAsia="Times New Roman" w:cs="Times New Roman"/>
      <w:color w:val="auto"/>
      <w:sz w:val="24"/>
      <w:szCs w:val="20"/>
      <w:lang w:val="en-GB" w:bidi="ar-SA" w:eastAsia="zh-CN"/>
    </w:rPr>
  </w:style>
  <w:style w:type="paragraph" w:styleId="Normal10Right">
    <w:name w:val="Normal 10 Right"/>
    <w:basedOn w:val="Normal"/>
    <w:qFormat/>
    <w:pPr>
      <w:tabs>
        <w:tab w:val="clear" w:pos="567"/>
        <w:tab w:val="left" w:pos="425" w:leader="none"/>
      </w:tabs>
      <w:spacing w:before="0" w:after="60"/>
      <w:jc w:val="end"/>
    </w:pPr>
    <w:rPr>
      <w:sz w:val="20"/>
      <w:szCs w:val="20"/>
    </w:rPr>
  </w:style>
  <w:style w:type="paragraph" w:styleId="Heading3lookslike4">
    <w:name w:val="Heading 3 looks like 4"/>
    <w:basedOn w:val="Heading4"/>
    <w:next w:val="Normal"/>
    <w:qFormat/>
    <w:pPr>
      <w:numPr>
        <w:ilvl w:val="0"/>
        <w:numId w:val="0"/>
      </w:numPr>
      <w:spacing w:before="120" w:after="60"/>
      <w:outlineLvl w:val="2"/>
    </w:pPr>
    <w:rPr>
      <w:rFonts w:ascii="Times New Roman Bold;Times New Roman" w:hAnsi="Times New Roman Bold;Times New Roman" w:cs="Times New Roman Bold;Times New Roman"/>
      <w:kern w:val="0"/>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Appendix_7_AGAI_78_V1_0.dot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2019-04-02T22:01:00Z</dcterms:created>
  <dc:creator>Johnstone, Thomas Maj</dc:creator>
  <dc:description/>
  <cp:keywords/>
  <dc:language>en-GB</dc:language>
  <cp:lastModifiedBy>Johnstone, Thomas Maj</cp:lastModifiedBy>
  <cp:lastPrinted>2019-04-02T12:51:00Z</cp:lastPrinted>
  <dcterms:modified xsi:type="dcterms:W3CDTF">2025-02-01T03:34:00Z</dcterms:modified>
  <cp:revision>3</cp:revision>
  <dc:subject/>
  <dc:title>APPENDIX 9</dc:title>
</cp:coreProperties>
</file>