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r>
              <w:fldChar w:fldCharType="begin">
                <w:ffData>
                  <w:name w:val="Service_No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Service Number</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r>
              <w:fldChar w:fldCharType="begin">
                <w:ffData>
                  <w:name w:val="Titl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Rank/Title</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Surname</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Read_Code_F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RAFPUPU1</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rPr>
                <w:rFonts w:cs="Arial" w:ascii="Arial" w:hAnsi="Arial"/>
                <w:bCs/>
                <w:sz w:val="18"/>
                <w:szCs w:val="18"/>
              </w:rPr>
              <w:t>MLD (Limited)</w:t>
            </w:r>
          </w:p>
          <w:p>
            <w:pPr>
              <w:pStyle w:val="Normal"/>
              <w:spacing w:before="60" w:after="60"/>
              <w:rPr>
                <w:rFonts w:ascii="Arial" w:hAnsi="Arial" w:cs="Arial"/>
                <w:bCs/>
                <w:sz w:val="18"/>
                <w:szCs w:val="18"/>
              </w:rPr>
            </w:pPr>
            <w:r>
              <w:rPr>
                <w:rFonts w:cs="Arial" w:ascii="Arial" w:hAnsi="Arial"/>
                <w:b/>
                <w:bCs/>
                <w:sz w:val="18"/>
                <w:szCs w:val="18"/>
              </w:rPr>
              <w:t xml:space="preserve">MES temp/perm: </w:t>
            </w:r>
            <w:r>
              <w:rPr>
                <w:rFonts w:cs="Arial" w:ascii="Arial" w:hAnsi="Arial"/>
                <w:bCs/>
                <w:sz w:val="18"/>
                <w:szCs w:val="18"/>
              </w:rPr>
              <w:t>Perm</w:t>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rPr>
                <w:rFonts w:cs="Arial" w:ascii="Arial" w:hAnsi="Arial"/>
                <w:bCs/>
                <w:sz w:val="18"/>
                <w:szCs w:val="18"/>
              </w:rPr>
              <w:t>A4 L3 M4 E3</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Cs/>
                <w:sz w:val="18"/>
                <w:szCs w:val="18"/>
                <w:lang w:eastAsia="zh-CN"/>
              </w:rPr>
              <w:t>FWA Perm</w:t>
            </w:r>
          </w:p>
          <w:p>
            <w:pPr>
              <w:pStyle w:val="Normal"/>
              <w:spacing w:before="60" w:after="60"/>
              <w:rPr/>
            </w:pPr>
            <w:r>
              <w:rPr>
                <w:rFonts w:eastAsia="SimSun;宋体" w:cs="Arial" w:ascii="Arial" w:hAnsi="Arial"/>
                <w:bCs/>
                <w:sz w:val="18"/>
                <w:szCs w:val="18"/>
                <w:lang w:eastAsia="zh-CN"/>
              </w:rPr>
              <w:t>12 months</w:t>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Read_Code_F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- 1L0</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sz w:val="18"/>
                <w:szCs w:val="18"/>
              </w:rPr>
            </w:pPr>
            <w:r>
              <w:rPr>
                <w:rFonts w:cs="Arial" w:ascii="Arial" w:hAnsi="Arial"/>
                <w:b/>
                <w:bCs/>
                <w:sz w:val="18"/>
                <w:szCs w:val="18"/>
              </w:rPr>
              <w:t xml:space="preserve">*Anticipated Outcome: </w:t>
            </w:r>
            <w:r>
              <w:rPr>
                <w:rFonts w:cs="Arial" w:ascii="Arial" w:hAnsi="Arial"/>
                <w:sz w:val="18"/>
                <w:szCs w:val="18"/>
              </w:rPr>
              <w:t>Recovery to MFD is anticipated</w:t>
            </w:r>
          </w:p>
          <w:p>
            <w:pPr>
              <w:pStyle w:val="Normal"/>
              <w:spacing w:before="60" w:after="60"/>
              <w:rPr>
                <w:rFonts w:ascii="Arial" w:hAnsi="Arial" w:cs="Arial"/>
                <w:sz w:val="18"/>
                <w:szCs w:val="18"/>
              </w:rPr>
            </w:pPr>
            <w:r>
              <w:rPr>
                <w:rFonts w:cs="Arial" w:ascii="Arial" w:hAnsi="Arial"/>
                <w:b/>
                <w:bCs/>
                <w:sz w:val="18"/>
                <w:szCs w:val="18"/>
              </w:rPr>
              <w:t xml:space="preserve">*Anticipated Timeline: </w:t>
            </w:r>
            <w:r>
              <w:rPr>
                <w:rFonts w:cs="Arial" w:ascii="Arial" w:hAnsi="Arial"/>
                <w:sz w:val="18"/>
                <w:szCs w:val="18"/>
              </w:rPr>
              <w:t>Variable 1-5 years</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MND</w:t>
            </w:r>
          </w:p>
          <w:p>
            <w:pPr>
              <w:pStyle w:val="Normal"/>
              <w:rPr>
                <w:rFonts w:ascii="Arial" w:hAnsi="Arial" w:cs="Arial"/>
                <w:bCs/>
                <w:sz w:val="20"/>
                <w:szCs w:val="20"/>
                <w:lang w:eastAsia="zh-CN"/>
              </w:rPr>
            </w:pPr>
            <w:r>
              <w:rPr>
                <w:rFonts w:cs="Arial" w:ascii="Arial" w:hAnsi="Arial"/>
                <w:bCs/>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lang w:eastAsia="zh-CN"/>
              </w:rPr>
            </w:pPr>
            <w:r>
              <w:rPr>
                <w:rFonts w:cs="Arial" w:ascii="Arial" w:hAnsi="Arial"/>
                <w:sz w:val="18"/>
                <w:szCs w:val="18"/>
              </w:rPr>
              <w:t>Not deployable</w:t>
            </w:r>
            <w:r>
              <w:rPr>
                <w:rFonts w:eastAsia="SimSun;宋体" w:cs="Arial" w:ascii="Arial" w:hAnsi="Arial"/>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MLD</w:t>
            </w:r>
          </w:p>
          <w:p>
            <w:pPr>
              <w:pStyle w:val="Normal"/>
              <w:rPr>
                <w:rFonts w:ascii="Arial" w:hAnsi="Arial" w:cs="Arial"/>
                <w:bCs/>
                <w:sz w:val="20"/>
                <w:szCs w:val="20"/>
                <w:lang w:eastAsia="zh-CN"/>
              </w:rPr>
            </w:pPr>
            <w:r>
              <w:rPr>
                <w:rFonts w:cs="Arial" w:ascii="Arial" w:hAnsi="Arial"/>
                <w:bCs/>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bCs/>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z w:val="20"/>
                <w:szCs w:val="20"/>
                <w:lang w:eastAsia="zh-CN"/>
              </w:rPr>
            </w:pPr>
            <w:r>
              <w:rPr>
                <w:rFonts w:cs="Arial" w:ascii="Arial" w:hAnsi="Arial"/>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lang w:eastAsia="zh-CN"/>
              </w:rPr>
            </w:pPr>
            <w:r>
              <w:rPr>
                <w:rFonts w:cs="Arial" w:ascii="Arial" w:hAnsi="Arial"/>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10"/>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10"/>
            <w:bookmarkStart w:id="7" w:name="Check10"/>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11"/>
            <w:bookmarkStart w:id="15" w:name="Check1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2"/>
            <w:bookmarkStart w:id="25" w:name="Check12"/>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3"/>
            <w:bookmarkStart w:id="33" w:name="Check13"/>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4"/>
            <w:bookmarkStart w:id="37" w:name="Check14"/>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Unnamed"/>
            <w:bookmarkStart w:id="43" w:name="Unnamed"/>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5"/>
            <w:bookmarkStart w:id="51" w:name="Check15"/>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6"/>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6"/>
            <w:bookmarkStart w:id="55" w:name="Check16"/>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_Copy_1"/>
            <w:bookmarkStart w:id="61" w:name="Unnamed_Copy_1"/>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7"/>
            <w:bookmarkStart w:id="63" w:name="Check17"/>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Web"/>
              <w:spacing w:before="100" w:after="10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cs="Arial" w:ascii="Arial" w:hAnsi="Arial"/>
                <w:color w:val="000000"/>
                <w:sz w:val="18"/>
                <w:szCs w:val="18"/>
              </w:rPr>
              <w:t>Deployments should be discussed at a UHC. Deployments to cold environments are not necessarily precluded. Robust risk assessment must be undertaken and recorded on the App 26, to include evidence for adequate protection from the cold as well as ready access to re-warming facilities if needed.</w:t>
            </w:r>
          </w:p>
          <w:p>
            <w:pPr>
              <w:pStyle w:val="Normal"/>
              <w:rPr>
                <w:rFonts w:ascii="Arial" w:hAnsi="Arial" w:cs="Arial"/>
                <w:color w:val="000000"/>
                <w:sz w:val="18"/>
                <w:szCs w:val="18"/>
              </w:rPr>
            </w:pPr>
            <w:r>
              <w:rPr>
                <w:rFonts w:cs="Arial" w:ascii="Arial" w:hAnsi="Arial"/>
                <w:color w:val="000000"/>
                <w:sz w:val="18"/>
                <w:szCs w:val="18"/>
              </w:rPr>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tbl>
      <w:tblPr>
        <w:tblW w:w="11057" w:type="dxa"/>
        <w:jc w:val="start"/>
        <w:tblInd w:w="-601" w:type="dxa"/>
        <w:tblLayout w:type="fixed"/>
        <w:tblCellMar>
          <w:top w:w="0" w:type="dxa"/>
          <w:start w:w="108" w:type="dxa"/>
          <w:bottom w:w="0" w:type="dxa"/>
          <w:end w:w="108" w:type="dxa"/>
        </w:tblCellMar>
      </w:tblPr>
      <w:tblGrid>
        <w:gridCol w:w="5245"/>
        <w:gridCol w:w="5812"/>
      </w:tblGrid>
      <w:tr>
        <w:trPr>
          <w:trHeight w:val="284"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2"/>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2"/>
            <w:bookmarkStart w:id="67" w:name="Unnamed_Copy_2"/>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3"/>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3"/>
            <w:bookmarkStart w:id="69" w:name="Unnamed_Copy_3"/>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Infantry activities (Including digging) </w:t>
            </w:r>
          </w:p>
          <w:p>
            <w:pPr>
              <w:pStyle w:val="Normal"/>
              <w:rPr>
                <w:rFonts w:ascii="Arial" w:hAnsi="Arial" w:eastAsia="SimSun;宋体" w:cs="Arial"/>
                <w:b/>
                <w:color w:val="000000"/>
                <w:sz w:val="16"/>
                <w:szCs w:val="16"/>
                <w:lang w:eastAsia="zh-CN"/>
              </w:rPr>
            </w:pPr>
            <w:r>
              <w:rPr>
                <w:rFonts w:cs="Arial" w:ascii="Arial" w:hAnsi="Arial"/>
                <w:sz w:val="20"/>
                <w:szCs w:val="20"/>
              </w:rPr>
              <w:t>–</w:t>
            </w:r>
            <w:r>
              <w:rPr>
                <w:rFonts w:eastAsia="Arial" w:cs="Arial" w:ascii="Arial" w:hAnsi="Arial"/>
                <w:sz w:val="20"/>
                <w:szCs w:val="20"/>
              </w:rPr>
              <w:t xml:space="preserve"> </w:t>
            </w:r>
            <w:r>
              <w:rPr>
                <w:rFonts w:cs="Arial" w:ascii="Arial" w:hAnsi="Arial"/>
                <w:b/>
                <w:sz w:val="16"/>
                <w:szCs w:val="16"/>
              </w:rPr>
              <w:t>No specified restriction.</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b/>
                <w:sz w:val="16"/>
                <w:szCs w:val="16"/>
              </w:rPr>
            </w:pPr>
            <w:r>
              <w:rPr>
                <w:rFonts w:cs="Arial" w:ascii="Arial" w:hAnsi="Arial"/>
                <w:sz w:val="20"/>
                <w:szCs w:val="20"/>
              </w:rPr>
              <w:t xml:space="preserve">Living in field conditions </w:t>
            </w:r>
            <w:r>
              <w:rPr>
                <w:rFonts w:cs="Arial" w:ascii="Arial" w:hAnsi="Arial"/>
                <w:bCs/>
                <w:sz w:val="16"/>
                <w:szCs w:val="16"/>
              </w:rPr>
              <w:t>Ensure warmth can be maintained overnight in field conditions.</w:t>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4"/>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4"/>
            <w:bookmarkStart w:id="71" w:name="Unnamed_Copy_4"/>
            <w:bookmarkEnd w:id="71"/>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5"/>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5"/>
            <w:bookmarkStart w:id="73" w:name="Unnamed_Copy_5"/>
            <w:bookmarkEnd w:id="73"/>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sz w:val="16"/>
                <w:szCs w:val="16"/>
              </w:rPr>
            </w:pPr>
            <w:r>
              <w:rPr>
                <w:rFonts w:eastAsia="SimSun;宋体" w:cs="Arial" w:ascii="Arial" w:hAnsi="Arial"/>
                <w:b/>
                <w:color w:val="000000"/>
                <w:sz w:val="16"/>
                <w:szCs w:val="16"/>
                <w:lang w:eastAsia="zh-CN"/>
              </w:rPr>
              <w:t>Comments</w:t>
            </w:r>
            <w:r>
              <w:rPr>
                <w:rFonts w:eastAsia="SimSun;宋体" w:cs="Arial" w:ascii="Arial" w:hAnsi="Arial"/>
                <w:color w:val="000000"/>
                <w:sz w:val="16"/>
                <w:szCs w:val="16"/>
                <w:lang w:eastAsia="zh-CN"/>
              </w:rPr>
              <w:t xml:space="preserve">: </w:t>
            </w:r>
            <w:r>
              <w:rPr>
                <w:rFonts w:cs="Arial" w:ascii="Arial" w:hAnsi="Arial"/>
                <w:bCs/>
                <w:color w:val="000000"/>
                <w:sz w:val="16"/>
                <w:szCs w:val="16"/>
                <w:lang w:eastAsia="zh-CN"/>
              </w:rPr>
              <w:t>See Section 3 comments</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1057" w:type="dxa"/>
        <w:jc w:val="start"/>
        <w:tblInd w:w="-601" w:type="dxa"/>
        <w:tblLayout w:type="fixed"/>
        <w:tblCellMar>
          <w:top w:w="0" w:type="dxa"/>
          <w:start w:w="108" w:type="dxa"/>
          <w:bottom w:w="0" w:type="dxa"/>
          <w:end w:w="108" w:type="dxa"/>
        </w:tblCellMar>
      </w:tblPr>
      <w:tblGrid>
        <w:gridCol w:w="5245"/>
        <w:gridCol w:w="5812"/>
      </w:tblGrid>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     </w:t>
            </w:r>
            <w:r>
              <w:rPr>
                <w:rFonts w:cs="Arial" w:ascii="Arial" w:hAnsi="Arial"/>
                <w:sz w:val="16"/>
                <w:szCs w:val="16"/>
              </w:rPr>
            </w:r>
            <w:r>
              <w:rPr>
                <w:sz w:val="16"/>
                <w:szCs w:val="16"/>
                <w:rFonts w:cs="Arial" w:ascii="Arial" w:hAnsi="Arial"/>
              </w:rPr>
              <w:fldChar w:fldCharType="end"/>
            </w:r>
            <w:r>
              <w:rPr>
                <w:rFonts w:cs="Arial" w:ascii="Arial" w:hAnsi="Arial"/>
                <w:b/>
                <w:sz w:val="16"/>
                <w:szCs w:val="16"/>
              </w:rPr>
              <w:t xml:space="preserve"> </w:t>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Dropdown8"/>
            <w:bookmarkStart w:id="75" w:name="Dropdown8"/>
            <w:bookmarkEnd w:id="75"/>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1"/>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6" w:name="Dropdown9"/>
            <w:bookmarkStart w:id="77" w:name="Dropdown9"/>
            <w:bookmarkEnd w:id="7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8"/>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8" w:name="Dropdown37"/>
            <w:bookmarkStart w:id="79" w:name="Dropdown37"/>
            <w:bookmarkEnd w:id="7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0" w:name="Check8"/>
            <w:bookmarkStart w:id="81" w:name="Check8"/>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2" w:name="Check9"/>
            <w:bookmarkStart w:id="83" w:name="Check9"/>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b/>
                <w:sz w:val="20"/>
                <w:szCs w:val="20"/>
              </w:rPr>
            </w:pPr>
            <w:r>
              <w:rPr>
                <w:rFonts w:cs="Arial" w:ascii="Arial" w:hAnsi="Arial"/>
                <w:b/>
                <w:sz w:val="20"/>
                <w:szCs w:val="20"/>
              </w:rPr>
              <w:t xml:space="preserve">Comments: </w:t>
            </w:r>
          </w:p>
          <w:p>
            <w:pPr>
              <w:pStyle w:val="NormalWeb"/>
              <w:spacing w:before="0" w:after="0"/>
              <w:jc w:val="both"/>
              <w:rPr>
                <w:rFonts w:ascii="Arial" w:hAnsi="Arial" w:cs="Arial"/>
                <w:b/>
                <w:sz w:val="16"/>
                <w:szCs w:val="16"/>
              </w:rPr>
            </w:pPr>
            <w:bookmarkStart w:id="84" w:name="_Hlk49443423"/>
            <w:r>
              <w:rPr>
                <w:rFonts w:cs="Arial" w:ascii="Arial" w:hAnsi="Arial"/>
                <w:bCs/>
                <w:color w:val="000000"/>
                <w:sz w:val="16"/>
                <w:szCs w:val="16"/>
                <w:lang w:eastAsia="zh-CN"/>
              </w:rPr>
              <w:t>The Unit Safety Officer is advised to carry out a risk assessment to ensure that the individual is employed in an appropriate thermal environment</w:t>
            </w:r>
          </w:p>
          <w:p>
            <w:pPr>
              <w:pStyle w:val="NormalWeb"/>
              <w:spacing w:before="0" w:after="0"/>
              <w:jc w:val="both"/>
              <w:rPr/>
            </w:pPr>
            <w:r>
              <w:rPr>
                <w:rFonts w:cs="Arial" w:ascii="Arial" w:hAnsi="Arial"/>
                <w:sz w:val="16"/>
                <w:szCs w:val="16"/>
              </w:rPr>
              <w:t>Reasonable work adjustments should be made to accommodate the requirement to protect from cold, prioritising the hierarchy of controls (see JSP 375) and emphasising their diminishing effectiveness; more than one measure may need to be implemented to adequately control exposure.</w:t>
            </w:r>
          </w:p>
          <w:p>
            <w:pPr>
              <w:pStyle w:val="Normal"/>
              <w:rPr>
                <w:rFonts w:ascii="Arial" w:hAnsi="Arial" w:cs="Arial"/>
                <w:b/>
                <w:color w:val="FF0000"/>
                <w:sz w:val="20"/>
                <w:szCs w:val="20"/>
              </w:rPr>
            </w:pPr>
            <w:bookmarkStart w:id="85" w:name="_Hlk49443423"/>
            <w:r>
              <w:rPr>
                <w:rFonts w:cs="Arial" w:ascii="Arial" w:hAnsi="Arial"/>
                <w:sz w:val="16"/>
                <w:szCs w:val="16"/>
              </w:rPr>
              <w:t>Outdoor work is not precluded; protection from cold must be enough to prevent cooling to the point of loss of feeling, this will vary from person to person. Command should regularly check that the individual is warm (this can be hourly verbal checks) and there must be provision to remove from the cold environment within an hour if adverse symptoms are reported. Management thereafter should be guided by the NFCI Field Assessment Tool (NFAT)</w:t>
            </w:r>
            <w:bookmarkEnd w:id="85"/>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1057" w:type="dxa"/>
        <w:jc w:val="start"/>
        <w:tblInd w:w="-601" w:type="dxa"/>
        <w:tblLayout w:type="fixed"/>
        <w:tblCellMar>
          <w:top w:w="0" w:type="dxa"/>
          <w:start w:w="108" w:type="dxa"/>
          <w:bottom w:w="0" w:type="dxa"/>
          <w:end w:w="108" w:type="dxa"/>
        </w:tblCellMar>
      </w:tblPr>
      <w:tblGrid>
        <w:gridCol w:w="1136"/>
        <w:gridCol w:w="2125"/>
        <w:gridCol w:w="2127"/>
        <w:gridCol w:w="1723"/>
        <w:gridCol w:w="3946"/>
      </w:tblGrid>
      <w:tr>
        <w:trPr>
          <w:trHeight w:val="313" w:hRule="atLeast"/>
          <w:cantSplit w:val="true"/>
        </w:trPr>
        <w:tc>
          <w:tcPr>
            <w:tcW w:w="113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2"/>
                <w:szCs w:val="12"/>
              </w:rPr>
            </w:pPr>
            <w:r>
              <w:rPr>
                <w:rFonts w:cs="Arial" w:ascii="Arial" w:hAnsi="Arial"/>
                <w:b/>
                <w:bCs/>
                <w:sz w:val="12"/>
                <w:szCs w:val="12"/>
              </w:rPr>
              <w:t>Level 3</w:t>
            </w:r>
          </w:p>
        </w:tc>
        <w:tc>
          <w:tcPr>
            <w:tcW w:w="9921"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2"/>
                <w:szCs w:val="12"/>
              </w:rPr>
            </w:pPr>
            <w:r>
              <w:rPr>
                <w:rFonts w:cs="Arial" w:ascii="Arial" w:hAnsi="Arial"/>
                <w:bCs/>
                <w:sz w:val="12"/>
                <w:szCs w:val="12"/>
              </w:rPr>
              <w:t xml:space="preserve">Unit mainstream or operational specific PT Programme (conditioning PT). </w:t>
            </w:r>
          </w:p>
          <w:p>
            <w:pPr>
              <w:pStyle w:val="Normal"/>
              <w:rPr>
                <w:rFonts w:ascii="Arial" w:hAnsi="Arial" w:cs="Arial"/>
                <w:b/>
                <w:bCs/>
                <w:sz w:val="12"/>
                <w:szCs w:val="12"/>
              </w:rPr>
            </w:pPr>
            <w:r>
              <w:rPr>
                <w:rFonts w:cs="Arial" w:ascii="Arial" w:hAnsi="Arial"/>
                <w:bCs/>
                <w:sz w:val="12"/>
                <w:szCs w:val="12"/>
              </w:rPr>
              <w:t>Will have passed RFT(S)/AFT.</w:t>
            </w:r>
          </w:p>
        </w:tc>
      </w:tr>
      <w:tr>
        <w:trPr>
          <w:trHeight w:val="274" w:hRule="atLeast"/>
          <w:cantSplit w:val="true"/>
        </w:trPr>
        <w:tc>
          <w:tcPr>
            <w:tcW w:w="113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2"/>
                <w:szCs w:val="12"/>
              </w:rPr>
            </w:pPr>
            <w:r>
              <w:rPr>
                <w:rFonts w:cs="Arial" w:ascii="Arial" w:hAnsi="Arial"/>
                <w:b/>
                <w:bCs/>
                <w:sz w:val="12"/>
                <w:szCs w:val="12"/>
              </w:rPr>
              <w:t>Level 2</w:t>
            </w:r>
          </w:p>
        </w:tc>
        <w:tc>
          <w:tcPr>
            <w:tcW w:w="9921"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2"/>
                <w:szCs w:val="12"/>
              </w:rPr>
            </w:pPr>
            <w:r>
              <w:rPr>
                <w:rFonts w:cs="Arial" w:ascii="Arial" w:hAnsi="Arial"/>
                <w:bCs/>
                <w:sz w:val="12"/>
                <w:szCs w:val="12"/>
              </w:rPr>
              <w:t xml:space="preserve">Personnel with reduced physical ability, not quite ready to conduct mainstream PT (reconditioning PT). </w:t>
            </w:r>
          </w:p>
          <w:p>
            <w:pPr>
              <w:pStyle w:val="Normal"/>
              <w:rPr>
                <w:rFonts w:ascii="Arial" w:hAnsi="Arial" w:cs="Arial"/>
                <w:b/>
                <w:bCs/>
                <w:sz w:val="12"/>
                <w:szCs w:val="12"/>
              </w:rPr>
            </w:pPr>
            <w:r>
              <w:rPr>
                <w:rFonts w:cs="Arial" w:ascii="Arial" w:hAnsi="Arial"/>
                <w:bCs/>
                <w:sz w:val="12"/>
                <w:szCs w:val="12"/>
              </w:rPr>
              <w:t>Will have completed the SCR to a satisfactory standard but not RFT(S)/AFT.</w:t>
            </w:r>
          </w:p>
        </w:tc>
      </w:tr>
      <w:tr>
        <w:trPr>
          <w:trHeight w:val="265" w:hRule="atLeast"/>
          <w:cantSplit w:val="true"/>
        </w:trPr>
        <w:tc>
          <w:tcPr>
            <w:tcW w:w="113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2"/>
                <w:szCs w:val="12"/>
              </w:rPr>
            </w:pPr>
            <w:r>
              <w:rPr>
                <w:rFonts w:cs="Arial" w:ascii="Arial" w:hAnsi="Arial"/>
                <w:b/>
                <w:bCs/>
                <w:sz w:val="12"/>
                <w:szCs w:val="12"/>
              </w:rPr>
              <w:t>Level 1</w:t>
            </w:r>
          </w:p>
        </w:tc>
        <w:tc>
          <w:tcPr>
            <w:tcW w:w="9921"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2"/>
                <w:szCs w:val="12"/>
              </w:rPr>
            </w:pPr>
            <w:r>
              <w:rPr>
                <w:rFonts w:cs="Arial" w:ascii="Arial" w:hAnsi="Arial"/>
                <w:bCs/>
                <w:sz w:val="12"/>
                <w:szCs w:val="12"/>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388"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66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261"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6"/>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6" w:name="Unnamed_Copy_6"/>
            <w:bookmarkStart w:id="87" w:name="Unnamed_Copy_6"/>
            <w:bookmarkEnd w:id="87"/>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20"/>
                <w:szCs w:val="20"/>
              </w:rPr>
            </w:pP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Dropdown25"/>
            <w:bookmarkStart w:id="89" w:name="Dropdown25"/>
            <w:bookmarkEnd w:id="89"/>
            <w:r>
              <w:rPr>
                <w:rFonts w:cs="Arial" w:ascii="Arial" w:hAnsi="Arial"/>
                <w:b/>
                <w:bCs/>
                <w:sz w:val="16"/>
                <w:szCs w:val="16"/>
              </w:rPr>
            </w:r>
            <w:r>
              <w:rPr>
                <w:sz w:val="16"/>
                <w:b/>
                <w:szCs w:val="16"/>
                <w:bCs/>
                <w:rFonts w:cs="Arial" w:ascii="Arial" w:hAnsi="Arial"/>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7"/>
                  <w:enabled/>
                  <w:ddList>
                    <w:result w:val="2"/>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0" w:name="Unnamed_Copy_7"/>
            <w:bookmarkStart w:id="91" w:name="Unnamed_Copy_7"/>
            <w:bookmarkEnd w:id="91"/>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261"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8"/>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Cs/>
                <w:sz w:val="20"/>
                <w:szCs w:val="20"/>
              </w:rPr>
              <w:t xml:space="preserve">Workplace </w:t>
            </w:r>
          </w:p>
          <w:p>
            <w:pPr>
              <w:pStyle w:val="Normal"/>
              <w:rPr>
                <w:rFonts w:ascii="Arial" w:hAnsi="Arial" w:cs="Arial"/>
                <w:bCs/>
                <w:sz w:val="20"/>
                <w:szCs w:val="20"/>
              </w:rPr>
            </w:pPr>
            <w:r>
              <w:rPr>
                <w:rFonts w:cs="Arial" w:ascii="Arial" w:hAnsi="Arial"/>
                <w:b/>
                <w:bCs/>
                <w:sz w:val="16"/>
                <w:szCs w:val="16"/>
              </w:rPr>
              <w:t>To be employed in appropriate thermal environment</w:t>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pPr>
            <w:r>
              <w:rPr>
                <w:rFonts w:cs="Arial" w:ascii="Arial" w:hAnsi="Arial"/>
                <w:bCs/>
                <w:sz w:val="20"/>
                <w:szCs w:val="20"/>
              </w:rPr>
              <w:t>R</w:t>
            </w:r>
            <w:r>
              <w:rPr>
                <w:rFonts w:cs="Arial" w:ascii="Arial" w:hAnsi="Arial"/>
                <w:b/>
                <w:bCs/>
                <w:sz w:val="16"/>
                <w:szCs w:val="16"/>
              </w:rPr>
              <w:t xml:space="preserve">equires full issue of cold weather clothing and equipment. </w:t>
            </w:r>
          </w:p>
        </w:tc>
      </w:tr>
      <w:tr>
        <w:trPr>
          <w:trHeight w:val="404" w:hRule="atLeast"/>
        </w:trPr>
        <w:tc>
          <w:tcPr>
            <w:tcW w:w="3261"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9"/>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8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Cs/>
                <w:sz w:val="20"/>
                <w:szCs w:val="20"/>
              </w:rPr>
              <w:t xml:space="preserve">Marching / drill </w:t>
            </w:r>
          </w:p>
          <w:p>
            <w:pPr>
              <w:pStyle w:val="Normal"/>
              <w:rPr>
                <w:rFonts w:ascii="Arial" w:hAnsi="Arial" w:cs="Arial"/>
                <w:bCs/>
                <w:sz w:val="16"/>
                <w:szCs w:val="16"/>
              </w:rPr>
            </w:pPr>
            <w:r>
              <w:rPr>
                <w:rFonts w:cs="Arial" w:ascii="Arial" w:hAnsi="Arial"/>
                <w:b/>
                <w:bCs/>
                <w:sz w:val="16"/>
                <w:szCs w:val="16"/>
              </w:rPr>
              <w:t>In accordance with Section 3 comments</w:t>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6" w:name="Dropdown21"/>
            <w:bookmarkStart w:id="97" w:name="Dropdown21"/>
            <w:bookmarkEnd w:id="97"/>
            <w:r>
              <w:rPr>
                <w:rFonts w:cs="Arial" w:ascii="Arial" w:hAnsi="Arial"/>
                <w:b/>
                <w:bCs/>
                <w:sz w:val="16"/>
                <w:szCs w:val="16"/>
              </w:rPr>
            </w:r>
            <w:r>
              <w:rPr>
                <w:sz w:val="16"/>
                <w:b/>
                <w:szCs w:val="16"/>
                <w:bCs/>
                <w:rFonts w:cs="Arial" w:ascii="Arial" w:hAnsi="Arial"/>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261"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0"/>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5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Guard duties </w:t>
            </w:r>
          </w:p>
          <w:p>
            <w:pPr>
              <w:pStyle w:val="Normal"/>
              <w:rPr>
                <w:rFonts w:ascii="Arial" w:hAnsi="Arial" w:cs="Arial"/>
                <w:bCs/>
                <w:sz w:val="20"/>
                <w:szCs w:val="20"/>
              </w:rPr>
            </w:pPr>
            <w:r>
              <w:rPr>
                <w:rFonts w:cs="Arial" w:ascii="Arial" w:hAnsi="Arial"/>
                <w:b/>
                <w:bCs/>
                <w:sz w:val="16"/>
                <w:szCs w:val="16"/>
              </w:rPr>
              <w:t>In accordance with Section 3 comments.</w:t>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1"/>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1"/>
            <w:bookmarkStart w:id="101" w:name="Unnamed_Copy_11"/>
            <w:bookmarkEnd w:id="101"/>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
                <w:bCs/>
                <w:sz w:val="20"/>
                <w:szCs w:val="20"/>
              </w:rPr>
              <w:t xml:space="preserve">General Comments: </w:t>
            </w:r>
            <w:r>
              <w:rPr>
                <w:rFonts w:cs="Arial" w:ascii="Arial" w:hAnsi="Arial"/>
                <w:sz w:val="18"/>
                <w:szCs w:val="18"/>
              </w:rPr>
              <w:t>All activities to be undertaken in accordance with Section 3 comments.</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r>
      <w:r>
        <w:rPr/>
        <w:t>SAFETY CRITICAL TASKS</w:t>
      </w:r>
    </w:p>
    <w:tbl>
      <w:tblPr>
        <w:tblW w:w="11057" w:type="dxa"/>
        <w:jc w:val="start"/>
        <w:tblInd w:w="-601" w:type="dxa"/>
        <w:tblLayout w:type="fixed"/>
        <w:tblCellMar>
          <w:top w:w="0" w:type="dxa"/>
          <w:start w:w="108" w:type="dxa"/>
          <w:bottom w:w="0" w:type="dxa"/>
          <w:end w:w="108" w:type="dxa"/>
        </w:tblCellMar>
      </w:tblPr>
      <w:tblGrid>
        <w:gridCol w:w="3866"/>
        <w:gridCol w:w="3265"/>
        <w:gridCol w:w="3926"/>
      </w:tblGrid>
      <w:tr>
        <w:trPr>
          <w:trHeight w:val="448" w:hRule="atLeast"/>
        </w:trPr>
        <w:tc>
          <w:tcPr>
            <w:tcW w:w="386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2"/>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2" w:name="Unnamed_Copy_12"/>
            <w:bookmarkStart w:id="103" w:name="Unnamed_Copy_12"/>
            <w:bookmarkEnd w:id="103"/>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4" w:name="Dropdown30"/>
            <w:bookmarkStart w:id="105" w:name="Dropdown30"/>
            <w:bookmarkEnd w:id="105"/>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bookmarkStart w:id="106" w:name="Dropdown33"/>
          </w:p>
          <w:p>
            <w:pPr>
              <w:pStyle w:val="Normal"/>
              <w:rPr>
                <w:rFonts w:ascii="Arial" w:hAnsi="Arial" w:cs="Arial"/>
                <w:sz w:val="20"/>
                <w:szCs w:val="20"/>
              </w:rPr>
            </w:pPr>
            <w:r>
              <w:fldChar w:fldCharType="begin">
                <w:ffData>
                  <w:name w:val="Dropdown19"/>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7" w:name="Dropdown19"/>
            <w:bookmarkStart w:id="108" w:name="Dropdown19"/>
            <w:bookmarkEnd w:id="108"/>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bookmarkEnd w:id="106"/>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86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9" w:name="Dropdown31"/>
            <w:bookmarkStart w:id="110" w:name="Dropdown31"/>
            <w:bookmarkEnd w:id="110"/>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rPr>
                <w:rFonts w:cs="Arial" w:ascii="Arial" w:hAnsi="Arial"/>
                <w:b/>
                <w:bCs/>
                <w:sz w:val="16"/>
                <w:szCs w:val="16"/>
              </w:rPr>
              <w:t>In accordance with Section 3 comments</w:t>
            </w:r>
          </w:p>
        </w:tc>
        <w:tc>
          <w:tcPr>
            <w:tcW w:w="39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rPr>
                <w:rFonts w:cs="Arial" w:ascii="Arial" w:hAnsi="Arial"/>
                <w:b/>
                <w:sz w:val="16"/>
                <w:szCs w:val="16"/>
              </w:rPr>
              <w:t>Work place assessment by unit advised.</w:t>
            </w:r>
            <w:r>
              <w:rPr>
                <w:rFonts w:cs="Arial" w:ascii="Arial" w:hAnsi="Arial"/>
                <w:b/>
                <w:sz w:val="20"/>
                <w:szCs w:val="20"/>
              </w:rPr>
              <w:t xml:space="preserve"> </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MEDICAL REVIEW</w:t>
      </w:r>
      <w:r>
        <w:rPr/>
        <w:t xml:space="preserve"> </w:t>
      </w:r>
    </w:p>
    <w:tbl>
      <w:tblPr>
        <w:tblW w:w="11057" w:type="dxa"/>
        <w:jc w:val="start"/>
        <w:tblInd w:w="-601" w:type="dxa"/>
        <w:tblLayout w:type="fixed"/>
        <w:tblCellMar>
          <w:top w:w="0" w:type="dxa"/>
          <w:start w:w="108" w:type="dxa"/>
          <w:bottom w:w="0" w:type="dxa"/>
          <w:end w:w="108" w:type="dxa"/>
        </w:tblCellMar>
      </w:tblPr>
      <w:tblGrid>
        <w:gridCol w:w="7088"/>
        <w:gridCol w:w="3969"/>
      </w:tblGrid>
      <w:tr>
        <w:trPr>
          <w:trHeight w:val="288" w:hRule="atLeast"/>
        </w:trPr>
        <w:tc>
          <w:tcPr>
            <w:tcW w:w="708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Yes</w:t>
            </w:r>
          </w:p>
        </w:tc>
      </w:tr>
      <w:tr>
        <w:trPr>
          <w:trHeight w:val="288" w:hRule="atLeast"/>
        </w:trPr>
        <w:tc>
          <w:tcPr>
            <w:tcW w:w="708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1057" w:type="dxa"/>
        <w:jc w:val="start"/>
        <w:tblInd w:w="-601" w:type="dxa"/>
        <w:tblLayout w:type="fixed"/>
        <w:tblCellMar>
          <w:top w:w="0" w:type="dxa"/>
          <w:start w:w="108" w:type="dxa"/>
          <w:bottom w:w="0" w:type="dxa"/>
          <w:end w:w="108" w:type="dxa"/>
        </w:tblCellMar>
      </w:tblPr>
      <w:tblGrid>
        <w:gridCol w:w="2552"/>
        <w:gridCol w:w="677"/>
        <w:gridCol w:w="2520"/>
        <w:gridCol w:w="1339"/>
        <w:gridCol w:w="3969"/>
      </w:tblGrid>
      <w:tr>
        <w:trPr/>
        <w:tc>
          <w:tcPr>
            <w:tcW w:w="2552"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3197" w:type="dxa"/>
            <w:gridSpan w:val="2"/>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Nam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Name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3229" w:type="dxa"/>
            <w:gridSpan w:val="2"/>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1057" w:type="dxa"/>
        <w:jc w:val="start"/>
        <w:tblInd w:w="-601" w:type="dxa"/>
        <w:tblLayout w:type="fixed"/>
        <w:tblCellMar>
          <w:top w:w="0" w:type="dxa"/>
          <w:start w:w="108" w:type="dxa"/>
          <w:bottom w:w="0" w:type="dxa"/>
          <w:end w:w="108" w:type="dxa"/>
        </w:tblCellMar>
      </w:tblPr>
      <w:tblGrid>
        <w:gridCol w:w="1560"/>
        <w:gridCol w:w="1843"/>
        <w:gridCol w:w="850"/>
        <w:gridCol w:w="1496"/>
        <w:gridCol w:w="1339"/>
        <w:gridCol w:w="3969"/>
      </w:tblGrid>
      <w:tr>
        <w:trPr/>
        <w:tc>
          <w:tcPr>
            <w:tcW w:w="156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Surname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Titl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Rank/Title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emp or Perm?"/>
    <w:docVar w:name="Free_Text_Prompt_3" w:val="Date of onset:"/>
    <w:docVar w:name="Free_Text_Prompt_4" w:val="Enter the MES (A4 L3 M4 E3 is recommended - L4 if P7 MLD)"/>
    <w:docVar w:name="Free_Text_Prompt_5" w:val="Enter board type (eg FWAB(T), FWAB(P), Annual Review)"/>
    <w:docVar w:name="Free_Text_Prompt_6" w:val="Anticipated Outcome"/>
    <w:docVar w:name="Free_Text_Prompt_7" w:val="Anticipate Timeline (ie stability)"/>
    <w:docVar w:name="Free_Text_Prompt_8" w:val="Input &quot;No&quot; if P3, &quot;Yes&quot; if P7"/>
    <w:docVar w:name="Free_Text_Prompt_9" w:val="Enter any trade restrictions"/>
    <w:docVar w:name="PCS_DOCUMENT_NAME" w:val="Appendix_9_NFCI_Perm_MLD_v2.dot"/>
    <w:docVar w:name="PCS_HANDLE" w:val="65756"/>
    <w:docVar w:name="PCS_MSG" w:val="49566"/>
    <w:docVar w:name="Read_Code_F_1" w:val="RAFPUPU1|PULHHEEMS Profile|1|T,H"/>
    <w:docVar w:name="Read_Code_F_2" w:val="1L0|Date of onset|1|T,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Appendix_9_NFCI_Perm_MLD_v2.dot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2021-06-22T05:38:00Z</dcterms:created>
  <dc:creator>Hollis, Sarah Civilian</dc:creator>
  <dc:description/>
  <cp:keywords/>
  <dc:language>en-GB</dc:language>
  <cp:lastModifiedBy>Johnstone, Thomas Maj</cp:lastModifiedBy>
  <cp:lastPrinted>2019-04-02T12:51:00Z</cp:lastPrinted>
  <dcterms:modified xsi:type="dcterms:W3CDTF">2025-02-03T02:45:00Z</dcterms:modified>
  <cp:revision>7</cp:revision>
  <dc:subject/>
  <dc:title>APPENDIX 9</dc:title>
</cp:coreProperties>
</file>