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  <w:t>APPENDIX 26 TO CHAPTER 78</w:t>
      </w:r>
    </w:p>
    <w:p>
      <w:pPr>
        <w:pStyle w:val="Normal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center"/>
        <w:rPr>
          <w:rFonts w:ascii="Arial Bold;Arial" w:hAnsi="Arial Bold;Arial" w:cs="Arial"/>
          <w:b/>
          <w:bCs/>
          <w:caps/>
          <w:sz w:val="26"/>
          <w:szCs w:val="26"/>
        </w:rPr>
      </w:pPr>
      <w:r>
        <w:rPr>
          <w:rFonts w:cs="Arial" w:ascii="Arial Bold;Arial" w:hAnsi="Arial Bold;Arial"/>
          <w:b/>
          <w:bCs/>
          <w:caps/>
          <w:sz w:val="26"/>
          <w:szCs w:val="26"/>
        </w:rPr>
        <w:t>Deployment Medical Risk Assessment Form</w:t>
      </w:r>
    </w:p>
    <w:p>
      <w:pPr>
        <w:pStyle w:val="Normal"/>
        <w:rPr/>
      </w:pPr>
      <w:r>
        <w:rPr>
          <w:rFonts w:cs="Arial" w:ascii="Arial" w:hAnsi="Arial"/>
          <w:b/>
          <w:bCs/>
          <w:sz w:val="20"/>
        </w:rPr>
        <w:br/>
      </w:r>
      <w:r>
        <w:rPr>
          <w:rFonts w:cs="Arial" w:ascii="Arial" w:hAnsi="Arial"/>
          <w:b/>
          <w:sz w:val="22"/>
          <w:szCs w:val="22"/>
        </w:rPr>
        <w:t>This assessment must be completed for soldiers with a medical grading below MFD who are at readiness (R1-3) or warned for deployment</w:t>
      </w:r>
      <w:r>
        <w:rPr>
          <w:rStyle w:val="FootnoteCharacters"/>
          <w:rStyle w:val="FootnoteReference"/>
          <w:rFonts w:cs="Arial" w:ascii="Arial" w:hAnsi="Arial"/>
          <w:b/>
          <w:sz w:val="22"/>
          <w:szCs w:val="22"/>
        </w:rPr>
        <w:footnoteReference w:id="2"/>
      </w:r>
      <w:r>
        <w:rPr>
          <w:rFonts w:cs="Arial" w:ascii="Arial" w:hAnsi="Arial"/>
          <w:b/>
          <w:sz w:val="22"/>
          <w:szCs w:val="22"/>
        </w:rPr>
        <w:t>.  The aim of the form is to:</w:t>
      </w:r>
    </w:p>
    <w:p>
      <w:pPr>
        <w:pStyle w:val="Normal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Articulate relevant medical limitations</w:t>
      </w:r>
    </w:p>
    <w:p>
      <w:pPr>
        <w:pStyle w:val="Normal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Identify the risk these present to the soldier, the mission or the Commander</w:t>
      </w:r>
    </w:p>
    <w:p>
      <w:pPr>
        <w:pStyle w:val="Normal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Confirm any mitigations which will be put in place to enable deployment 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It is to be initiated by the subunit commander in conjunction with the Appendix 9 with input as required from the soldier, UMO and ROHT.  </w:t>
      </w:r>
      <w:r>
        <w:rPr>
          <w:rFonts w:cs="Arial" w:ascii="Arial" w:hAnsi="Arial"/>
          <w:b/>
          <w:sz w:val="22"/>
          <w:szCs w:val="22"/>
        </w:rPr>
        <w:t xml:space="preserve">The decision on fitness for deployment is owned by the CO and must be agreed by the deployed commander.  </w:t>
      </w:r>
    </w:p>
    <w:p>
      <w:pPr>
        <w:pStyle w:val="Normal"/>
        <w:rPr>
          <w:rFonts w:ascii="Arial" w:hAnsi="Arial" w:cs="Arial"/>
          <w:b/>
          <w:sz w:val="20"/>
          <w:szCs w:val="22"/>
        </w:rPr>
      </w:pPr>
      <w:r>
        <w:rPr>
          <w:rFonts w:cs="Arial" w:ascii="Arial" w:hAnsi="Arial"/>
          <w:b/>
          <w:sz w:val="20"/>
          <w:szCs w:val="22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843"/>
        <w:gridCol w:w="1559"/>
        <w:gridCol w:w="1984"/>
        <w:gridCol w:w="1276"/>
        <w:gridCol w:w="2126"/>
      </w:tblGrid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No: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Service Number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Rank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Rank/Title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Surname: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Surname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Unit: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Organisation Name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Regt/Corps: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Regiment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JMES: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A __ L __ M __ E__</w:t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Branch / Trade: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Role: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Reason for App 26</w:t>
            </w:r>
          </w:p>
        </w:tc>
        <w:tc>
          <w:tcPr>
            <w:tcW w:w="694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Deployment and MST for  </w:t>
            </w:r>
            <w:r>
              <w:rPr>
                <w:rFonts w:cs="Arial" w:ascii="Arial" w:hAnsi="Arial"/>
                <w:b/>
                <w:sz w:val="20"/>
                <w:u w:val="single"/>
              </w:rPr>
              <w:t xml:space="preserve">                                              </w:t>
            </w:r>
            <w:r>
              <w:rPr>
                <w:rFonts w:cs="Arial" w:ascii="Arial" w:hAnsi="Arial"/>
                <w:b/>
                <w:sz w:val="20"/>
              </w:rPr>
              <w:t xml:space="preserve">  </w:t>
            </w:r>
            <w: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0" w:name="Check54"/>
            <w:bookmarkStart w:id="1" w:name="Check54"/>
            <w:bookmarkEnd w:id="1"/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 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Overseas Training Exercise or short term training team _</w:t>
            </w:r>
            <w:r>
              <w:rPr>
                <w:rFonts w:cs="Arial" w:ascii="Arial" w:hAnsi="Arial"/>
                <w:b/>
                <w:bCs/>
                <w:sz w:val="18"/>
                <w:szCs w:val="18"/>
                <w:u w:val="single"/>
              </w:rPr>
              <w:t xml:space="preserve">____________ 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  </w:t>
            </w:r>
            <w:r>
              <w:fldChar w:fldCharType="begin">
                <w:ffData>
                  <w:name w:val="Check54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2" w:name="Check54_Copy_1"/>
            <w:bookmarkStart w:id="3" w:name="Check54_Copy_1"/>
            <w:bookmarkEnd w:id="3"/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 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Held at R1-3 (complete section 2-4 on activation) for  </w:t>
            </w:r>
            <w:r>
              <w:rPr>
                <w:rFonts w:cs="Arial" w:ascii="Arial" w:hAnsi="Arial"/>
                <w:b/>
                <w:sz w:val="20"/>
                <w:u w:val="single"/>
              </w:rPr>
              <w:t xml:space="preserve">                </w:t>
            </w:r>
            <w:r>
              <w:rPr>
                <w:rFonts w:cs="Arial" w:ascii="Arial" w:hAnsi="Arial"/>
                <w:b/>
                <w:sz w:val="20"/>
              </w:rPr>
              <w:t xml:space="preserve"> </w:t>
            </w:r>
            <w:r>
              <w:fldChar w:fldCharType="begin">
                <w:ffData>
                  <w:name w:val="Check54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4" w:name="Check54_Copy_2"/>
            <w:bookmarkStart w:id="5" w:name="Check54_Copy_2"/>
            <w:bookmarkEnd w:id="5"/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 </w:t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SECTION 1 - ROLE SPECIFIC ASSESSMENT</w:t>
      </w:r>
    </w:p>
    <w:p>
      <w:pPr>
        <w:pStyle w:val="Normal"/>
        <w:rPr>
          <w:rFonts w:ascii="Arial" w:hAnsi="Arial" w:cs="Arial"/>
          <w:b/>
          <w:sz w:val="20"/>
          <w:szCs w:val="22"/>
        </w:rPr>
      </w:pPr>
      <w:r>
        <w:rPr>
          <w:rFonts w:cs="Arial" w:ascii="Arial" w:hAnsi="Arial"/>
          <w:b/>
          <w:sz w:val="20"/>
          <w:szCs w:val="22"/>
        </w:rPr>
      </w:r>
    </w:p>
    <w:p>
      <w:pPr>
        <w:pStyle w:val="Normal"/>
        <w:rPr/>
      </w:pPr>
      <w:r>
        <w:rPr>
          <w:rFonts w:cs="Arial" w:ascii="Arial" w:hAnsi="Arial"/>
          <w:sz w:val="20"/>
        </w:rPr>
        <w:t>1.</w:t>
        <w:tab/>
      </w:r>
      <w:r>
        <w:rPr>
          <w:rFonts w:cs="Arial" w:ascii="Arial" w:hAnsi="Arial"/>
          <w:b/>
          <w:sz w:val="20"/>
        </w:rPr>
        <w:t>Role</w:t>
      </w:r>
      <w:r>
        <w:rPr>
          <w:rFonts w:cs="Arial" w:ascii="Arial" w:hAnsi="Arial"/>
          <w:sz w:val="20"/>
        </w:rPr>
        <w:t>.  Details of activity required in deployed role: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9" w:type="dxa"/>
        <w:jc w:val="start"/>
        <w:tblInd w:w="108" w:type="dxa"/>
        <w:tblLayout w:type="fixed"/>
        <w:tblCellMar>
          <w:top w:w="57" w:type="dxa"/>
          <w:start w:w="108" w:type="dxa"/>
          <w:bottom w:w="0" w:type="dxa"/>
          <w:end w:w="108" w:type="dxa"/>
        </w:tblCellMar>
      </w:tblPr>
      <w:tblGrid>
        <w:gridCol w:w="9639"/>
      </w:tblGrid>
      <w:tr>
        <w:trPr>
          <w:trHeight w:val="539" w:hRule="atLeast"/>
        </w:trPr>
        <w:tc>
          <w:tcPr>
            <w:tcW w:w="9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/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Operational/deployed Role</w:t>
            </w:r>
            <w:r>
              <w:rPr>
                <w:rStyle w:val="FootnoteCharacters"/>
                <w:rStyle w:val="FootnoteReference"/>
                <w:rFonts w:cs="Arial" w:ascii="Arial" w:hAnsi="Arial"/>
                <w:b/>
                <w:bCs/>
                <w:sz w:val="18"/>
                <w:szCs w:val="18"/>
              </w:rPr>
              <w:footnoteReference w:id="3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: 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BLUE SECTIONS ARE A GUIDE – KEEP INFORMATION RELEVANT AND USE OR DELETE AS USEFUL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Physical and mental demands of role: </w:t>
            </w:r>
            <w:r>
              <w:rPr>
                <w:rFonts w:cs="Arial" w:ascii="Arial" w:hAnsi="Arial"/>
                <w:bCs/>
                <w:i/>
                <w:sz w:val="18"/>
                <w:szCs w:val="18"/>
              </w:rPr>
              <w:t>work environment, accommodation, working hours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Training Locations and associated health threats: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Weapon systems carried: 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Personal protective equipment requirements:  </w:t>
            </w:r>
            <w:r>
              <w:rPr>
                <w:rFonts w:cs="Arial" w:ascii="Arial" w:hAnsi="Arial"/>
                <w:bCs/>
                <w:i/>
                <w:sz w:val="18"/>
                <w:szCs w:val="18"/>
              </w:rPr>
              <w:t xml:space="preserve">Body armour/EOD suit 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Vehicles and transport: 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Other considerations: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Previous Demonstration of fitness for role: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Recent exercise and training performance consistent with deployment role: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Previous CASEVAC requirements or use of medical services: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Previous successful deployment in role:</w:t>
            </w:r>
          </w:p>
        </w:tc>
      </w:tr>
    </w:tbl>
    <w:p>
      <w:pPr>
        <w:pStyle w:val="Normal"/>
        <w:rPr/>
      </w:pPr>
      <w:r>
        <w:br w:type="page"/>
      </w:r>
      <w:r>
        <w:rPr>
          <w:rFonts w:cs="Arial" w:ascii="Arial" w:hAnsi="Arial"/>
          <w:sz w:val="20"/>
        </w:rPr>
        <w:t>2.</w:t>
        <w:tab/>
      </w:r>
      <w:r>
        <w:rPr>
          <w:rFonts w:cs="Arial" w:ascii="Arial" w:hAnsi="Arial"/>
          <w:b/>
          <w:sz w:val="20"/>
        </w:rPr>
        <w:t>Relevant medical restrictions</w:t>
      </w:r>
      <w:r>
        <w:rPr>
          <w:rFonts w:cs="Arial" w:ascii="Arial" w:hAnsi="Arial"/>
          <w:sz w:val="20"/>
        </w:rPr>
        <w:t xml:space="preserve">.  Refer to Appendix 9 and seek MO/ ROHT advice as necessary. 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9" w:type="dxa"/>
        <w:jc w:val="start"/>
        <w:tblInd w:w="108" w:type="dxa"/>
        <w:tblLayout w:type="fixed"/>
        <w:tblCellMar>
          <w:top w:w="57" w:type="dxa"/>
          <w:start w:w="108" w:type="dxa"/>
          <w:bottom w:w="0" w:type="dxa"/>
          <w:end w:w="108" w:type="dxa"/>
        </w:tblCellMar>
      </w:tblPr>
      <w:tblGrid>
        <w:gridCol w:w="9639"/>
      </w:tblGrid>
      <w:tr>
        <w:trPr>
          <w:trHeight w:val="539" w:hRule="atLeast"/>
        </w:trPr>
        <w:tc>
          <w:tcPr>
            <w:tcW w:w="9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Medical Restrictions: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Mandated need for proximity to medical facilities (specify capability required CMT/ MO/ deployed hospital):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Requirement for monitoring or attendance at appointments or follow up: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Requirement to store medications: refrigerated/ambient: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Requirement to carry specific equipment or use an electrical supply: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Ability to carry weight and conduct military tasks patrol, tab and run: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Requirement for hearing protection: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Specific environmental restrictions: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Likelihood of generating workload for available medical support: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Other factors:</w:t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/>
      </w:pPr>
      <w:r>
        <w:rPr>
          <w:rFonts w:cs="Arial" w:ascii="Arial" w:hAnsi="Arial"/>
          <w:sz w:val="20"/>
        </w:rPr>
        <w:t>3.</w:t>
        <w:tab/>
      </w:r>
      <w:r>
        <w:rPr>
          <w:rFonts w:cs="Arial" w:ascii="Arial" w:hAnsi="Arial"/>
          <w:b/>
          <w:sz w:val="20"/>
        </w:rPr>
        <w:t>Mitigations</w:t>
      </w:r>
      <w:r>
        <w:rPr>
          <w:rFonts w:cs="Arial" w:ascii="Arial" w:hAnsi="Arial"/>
          <w:sz w:val="20"/>
        </w:rPr>
        <w:t>.  This section identifies measures which will be put in place to support deployment.  These must articulate how risk to the SP or to the mission may be avoided.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9" w:type="dxa"/>
        <w:jc w:val="start"/>
        <w:tblInd w:w="108" w:type="dxa"/>
        <w:tblLayout w:type="fixed"/>
        <w:tblCellMar>
          <w:top w:w="57" w:type="dxa"/>
          <w:start w:w="108" w:type="dxa"/>
          <w:bottom w:w="0" w:type="dxa"/>
          <w:end w:w="108" w:type="dxa"/>
        </w:tblCellMar>
      </w:tblPr>
      <w:tblGrid>
        <w:gridCol w:w="9639"/>
      </w:tblGrid>
      <w:tr>
        <w:trPr>
          <w:trHeight w:val="539" w:hRule="atLeast"/>
        </w:trPr>
        <w:tc>
          <w:tcPr>
            <w:tcW w:w="9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Mitigation of Risk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How will we avoid exacerbation of the condition and identify a deterioration in health if it occurs?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How will we ensure follow up treatment or outstanding rehabilitation is not missed?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Is there likely to be exposure to exacerbating conditions NOISE, HEAT, COLD in this role and how can this be managed?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Can sudden incapacitation be avoided- if not how will the condition be managed?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Can I ensure appropriate Medical support, transport, equipment and facilities are available to support the condition?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Are additional force preparation measures required in advance of deployment?</w:t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/>
      </w:pPr>
      <w:r>
        <w:rPr>
          <w:rFonts w:cs="Arial" w:ascii="Arial" w:hAnsi="Arial"/>
          <w:sz w:val="20"/>
        </w:rPr>
        <w:t xml:space="preserve">4.  </w:t>
        <w:tab/>
      </w:r>
      <w:r>
        <w:rPr>
          <w:rFonts w:cs="Arial" w:ascii="Arial" w:hAnsi="Arial"/>
          <w:b/>
          <w:sz w:val="20"/>
        </w:rPr>
        <w:t>Provisional acceptance of employment in role</w:t>
      </w:r>
      <w:r>
        <w:rPr>
          <w:rFonts w:cs="Arial" w:ascii="Arial" w:hAnsi="Arial"/>
          <w:sz w:val="20"/>
        </w:rPr>
        <w:t>.  This endorsement is required only for those held at readiness without a specific task.  All other MRAs should be continued in Section 2.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67"/>
        <w:gridCol w:w="711"/>
      </w:tblGrid>
      <w:tr>
        <w:trPr>
          <w:trHeight w:val="165" w:hRule="atLeast"/>
        </w:trPr>
        <w:tc>
          <w:tcPr>
            <w:tcW w:w="8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Record CO provisional acceptance of employment for non-MFD force elements at readiness.  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UHC date (quarterly review) _________________________________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Comments/caveats: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Risk of deployment (High/ Low)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lang w:eastAsia="zh-CN"/>
              </w:rPr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sz w:val="20"/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6" w:name="Check2"/>
            <w:bookmarkStart w:id="7" w:name="Check2"/>
            <w:bookmarkEnd w:id="7"/>
            <w:r/>
            <w:r>
              <w:rPr>
                <w:sz w:val="20"/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lang w:eastAsia="zh-CN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sz w:val="20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0"/>
        </w:rPr>
        <w:t>End of initial MRA for F@R until activation</w:t>
      </w:r>
      <w:r>
        <w:br w:type="page"/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SECTION 2 - DESTINATION SPECIFIC ASSESSMENT</w:t>
      </w:r>
    </w:p>
    <w:p>
      <w:pPr>
        <w:pStyle w:val="Normal"/>
        <w:rPr>
          <w:rFonts w:ascii="Arial" w:hAnsi="Arial" w:cs="Arial"/>
          <w:b/>
          <w:sz w:val="20"/>
          <w:szCs w:val="22"/>
        </w:rPr>
      </w:pPr>
      <w:r>
        <w:rPr>
          <w:rFonts w:cs="Arial" w:ascii="Arial" w:hAnsi="Arial"/>
          <w:b/>
          <w:sz w:val="20"/>
          <w:szCs w:val="22"/>
        </w:rPr>
      </w:r>
    </w:p>
    <w:p>
      <w:pPr>
        <w:pStyle w:val="Normal"/>
        <w:rPr/>
      </w:pPr>
      <w:r>
        <w:rPr>
          <w:rFonts w:cs="Arial" w:ascii="Arial" w:hAnsi="Arial"/>
          <w:sz w:val="20"/>
        </w:rPr>
        <w:t>5.</w:t>
        <w:tab/>
      </w:r>
      <w:r>
        <w:rPr>
          <w:rFonts w:cs="Arial" w:ascii="Arial" w:hAnsi="Arial"/>
          <w:b/>
          <w:sz w:val="20"/>
        </w:rPr>
        <w:t>Additional risks to health from deployed environment</w:t>
      </w:r>
      <w:r>
        <w:rPr>
          <w:rFonts w:cs="Arial" w:ascii="Arial" w:hAnsi="Arial"/>
          <w:sz w:val="20"/>
        </w:rPr>
        <w:t xml:space="preserve">.  Identify any new issues related to the deployed environment which could affect the health of this soldier. 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9" w:type="dxa"/>
        <w:jc w:val="start"/>
        <w:tblInd w:w="108" w:type="dxa"/>
        <w:tblLayout w:type="fixed"/>
        <w:tblCellMar>
          <w:top w:w="57" w:type="dxa"/>
          <w:start w:w="108" w:type="dxa"/>
          <w:bottom w:w="0" w:type="dxa"/>
          <w:end w:w="108" w:type="dxa"/>
        </w:tblCellMar>
      </w:tblPr>
      <w:tblGrid>
        <w:gridCol w:w="9639"/>
      </w:tblGrid>
      <w:tr>
        <w:trPr>
          <w:trHeight w:val="539" w:hRule="atLeast"/>
        </w:trPr>
        <w:tc>
          <w:tcPr>
            <w:tcW w:w="9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 have referred to the mounting instruction/ Op Order for ___________________________________________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Environmental conditions: Austerity, endemic health threats- disease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Medical support availability: capacity, capability, timelines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Exposure to hostile activity: DCC, resilience, unexpected noise exposure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Other factors:</w:t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/>
      </w:pPr>
      <w:r>
        <w:rPr>
          <w:rFonts w:cs="Arial" w:ascii="Arial" w:hAnsi="Arial"/>
          <w:sz w:val="20"/>
        </w:rPr>
        <w:t>6.</w:t>
        <w:tab/>
      </w:r>
      <w:r>
        <w:rPr>
          <w:rFonts w:cs="Arial" w:ascii="Arial" w:hAnsi="Arial"/>
          <w:b/>
          <w:sz w:val="20"/>
        </w:rPr>
        <w:t>Additional Mitigations</w:t>
      </w:r>
      <w:r>
        <w:rPr>
          <w:rFonts w:cs="Arial" w:ascii="Arial" w:hAnsi="Arial"/>
          <w:sz w:val="20"/>
        </w:rPr>
        <w:t>.  Any additional protective measures required to enable deployment in this environment: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639" w:type="dxa"/>
        <w:jc w:val="start"/>
        <w:tblInd w:w="108" w:type="dxa"/>
        <w:tblLayout w:type="fixed"/>
        <w:tblCellMar>
          <w:top w:w="57" w:type="dxa"/>
          <w:start w:w="108" w:type="dxa"/>
          <w:bottom w:w="0" w:type="dxa"/>
          <w:end w:w="108" w:type="dxa"/>
        </w:tblCellMar>
      </w:tblPr>
      <w:tblGrid>
        <w:gridCol w:w="9639"/>
      </w:tblGrid>
      <w:tr>
        <w:trPr>
          <w:trHeight w:val="539" w:hRule="atLeast"/>
        </w:trPr>
        <w:tc>
          <w:tcPr>
            <w:tcW w:w="9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Restrictions or measures in place to ensure sustainable deployment:</w:t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SECTION 3 – MEDICAL REVIEW IF REQUIRED</w:t>
      </w:r>
    </w:p>
    <w:p>
      <w:pPr>
        <w:pStyle w:val="Normal"/>
        <w:rPr>
          <w:rFonts w:ascii="Arial" w:hAnsi="Arial" w:cs="Arial"/>
          <w:b/>
          <w:sz w:val="20"/>
          <w:szCs w:val="22"/>
        </w:rPr>
      </w:pPr>
      <w:r>
        <w:rPr>
          <w:rFonts w:cs="Arial" w:ascii="Arial" w:hAnsi="Arial"/>
          <w:b/>
          <w:sz w:val="20"/>
          <w:szCs w:val="22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7.</w:t>
        <w:tab/>
        <w:t xml:space="preserve">Review Appx 9 section 6.  Is a medical review required?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ind w:start="720" w:end="0"/>
        <w:rPr/>
      </w:pPr>
      <w:r>
        <w:rPr>
          <w:rFonts w:cs="Arial" w:ascii="Arial" w:hAnsi="Arial"/>
          <w:b/>
          <w:sz w:val="20"/>
        </w:rPr>
        <w:t>Yes</w:t>
      </w:r>
      <w:r>
        <w:rPr>
          <w:rFonts w:cs="Arial" w:ascii="Arial" w:hAnsi="Arial"/>
          <w:sz w:val="20"/>
        </w:rPr>
        <w:tab/>
      </w:r>
      <w:r>
        <w:fldChar w:fldCharType="begin">
          <w:ffData>
            <w:name w:val="Check40"/>
            <w:enabled/>
            <w:calcOnExit w:val="0"/>
            <w:checkBox>
              <w:sizeAuto/>
            </w:checkBox>
          </w:ffData>
        </w:fldChar>
      </w:r>
      <w:r>
        <w:rPr>
          <w:sz w:val="20"/>
          <w:rFonts w:cs="Arial" w:ascii="Arial" w:hAnsi="Arial"/>
        </w:rPr>
        <w:instrText xml:space="preserve"> FORMCHECKBOX </w:instrText>
      </w:r>
      <w:r>
        <w:rPr>
          <w:sz w:val="20"/>
          <w:rFonts w:cs="Arial" w:ascii="Arial" w:hAnsi="Arial"/>
        </w:rPr>
        <w:fldChar w:fldCharType="separate"/>
      </w:r>
      <w:bookmarkStart w:id="8" w:name="Check40"/>
      <w:bookmarkStart w:id="9" w:name="Check40"/>
      <w:bookmarkEnd w:id="9"/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</w:rPr>
        <w:t xml:space="preserve">  (UMO to review App 26 and refer to ROHT as required)</w:t>
      </w:r>
    </w:p>
    <w:p>
      <w:pPr>
        <w:pStyle w:val="Normal"/>
        <w:ind w:start="720" w:end="0"/>
        <w:rPr/>
      </w:pPr>
      <w:r>
        <w:rPr>
          <w:rFonts w:cs="Arial" w:ascii="Arial" w:hAnsi="Arial"/>
          <w:b/>
          <w:sz w:val="20"/>
        </w:rPr>
        <w:t>No</w:t>
      </w:r>
      <w:r>
        <w:rPr>
          <w:rFonts w:cs="Arial" w:ascii="Arial" w:hAnsi="Arial"/>
          <w:sz w:val="20"/>
        </w:rPr>
        <w:tab/>
      </w:r>
      <w:r>
        <w:fldChar w:fldCharType="begin">
          <w:ffData>
            <w:name w:val="Check41"/>
            <w:enabled/>
            <w:calcOnExit w:val="0"/>
            <w:checkBox>
              <w:sizeAuto/>
            </w:checkBox>
          </w:ffData>
        </w:fldChar>
      </w:r>
      <w:r>
        <w:rPr>
          <w:sz w:val="20"/>
          <w:rFonts w:cs="Arial" w:ascii="Arial" w:hAnsi="Arial"/>
        </w:rPr>
        <w:instrText xml:space="preserve"> FORMCHECKBOX </w:instrText>
      </w:r>
      <w:r>
        <w:rPr>
          <w:sz w:val="20"/>
          <w:rFonts w:cs="Arial" w:ascii="Arial" w:hAnsi="Arial"/>
        </w:rPr>
        <w:fldChar w:fldCharType="separate"/>
      </w:r>
      <w:bookmarkStart w:id="10" w:name="Check41"/>
      <w:bookmarkStart w:id="11" w:name="Check41"/>
      <w:bookmarkEnd w:id="11"/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</w:rPr>
        <w:t xml:space="preserve">  (</w:t>
      </w:r>
      <w:r>
        <w:rPr>
          <w:rFonts w:cs="Arial" w:ascii="Arial" w:hAnsi="Arial"/>
          <w:b/>
          <w:sz w:val="20"/>
        </w:rPr>
        <w:t>Go to 8</w:t>
      </w:r>
      <w:r>
        <w:rPr>
          <w:rFonts w:cs="Arial" w:ascii="Arial" w:hAnsi="Arial"/>
          <w:sz w:val="20"/>
        </w:rPr>
        <w:t>)</w:t>
      </w:r>
    </w:p>
    <w:p>
      <w:pPr>
        <w:pStyle w:val="Normal"/>
        <w:ind w:start="720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639" w:type="dxa"/>
        <w:jc w:val="start"/>
        <w:tblInd w:w="108" w:type="dxa"/>
        <w:tblLayout w:type="fixed"/>
        <w:tblCellMar>
          <w:top w:w="57" w:type="dxa"/>
          <w:start w:w="108" w:type="dxa"/>
          <w:bottom w:w="0" w:type="dxa"/>
          <w:end w:w="108" w:type="dxa"/>
        </w:tblCellMar>
      </w:tblPr>
      <w:tblGrid>
        <w:gridCol w:w="9639"/>
      </w:tblGrid>
      <w:tr>
        <w:trPr>
          <w:trHeight w:val="539" w:hRule="atLeast"/>
        </w:trPr>
        <w:tc>
          <w:tcPr>
            <w:tcW w:w="9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UMO Comments (including ROHT as necessary): 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Date of App 26 review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Decisions recorded in DMICP</w:t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SECTION 4 – COMMAND ENDORSEMENT</w:t>
      </w:r>
    </w:p>
    <w:p>
      <w:pPr>
        <w:pStyle w:val="Normal"/>
        <w:rPr>
          <w:rFonts w:ascii="Arial" w:hAnsi="Arial" w:cs="Arial"/>
          <w:b/>
          <w:sz w:val="20"/>
          <w:szCs w:val="22"/>
        </w:rPr>
      </w:pPr>
      <w:r>
        <w:rPr>
          <w:rFonts w:cs="Arial" w:ascii="Arial" w:hAnsi="Arial"/>
          <w:b/>
          <w:sz w:val="20"/>
          <w:szCs w:val="22"/>
        </w:rPr>
      </w:r>
    </w:p>
    <w:p>
      <w:pPr>
        <w:pStyle w:val="Normal"/>
        <w:rPr/>
      </w:pPr>
      <w:r>
        <w:rPr>
          <w:rFonts w:cs="Arial" w:ascii="Arial" w:hAnsi="Arial"/>
          <w:sz w:val="20"/>
        </w:rPr>
        <w:t>8.</w:t>
        <w:tab/>
      </w:r>
      <w:r>
        <w:rPr>
          <w:rFonts w:cs="Arial" w:ascii="Arial" w:hAnsi="Arial"/>
          <w:b/>
          <w:sz w:val="20"/>
        </w:rPr>
        <w:t>Command endorsement</w:t>
      </w:r>
      <w:r>
        <w:rPr>
          <w:rFonts w:cs="Arial" w:ascii="Arial" w:hAnsi="Arial"/>
          <w:sz w:val="20"/>
        </w:rPr>
        <w:t xml:space="preserve">.  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639" w:type="dxa"/>
        <w:jc w:val="start"/>
        <w:tblInd w:w="108" w:type="dxa"/>
        <w:tblLayout w:type="fixed"/>
        <w:tblCellMar>
          <w:top w:w="57" w:type="dxa"/>
          <w:start w:w="108" w:type="dxa"/>
          <w:bottom w:w="0" w:type="dxa"/>
          <w:end w:w="108" w:type="dxa"/>
        </w:tblCellMar>
      </w:tblPr>
      <w:tblGrid>
        <w:gridCol w:w="9639"/>
      </w:tblGrid>
      <w:tr>
        <w:trPr>
          <w:trHeight w:val="539" w:hRule="atLeast"/>
        </w:trPr>
        <w:tc>
          <w:tcPr>
            <w:tcW w:w="9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Commanding Officers decision on risk of deploying SP in specified role.</w:t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Deployment in proposed role - Accepted</w:t>
              <w:tab/>
            </w:r>
            <w: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12" w:name="Check51"/>
            <w:bookmarkStart w:id="13" w:name="Check51"/>
            <w:bookmarkEnd w:id="13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Deployment in proposed role - Refused</w:t>
              <w:tab/>
            </w:r>
            <w: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</w:rPr>
              <w:fldChar w:fldCharType="separate"/>
            </w:r>
            <w:bookmarkStart w:id="14" w:name="Check52"/>
            <w:bookmarkStart w:id="15" w:name="Check52"/>
            <w:bookmarkEnd w:id="15"/>
            <w:r/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Comments: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9.</w:t>
        <w:tab/>
        <w:t>The MRA has been completed with the input required from CO, MO, soldier and deploying command team.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2268"/>
        <w:gridCol w:w="851"/>
        <w:gridCol w:w="1559"/>
        <w:gridCol w:w="1701"/>
        <w:gridCol w:w="2126"/>
      </w:tblGrid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Name: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Rank: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Post: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Signature: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Dated: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Contact No: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sz w:val="20"/>
        </w:rPr>
        <w:t>Copy to: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Deploying Comd and MO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Adjt for PAPMIS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SP for carriage on Op</w:t>
      </w:r>
    </w:p>
    <w:p>
      <w:pPr>
        <w:pStyle w:val="Normal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sz w:val="20"/>
        </w:rPr>
        <w:t xml:space="preserve">MO for scan to DMICP </w:t>
      </w:r>
    </w:p>
    <w:p>
      <w:pPr>
        <w:pStyle w:val="Normal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907" w:right="1021" w:gutter="0" w:header="567" w:top="73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imes New Roman Bold">
    <w:altName w:val="Times New Roman"/>
    <w:charset w:val="00" w:characterSet="windows-1252"/>
    <w:family w:val="roman"/>
    <w:pitch w:val="default"/>
  </w:font>
  <w:font w:name="Tahoma"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  <w:font w:name="Arial Bold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>OFFICIAL SENSITIVE PERSONAL</w:t>
    </w:r>
  </w:p>
  <w:p>
    <w:pPr>
      <w:pStyle w:val="Header"/>
      <w:spacing w:before="0" w:after="0"/>
      <w:jc w:val="center"/>
      <w:rPr/>
    </w:pPr>
    <w:r>
      <w:rPr>
        <w:rFonts w:cs="Arial" w:ascii="Arial" w:hAnsi="Arial"/>
        <w:sz w:val="20"/>
        <w:szCs w:val="20"/>
      </w:rPr>
      <w:t xml:space="preserve">AEL 145                                                                78/A26 - </w:t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3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                          AC 60974/2                                      </w:t>
    </w:r>
    <w:r>
      <w:rPr>
        <w:rStyle w:val="PageNumber"/>
        <w:rFonts w:cs="Arial" w:ascii="Arial" w:hAnsi="Arial"/>
        <w:sz w:val="18"/>
        <w:szCs w:val="18"/>
      </w:rPr>
      <w:t xml:space="preserve">DMICP Version 1.1 - Mar 22                                                                   </w:t>
    </w:r>
  </w:p>
  <w:p>
    <w:pPr>
      <w:pStyle w:val="Normal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120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MND personnel are non-deployable but may be held at readiness for some UK Ops and may rarely deploy on OTX</w:t>
      </w:r>
    </w:p>
  </w:footnote>
  <w:footnote w:id="3">
    <w:p>
      <w:pPr>
        <w:pStyle w:val="FootnoteText"/>
        <w:spacing w:before="0" w:after="120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Job Spec to be attached where available.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567"/>
        <w:tab w:val="center" w:pos="4820" w:leader="none"/>
        <w:tab w:val="right" w:pos="9639" w:leader="none"/>
      </w:tabs>
      <w:spacing w:before="0" w:after="0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AGAI Vol 2 Ch 78</w:t>
      <w:tab/>
      <w:t>ARMY MEDICAL EMPLOYMENT POLICY</w:t>
      <w:tab/>
      <w:t>February 2022</w:t>
    </w:r>
  </w:p>
  <w:p>
    <w:pPr>
      <w:pStyle w:val="Header"/>
      <w:spacing w:before="0" w:after="0"/>
      <w:jc w:val="end"/>
      <w:rPr/>
    </w:pPr>
    <w:r>
      <w:rPr>
        <w:rFonts w:cs="Arial" w:ascii="Arial" w:hAnsi="Arial"/>
        <w:sz w:val="20"/>
      </w:rPr>
      <w:t>(Replaces AEL 141 dated Oct 21)</w:t>
    </w:r>
  </w:p>
  <w:p>
    <w:pPr>
      <w:pStyle w:val="Header"/>
      <w:spacing w:before="0" w:after="0"/>
      <w:rPr>
        <w:rFonts w:ascii="Arial" w:hAnsi="Arial" w:cs="Arial"/>
        <w:sz w:val="20"/>
      </w:rPr>
    </w:pPr>
    <w:r>
      <w:rPr>
        <w:rFonts w:cs="Arial" w:ascii="Arial" w:hAnsi="Arial"/>
        <w:sz w:val="20"/>
      </w:rPr>
    </w:r>
  </w:p>
  <w:p>
    <w:pPr>
      <w:pStyle w:val="Header"/>
      <w:spacing w:before="0" w:after="0"/>
      <w:rPr>
        <w:rFonts w:ascii="Arial" w:hAnsi="Arial" w:cs="Arial"/>
        <w:sz w:val="20"/>
      </w:rPr>
    </w:pPr>
    <w:r>
      <w:rPr>
        <w:rFonts w:cs="Arial" w:ascii="Arial" w:hAnsi="Arial"/>
        <w:sz w:val="20"/>
      </w:rPr>
    </w:r>
  </w:p>
  <w:p>
    <w:pPr>
      <w:pStyle w:val="Header"/>
      <w:spacing w:before="0" w:after="0"/>
      <w:jc w:val="center"/>
      <w:rPr/>
    </w:pPr>
    <w:r>
      <w:rPr>
        <w:rFonts w:cs="Arial" w:ascii="Arial" w:hAnsi="Arial"/>
        <w:b/>
        <w:sz w:val="22"/>
        <w:szCs w:val="22"/>
      </w:rPr>
      <w:t>OFFICIAL SENSITIVE – PERSONAL (when completed)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8"/>
        <w:sz w:val="18"/>
        <w:i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6"/>
        <w:sz w:val="16"/>
        <w:i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4"/>
        <w:sz w:val="14"/>
        <w:i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5">
    <w:lvl w:ilvl="0">
      <w:start w:val="301"/>
      <w:numFmt w:val="decimalZero"/>
      <w:lvlText w:val="%1."/>
      <w:lvlJc w:val="start"/>
      <w:pPr>
        <w:tabs>
          <w:tab w:val="num" w:pos="0"/>
        </w:tabs>
        <w:ind w:start="900" w:hanging="540"/>
      </w:pPr>
      <w:rPr>
        <w:rFonts w:cs="Times New Roman"/>
      </w:rPr>
    </w:lvl>
  </w:abstractNum>
  <w:abstractNum w:abstractNumId="6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7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  <w:docVars>
    <w:docVar w:name="Diary_Entry_F_1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Review date"/>
    <w:docVar w:name="Free_Text_Prompt_2" w:val="Regt / Corps"/>
    <w:docVar w:name="Free_Text_Prompt_3" w:val="Correspondence address"/>
    <w:docVar w:name="Free_Text_Prompt_4" w:val="Anticipated Outcome:"/>
    <w:docVar w:name="Free_Text_Prompt_5" w:val="Anticipated Timeline (ie stability):"/>
    <w:docVar w:name="PCS_DOCUMENT_NAME" w:val="Appendix_26_AGAI_78_V1_0.dot"/>
    <w:docVar w:name="PCS_HANDLE" w:val="131406"/>
    <w:docVar w:name="PCS_MSG" w:val="49604"/>
    <w:docVar w:name="Read_Code_F_1" w:val="RAFPUPU1|PULHHEEMS Profile|1|T,H"/>
    <w:docVar w:name="Read_Code_F_2" w:val="TRIQQNEN1|Environment MES Values|1|U,H"/>
    <w:docVar w:name="Read_Code_F_3" w:val="TRIQQNAI1|Air MES Values|1|U,H"/>
    <w:docVar w:name="Read_Code_F_4" w:val="TRIQQNLA1|Land MES Values|1|U,H"/>
    <w:docVar w:name="Read_Code_F_5" w:val="TRIQQNMA1|Maritime MES Values|1|U,H"/>
    <w:docVar w:name="Read_Code_F_6" w:val="TRIQQNME2|Medical deployability status|1|U,H"/>
    <w:docVar w:name="Read_Code_F_7" w:val="RAFMEME1|Permanent/temporary MES/PES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cs="Times New Roman"/>
      <w:b w:val="false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2z1">
    <w:name w:val="WW8Num2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2z2">
    <w:name w:val="WW8Num2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2z3">
    <w:name w:val="WW8Num2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2z4">
    <w:name w:val="WW8Num2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2z5">
    <w:name w:val="WW8Num2z5"/>
    <w:qFormat/>
    <w:rPr/>
  </w:style>
  <w:style w:type="character" w:styleId="WW8Num3z0">
    <w:name w:val="WW8Num3z0"/>
    <w:qFormat/>
    <w:rPr>
      <w:rFonts w:ascii="Arial" w:hAnsi="Arial" w:cs="Arial"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>
      <w:rFonts w:cs="Times New Roman"/>
      <w:color w:val="000000"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>
      <w:rFonts w:ascii="Arial" w:hAnsi="Arial" w:cs="Times New Roman"/>
      <w:b/>
      <w:i w:val="false"/>
      <w:sz w:val="18"/>
      <w:szCs w:val="18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7z0">
    <w:name w:val="WW8Num7z0"/>
    <w:qFormat/>
    <w:rPr>
      <w:rFonts w:cs="Times New Roman"/>
      <w:b w:val="false"/>
    </w:rPr>
  </w:style>
  <w:style w:type="character" w:styleId="WW8Num7z1">
    <w:name w:val="WW8Num7z1"/>
    <w:qFormat/>
    <w:rPr>
      <w:rFonts w:cs="Times New Roman"/>
    </w:rPr>
  </w:style>
  <w:style w:type="character" w:styleId="WW8Num8z0">
    <w:name w:val="WW8Num8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vertAlign w:val="baseline"/>
    </w:rPr>
  </w:style>
  <w:style w:type="character" w:styleId="WW8Num8z5">
    <w:name w:val="WW8Num8z5"/>
    <w:qFormat/>
    <w:rPr>
      <w:b w:val="false"/>
      <w:i w:val="false"/>
      <w:sz w:val="24"/>
    </w:rPr>
  </w:style>
  <w:style w:type="character" w:styleId="WW8Num8z7">
    <w:name w:val="WW8Num8z7"/>
    <w:qFormat/>
    <w:rPr/>
  </w:style>
  <w:style w:type="character" w:styleId="WW8Num9z0">
    <w:name w:val="WW8Num9z0"/>
    <w:qFormat/>
    <w:rPr>
      <w:rFonts w:cs="Times New Roman"/>
    </w:rPr>
  </w:style>
  <w:style w:type="character" w:styleId="WW8Num9z1">
    <w:name w:val="WW8Num9z1"/>
    <w:qFormat/>
    <w:rPr>
      <w:rFonts w:cs="Times New Roman"/>
    </w:rPr>
  </w:style>
  <w:style w:type="character" w:styleId="WW8Num10z0">
    <w:name w:val="WW8Num10z0"/>
    <w:qFormat/>
    <w:rPr>
      <w:rFonts w:cs="Times New Roman"/>
    </w:rPr>
  </w:style>
  <w:style w:type="character" w:styleId="WW8Num11z0">
    <w:name w:val="WW8Num11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12z0">
    <w:name w:val="WW8Num1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12z5">
    <w:name w:val="WW8Num12z5"/>
    <w:qFormat/>
    <w:rPr/>
  </w:style>
  <w:style w:type="character" w:styleId="WW8Num13z0">
    <w:name w:val="WW8Num1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3z5">
    <w:name w:val="WW8Num13z5"/>
    <w:qFormat/>
    <w:rPr>
      <w:b w:val="false"/>
      <w:i w:val="false"/>
      <w:sz w:val="24"/>
    </w:rPr>
  </w:style>
  <w:style w:type="character" w:styleId="WW8Num13z7">
    <w:name w:val="WW8Num13z7"/>
    <w:qFormat/>
    <w:rPr/>
  </w:style>
  <w:style w:type="character" w:styleId="WW8Num14z0">
    <w:name w:val="WW8Num14z0"/>
    <w:qFormat/>
    <w:rPr>
      <w:rFonts w:cs="Times New Roman"/>
    </w:rPr>
  </w:style>
  <w:style w:type="character" w:styleId="WW8Num15z0">
    <w:name w:val="WW8Num15z0"/>
    <w:qFormat/>
    <w:rPr>
      <w:rFonts w:cs="Times New Roman"/>
      <w:b w:val="false"/>
    </w:rPr>
  </w:style>
  <w:style w:type="character" w:styleId="WW8Num15z1">
    <w:name w:val="WW8Num15z1"/>
    <w:qFormat/>
    <w:rPr>
      <w:rFonts w:cs="Times New Roman"/>
      <w:color w:val="FF0000"/>
    </w:rPr>
  </w:style>
  <w:style w:type="character" w:styleId="WW8Num15z2">
    <w:name w:val="WW8Num15z2"/>
    <w:qFormat/>
    <w:rPr>
      <w:rFonts w:cs="Times New Roman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sz w:val="24"/>
      <w:szCs w:val="24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Heading2Char">
    <w:name w:val="Heading 2 Char"/>
    <w:qFormat/>
    <w:rPr>
      <w:rFonts w:ascii="Arial" w:hAnsi="Arial" w:cs="Arial"/>
      <w:b/>
      <w:i/>
      <w:kern w:val="2"/>
      <w:sz w:val="28"/>
      <w:szCs w:val="24"/>
    </w:rPr>
  </w:style>
  <w:style w:type="character" w:styleId="Heading3Char">
    <w:name w:val="Heading 3 Char"/>
    <w:qFormat/>
    <w:rPr>
      <w:rFonts w:ascii="Arial" w:hAnsi="Arial" w:cs="Arial"/>
      <w:b/>
      <w:kern w:val="2"/>
      <w:sz w:val="26"/>
      <w:szCs w:val="24"/>
    </w:rPr>
  </w:style>
  <w:style w:type="character" w:styleId="Heading4Char">
    <w:name w:val="Heading 4 Char"/>
    <w:qFormat/>
    <w:rPr>
      <w:rFonts w:ascii="Arial" w:hAnsi="Arial" w:cs="Arial"/>
      <w:b/>
      <w:kern w:val="2"/>
      <w:sz w:val="28"/>
      <w:szCs w:val="24"/>
    </w:rPr>
  </w:style>
  <w:style w:type="character" w:styleId="Heading5Char">
    <w:name w:val="Heading 5 Char"/>
    <w:qFormat/>
    <w:rPr>
      <w:rFonts w:ascii="Arial" w:hAnsi="Arial" w:cs="Arial"/>
      <w:b/>
      <w:i/>
      <w:kern w:val="2"/>
      <w:sz w:val="26"/>
      <w:szCs w:val="24"/>
    </w:rPr>
  </w:style>
  <w:style w:type="character" w:styleId="Heading6Char">
    <w:name w:val="Heading 6 Char"/>
    <w:qFormat/>
    <w:rPr>
      <w:rFonts w:ascii="Arial" w:hAnsi="Arial" w:cs="Arial"/>
      <w:b/>
      <w:kern w:val="2"/>
      <w:sz w:val="22"/>
      <w:szCs w:val="24"/>
    </w:rPr>
  </w:style>
  <w:style w:type="character" w:styleId="Heading7Char">
    <w:name w:val="Heading 7 Char"/>
    <w:qFormat/>
    <w:rPr>
      <w:rFonts w:ascii="Arial" w:hAnsi="Arial" w:cs="Arial"/>
      <w:kern w:val="2"/>
      <w:sz w:val="22"/>
      <w:szCs w:val="24"/>
    </w:rPr>
  </w:style>
  <w:style w:type="character" w:styleId="Heading8Char">
    <w:name w:val="Heading 8 Char"/>
    <w:qFormat/>
    <w:rPr>
      <w:rFonts w:ascii="Arial" w:hAnsi="Arial" w:cs="Arial"/>
      <w:i/>
      <w:kern w:val="2"/>
      <w:sz w:val="22"/>
      <w:szCs w:val="24"/>
    </w:rPr>
  </w:style>
  <w:style w:type="character" w:styleId="Heading9Char">
    <w:name w:val="Heading 9 Char"/>
    <w:qFormat/>
    <w:rPr>
      <w:rFonts w:ascii="Arial" w:hAnsi="Arial" w:cs="Arial"/>
      <w:kern w:val="2"/>
      <w:sz w:val="22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BodyTextChar">
    <w:name w:val="Body Text Char"/>
    <w:qFormat/>
    <w:rPr>
      <w:sz w:val="24"/>
    </w:rPr>
  </w:style>
  <w:style w:type="character" w:styleId="BodyTextIndentChar">
    <w:name w:val="Body Text Indent Char"/>
    <w:qFormat/>
    <w:rPr>
      <w:b/>
      <w:sz w:val="24"/>
    </w:rPr>
  </w:style>
  <w:style w:type="character" w:styleId="TitleChar">
    <w:name w:val="Title Char"/>
    <w:qFormat/>
    <w:rPr>
      <w:b/>
      <w:sz w:val="40"/>
    </w:rPr>
  </w:style>
  <w:style w:type="character" w:styleId="BodyText2Char">
    <w:name w:val="Body Text 2 Char"/>
    <w:qFormat/>
    <w:rPr>
      <w:b/>
      <w:sz w:val="24"/>
    </w:rPr>
  </w:style>
  <w:style w:type="character" w:styleId="BodyTextIndent2Char">
    <w:name w:val="Body Text Indent 2 Char"/>
    <w:qFormat/>
    <w:rPr>
      <w:b/>
      <w:sz w:val="24"/>
    </w:rPr>
  </w:style>
  <w:style w:type="character" w:styleId="BodyText3Char">
    <w:name w:val="Body Text 3 Char"/>
    <w:qFormat/>
    <w:rPr>
      <w:b/>
      <w:sz w:val="28"/>
    </w:rPr>
  </w:style>
  <w:style w:type="character" w:styleId="ParaHeading">
    <w:name w:val="Para Heading"/>
    <w:qFormat/>
    <w:rPr>
      <w:rFonts w:ascii="Times New Roman Bold;Times New Roman" w:hAnsi="Times New Roman Bold;Times New Roman" w:cs="Times New Roman Bold;Times New Roman"/>
      <w:b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FootnoteTextChar">
    <w:name w:val="Footnote Text Char"/>
    <w:qFormat/>
    <w:rPr>
      <w:sz w:val="16"/>
      <w:szCs w:val="24"/>
    </w:rPr>
  </w:style>
  <w:style w:type="character" w:styleId="SubtitleChar">
    <w:name w:val="Subtitle Char"/>
    <w:qFormat/>
    <w:rPr>
      <w:b/>
      <w:sz w:val="40"/>
    </w:rPr>
  </w:style>
  <w:style w:type="character" w:styleId="sub-paraheadings">
    <w:name w:val="sub-para headings"/>
    <w:qFormat/>
    <w:rPr>
      <w:rFonts w:ascii="Times New Roman" w:hAnsi="Times New Roman" w:cs="Times New Roman"/>
      <w:i/>
      <w:sz w:val="20"/>
    </w:rPr>
  </w:style>
  <w:style w:type="character" w:styleId="paraheading1">
    <w:name w:val="paraheading"/>
    <w:qFormat/>
    <w:rPr>
      <w:rFonts w:ascii="Times New Roman Bold;Times New Roman" w:hAnsi="Times New Roman Bold;Times New Roman" w:cs="Times New Roman Bold;Times New Roman"/>
      <w:b/>
    </w:rPr>
  </w:style>
  <w:style w:type="character" w:styleId="BodyTextIndent3Char">
    <w:name w:val="Body Text Indent 3 Char"/>
    <w:qFormat/>
    <w:rPr>
      <w:sz w:val="16"/>
      <w:szCs w:val="16"/>
    </w:rPr>
  </w:style>
  <w:style w:type="character" w:styleId="CommentReference">
    <w:name w:val="Comment Reference"/>
    <w:qFormat/>
    <w:rPr>
      <w:sz w:val="16"/>
    </w:rPr>
  </w:style>
  <w:style w:type="character" w:styleId="CommentTextChar">
    <w:name w:val="Comment Text Char"/>
    <w:basedOn w:val="DefaultParagraphFont"/>
    <w:qFormat/>
    <w:rPr/>
  </w:style>
  <w:style w:type="character" w:styleId="CommentSubjectChar">
    <w:name w:val="Comment Subject Char"/>
    <w:qFormat/>
    <w:rPr>
      <w:b/>
      <w:bCs/>
    </w:rPr>
  </w:style>
  <w:style w:type="character" w:styleId="UnresolvedMention1">
    <w:name w:val="Unresolved Mention1"/>
    <w:qFormat/>
    <w:rPr>
      <w:rFonts w:cs="Times New Roman"/>
      <w:color w:val="808080"/>
      <w:shd w:fill="E6E6E6" w:val="clear"/>
    </w:rPr>
  </w:style>
  <w:style w:type="character" w:styleId="EndnoteTextChar">
    <w:name w:val="Endnote Text Char"/>
    <w:qFormat/>
    <w:rPr>
      <w:szCs w:val="24"/>
    </w:rPr>
  </w:style>
  <w:style w:type="character" w:styleId="UnresolvedMention">
    <w:name w:val="Unresolved Mention"/>
    <w:qFormat/>
    <w:rPr>
      <w:rFonts w:cs="Times New Roman"/>
      <w:color w:val="808080"/>
      <w:shd w:fill="E6E6E6" w:val="clear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widowControl w:val="false"/>
      <w:ind w:hanging="0" w:start="0" w:end="-43"/>
    </w:pPr>
    <w:rPr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6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/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3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  <w:tabs>
        <w:tab w:val="clear" w:pos="567"/>
        <w:tab w:val="left" w:pos="369" w:leader="none"/>
      </w:tabs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  <w:tabs>
        <w:tab w:val="clear" w:pos="567"/>
        <w:tab w:val="left" w:pos="737" w:leader="none"/>
      </w:tabs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  <w:tabs>
        <w:tab w:val="clear" w:pos="567"/>
        <w:tab w:val="left" w:pos="1106" w:leader="none"/>
      </w:tabs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  <w:tabs>
        <w:tab w:val="clear" w:pos="567"/>
        <w:tab w:val="left" w:pos="1474" w:leader="none"/>
      </w:tabs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  <w:tabs>
        <w:tab w:val="clear" w:pos="567"/>
        <w:tab w:val="left" w:pos="1843" w:leader="none"/>
      </w:tabs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hanging="0" w:start="720" w:end="0"/>
    </w:pPr>
    <w:rPr>
      <w:sz w:val="20"/>
      <w:szCs w:val="20"/>
    </w:rPr>
  </w:style>
  <w:style w:type="paragraph" w:styleId="BodyTextIndent">
    <w:name w:val="Body Text Indent"/>
    <w:basedOn w:val="Normal"/>
    <w:pPr>
      <w:ind w:hanging="426" w:start="426" w:end="0"/>
    </w:pPr>
    <w:rPr>
      <w:b/>
      <w:szCs w:val="20"/>
    </w:rPr>
  </w:style>
  <w:style w:type="paragraph" w:styleId="BodyText2">
    <w:name w:val="Body Text 2"/>
    <w:basedOn w:val="Normal"/>
    <w:qFormat/>
    <w:pPr/>
    <w:rPr>
      <w:b/>
      <w:szCs w:val="20"/>
    </w:rPr>
  </w:style>
  <w:style w:type="paragraph" w:styleId="BodyTextIndent2">
    <w:name w:val="Body Text Indent 2"/>
    <w:basedOn w:val="Normal"/>
    <w:qFormat/>
    <w:pPr>
      <w:ind w:hanging="426" w:start="426" w:end="0"/>
      <w:jc w:val="center"/>
    </w:pPr>
    <w:rPr>
      <w:b/>
      <w:szCs w:val="20"/>
    </w:rPr>
  </w:style>
  <w:style w:type="paragraph" w:styleId="BodyText3">
    <w:name w:val="Body Text 3"/>
    <w:basedOn w:val="Normal"/>
    <w:qFormat/>
    <w:pPr>
      <w:jc w:val="center"/>
    </w:pPr>
    <w:rPr>
      <w:b/>
      <w:sz w:val="28"/>
      <w:szCs w:val="20"/>
    </w:rPr>
  </w:style>
  <w:style w:type="paragraph" w:styleId="HEADING1CHAPTER">
    <w:name w:val="HEADING 1 (CHAPTER)"/>
    <w:basedOn w:val="Heading1"/>
    <w:qFormat/>
    <w:pPr>
      <w:numPr>
        <w:ilvl w:val="0"/>
        <w:numId w:val="0"/>
      </w:numPr>
      <w:tabs>
        <w:tab w:val="clear" w:pos="567"/>
        <w:tab w:val="left" w:pos="425" w:leader="none"/>
      </w:tabs>
      <w:jc w:val="center"/>
      <w:outlineLvl w:val="9"/>
    </w:pPr>
    <w:rPr>
      <w:rFonts w:ascii="Times New Roman" w:hAnsi="Times New Roman" w:eastAsia="Times New Roman" w:cs="Times New Roman"/>
      <w:b w:val="false"/>
      <w:bCs w:val="false"/>
      <w:kern w:val="2"/>
      <w:sz w:val="24"/>
      <w:szCs w:val="20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Style11">
    <w:name w:val="Style1"/>
    <w:basedOn w:val="Heading1"/>
    <w:next w:val="Heading1"/>
    <w:qFormat/>
    <w:pPr>
      <w:keepNext w:val="false"/>
      <w:numPr>
        <w:ilvl w:val="0"/>
        <w:numId w:val="0"/>
      </w:numPr>
      <w:tabs>
        <w:tab w:val="clear" w:pos="567"/>
        <w:tab w:val="left" w:pos="720" w:leader="none"/>
      </w:tabs>
      <w:spacing w:before="0" w:after="240"/>
      <w:outlineLvl w:val="9"/>
    </w:pPr>
    <w:rPr>
      <w:rFonts w:ascii="Arial" w:hAnsi="Arial" w:eastAsia="Times New Roman" w:cs="Times New Roman"/>
      <w:b w:val="false"/>
      <w:bCs w:val="false"/>
      <w:kern w:val="2"/>
      <w:sz w:val="24"/>
      <w:szCs w:val="20"/>
    </w:rPr>
  </w:style>
  <w:style w:type="paragraph" w:styleId="TOAHeading">
    <w:name w:val="TOA Heading"/>
    <w:basedOn w:val="Normal"/>
    <w:next w:val="Normal"/>
    <w:qFormat/>
    <w:pPr>
      <w:tabs>
        <w:tab w:val="clear" w:pos="567"/>
        <w:tab w:val="left" w:pos="9000" w:leader="none"/>
        <w:tab w:val="right" w:pos="9360" w:leader="none"/>
      </w:tabs>
      <w:suppressAutoHyphens w:val="true"/>
    </w:pPr>
    <w:rPr>
      <w:szCs w:val="20"/>
    </w:rPr>
  </w:style>
  <w:style w:type="paragraph" w:styleId="Sub-sub-sub-sub-para">
    <w:name w:val="Sub-sub-sub-sub-para"/>
    <w:basedOn w:val="Normal"/>
    <w:qFormat/>
    <w:pPr>
      <w:tabs>
        <w:tab w:val="clear" w:pos="567"/>
        <w:tab w:val="left" w:pos="425" w:leader="none"/>
      </w:tabs>
      <w:spacing w:before="0" w:after="60"/>
      <w:ind w:hanging="284" w:start="1418" w:end="0"/>
      <w:jc w:val="both"/>
    </w:pPr>
    <w:rPr>
      <w:sz w:val="20"/>
      <w:szCs w:val="20"/>
    </w:rPr>
  </w:style>
  <w:style w:type="paragraph" w:styleId="sub-sub-sub-sub-para1">
    <w:name w:val="sub-sub-sub-sub-para1"/>
    <w:basedOn w:val="Normal"/>
    <w:qFormat/>
    <w:pPr>
      <w:spacing w:before="0" w:after="60"/>
      <w:ind w:hanging="284" w:start="1418" w:end="0"/>
      <w:jc w:val="both"/>
    </w:pPr>
    <w:rPr>
      <w:sz w:val="20"/>
      <w:szCs w:val="20"/>
    </w:rPr>
  </w:style>
  <w:style w:type="paragraph" w:styleId="StyleHeading1Left">
    <w:name w:val="Style Heading 1 + Left"/>
    <w:basedOn w:val="Heading1"/>
    <w:qFormat/>
    <w:pPr>
      <w:keepNext w:val="false"/>
      <w:numPr>
        <w:ilvl w:val="0"/>
        <w:numId w:val="5"/>
      </w:numPr>
      <w:spacing w:before="0" w:after="240"/>
      <w:outlineLvl w:val="9"/>
    </w:pPr>
    <w:rPr>
      <w:rFonts w:ascii="Arial" w:hAnsi="Arial" w:eastAsia="Times New Roman" w:cs="Times New Roman"/>
      <w:b w:val="false"/>
      <w:bCs w:val="false"/>
      <w:kern w:val="2"/>
      <w:sz w:val="24"/>
      <w:szCs w:val="20"/>
    </w:rPr>
  </w:style>
  <w:style w:type="paragraph" w:styleId="BodyTextIndent3">
    <w:name w:val="Body Text Indent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Author">
    <w:name w:val="Author"/>
    <w:basedOn w:val="BodyText"/>
    <w:qFormat/>
    <w:pPr>
      <w:widowControl/>
      <w:tabs>
        <w:tab w:val="clear" w:pos="567"/>
        <w:tab w:val="right" w:pos="8309" w:leader="none"/>
      </w:tabs>
      <w:spacing w:lineRule="auto" w:line="480"/>
      <w:ind w:hanging="0" w:start="0" w:end="0"/>
      <w:jc w:val="center"/>
    </w:pPr>
    <w:rPr>
      <w:rFonts w:ascii="Garamond" w:hAnsi="Garamond" w:cs="Garamond"/>
      <w:spacing w:val="-2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bidi="ar-SA" w:eastAsia="zh-CN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bidi="ar-SA" w:eastAsia="zh-CN"/>
    </w:rPr>
  </w:style>
  <w:style w:type="paragraph" w:styleId="Normal10Right">
    <w:name w:val="Normal 10 Right"/>
    <w:basedOn w:val="Normal"/>
    <w:qFormat/>
    <w:pPr>
      <w:tabs>
        <w:tab w:val="clear" w:pos="567"/>
        <w:tab w:val="left" w:pos="425" w:leader="none"/>
      </w:tabs>
      <w:spacing w:before="0" w:after="60"/>
      <w:jc w:val="end"/>
    </w:pPr>
    <w:rPr>
      <w:sz w:val="20"/>
      <w:szCs w:val="20"/>
    </w:rPr>
  </w:style>
  <w:style w:type="paragraph" w:styleId="Heading3lookslike4">
    <w:name w:val="Heading 3 looks like 4"/>
    <w:basedOn w:val="Heading4"/>
    <w:next w:val="Normal"/>
    <w:qFormat/>
    <w:pPr>
      <w:numPr>
        <w:ilvl w:val="0"/>
        <w:numId w:val="0"/>
      </w:numPr>
      <w:spacing w:before="120" w:after="60"/>
      <w:outlineLvl w:val="2"/>
    </w:pPr>
    <w:rPr>
      <w:rFonts w:ascii="Times New Roman Bold;Times New Roman" w:hAnsi="Times New Roman Bold;Times New Roman" w:cs="Times New Roman Bold;Times New Roman"/>
      <w:kern w:val="0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Appendix_26_AGAI_78_V1_0.dot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2022-03-09T17:43:00Z</dcterms:created>
  <dc:creator>Johnstone, Thomas Maj</dc:creator>
  <dc:description/>
  <cp:keywords/>
  <dc:language>en-GB</dc:language>
  <cp:lastModifiedBy>Johnstone, Thomas Maj</cp:lastModifiedBy>
  <cp:lastPrinted>2019-04-02T12:51:00Z</cp:lastPrinted>
  <dcterms:modified xsi:type="dcterms:W3CDTF">2022-03-09T17:43:00Z</dcterms:modified>
  <cp:revision>2</cp:revision>
  <dc:subject/>
  <dc:title>APPENDIX 9</dc:title>
</cp:coreProperties>
</file>