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20"/>
          <w:tab w:val="left" w:pos="6946" w:leader="none"/>
          <w:tab w:val="left" w:pos="7088" w:leader="none"/>
        </w:tabs>
        <w:autoSpaceDE w:val="false"/>
        <w:rPr>
          <w:rFonts w:ascii="Arial" w:hAnsi="Arial" w:cs="Arial"/>
          <w:b/>
          <w:sz w:val="22"/>
        </w:rPr>
      </w:pPr>
      <w:r>
        <w:rPr>
          <w:rFonts w:cs="Arial" w:ascii="Arial" w:hAnsi="Arial"/>
          <w:b/>
          <w:sz w:val="22"/>
        </w:rPr>
      </w:r>
    </w:p>
    <w:p>
      <w:pPr>
        <w:pStyle w:val="Normal"/>
        <w:tabs>
          <w:tab w:val="clear" w:pos="720"/>
          <w:tab w:val="left" w:pos="6946" w:leader="none"/>
          <w:tab w:val="left" w:pos="7088" w:leader="none"/>
        </w:tabs>
        <w:autoSpaceDE w:val="false"/>
        <w:rPr>
          <w:rFonts w:ascii="Arial" w:hAnsi="Arial" w:cs="Arial"/>
          <w:b/>
          <w:sz w:val="22"/>
        </w:rPr>
      </w:pPr>
      <w:r>
        <w:rPr>
          <w:rFonts w:cs="Arial" w:ascii="Arial" w:hAnsi="Arial"/>
          <w:b/>
          <w:sz w:val="22"/>
        </w:rPr>
      </w:r>
    </w:p>
    <w:p>
      <w:pPr>
        <w:pStyle w:val="Normal"/>
        <w:tabs>
          <w:tab w:val="clear" w:pos="720"/>
          <w:tab w:val="left" w:pos="6946" w:leader="none"/>
          <w:tab w:val="left" w:pos="7088" w:leader="none"/>
        </w:tabs>
        <w:autoSpaceDE w:val="false"/>
        <w:rPr>
          <w:rFonts w:ascii="Arial" w:hAnsi="Arial" w:cs="Arial"/>
          <w:b/>
          <w:sz w:val="22"/>
          <w:szCs w:val="14"/>
        </w:rPr>
      </w:pPr>
      <w:r>
        <w:rPr>
          <w:rFonts w:cs="Arial" w:ascii="Arial" w:hAnsi="Arial"/>
          <w:b/>
          <w:sz w:val="22"/>
        </w:rPr>
        <w:t>Notification to be given to the line managers of soldiers/officers who have been given a grading of L2 due to reduction in audiometric acuity</w:t>
      </w:r>
    </w:p>
    <w:p>
      <w:pPr>
        <w:pStyle w:val="Default"/>
        <w:tabs>
          <w:tab w:val="clear" w:pos="720"/>
          <w:tab w:val="left" w:pos="6946" w:leader="none"/>
          <w:tab w:val="left" w:pos="7088" w:leader="none"/>
        </w:tabs>
        <w:rPr>
          <w:rFonts w:ascii="Arial" w:hAnsi="Arial" w:cs="Arial"/>
          <w:b/>
          <w:sz w:val="22"/>
          <w:szCs w:val="22"/>
        </w:rPr>
      </w:pPr>
      <w:r>
        <w:rPr>
          <w:rFonts w:cs="Arial" w:ascii="Arial" w:hAnsi="Arial"/>
          <w:b/>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The results of </w:t>
      </w:r>
      <w:r>
        <w:fldChar w:fldCharType="begin">
          <w:ffData>
            <w:name w:val="Service_No_1"/>
            <w:enabled/>
            <w:calcOnExit w:val="0"/>
            <w:textInput/>
          </w:ffData>
        </w:fldChar>
      </w:r>
      <w:r>
        <w:rPr>
          <w:sz w:val="22"/>
          <w:szCs w:val="22"/>
          <w:rFonts w:cs="Arial" w:ascii="Arial" w:hAnsi="Arial"/>
          <w:color w:val="000000"/>
        </w:rPr>
        <w:instrText xml:space="preserve"> FORMTEXT </w:instrText>
      </w:r>
      <w:r>
        <w:rPr>
          <w:rFonts w:cs="Arial" w:ascii="Arial" w:hAnsi="Arial"/>
          <w:color w:val="000000"/>
          <w:sz w:val="22"/>
          <w:szCs w:val="22"/>
        </w:rPr>
      </w:r>
      <w:r>
        <w:rPr>
          <w:sz w:val="22"/>
          <w:szCs w:val="22"/>
          <w:rFonts w:cs="Arial" w:ascii="Arial" w:hAnsi="Arial"/>
          <w:color w:val="000000"/>
        </w:rPr>
        <w:fldChar w:fldCharType="separate"/>
      </w:r>
      <w:r>
        <w:rPr>
          <w:rFonts w:cs="Arial" w:ascii="Arial" w:hAnsi="Arial"/>
          <w:color w:val="000000"/>
          <w:sz w:val="22"/>
          <w:szCs w:val="22"/>
        </w:rPr>
        <w:t>Service Number</w:t>
      </w:r>
      <w:r>
        <w:rPr>
          <w:rFonts w:cs="Arial" w:ascii="Arial" w:hAnsi="Arial"/>
          <w:color w:val="000000"/>
          <w:sz w:val="22"/>
          <w:szCs w:val="22"/>
        </w:rPr>
      </w:r>
      <w:r>
        <w:rPr>
          <w:sz w:val="22"/>
          <w:szCs w:val="22"/>
          <w:rFonts w:cs="Arial" w:ascii="Arial" w:hAnsi="Arial"/>
          <w:color w:val="000000"/>
        </w:rPr>
        <w:fldChar w:fldCharType="end"/>
      </w:r>
      <w:r>
        <w:rPr>
          <w:rFonts w:cs="Arial" w:ascii="Arial" w:hAnsi="Arial"/>
          <w:color w:val="000000"/>
          <w:sz w:val="22"/>
          <w:szCs w:val="22"/>
        </w:rPr>
        <w:t xml:space="preserve"> </w:t>
      </w:r>
      <w:r>
        <w:fldChar w:fldCharType="begin">
          <w:ffData>
            <w:name w:val="Title_1"/>
            <w:enabled/>
            <w:calcOnExit w:val="0"/>
            <w:textInput/>
          </w:ffData>
        </w:fldChar>
      </w:r>
      <w:r>
        <w:rPr>
          <w:sz w:val="22"/>
          <w:szCs w:val="22"/>
          <w:rFonts w:cs="Arial" w:ascii="Arial" w:hAnsi="Arial"/>
          <w:color w:val="000000"/>
        </w:rPr>
        <w:instrText xml:space="preserve"> FORMTEXT </w:instrText>
      </w:r>
      <w:r>
        <w:rPr>
          <w:rFonts w:cs="Arial" w:ascii="Arial" w:hAnsi="Arial"/>
          <w:color w:val="000000"/>
          <w:sz w:val="22"/>
          <w:szCs w:val="22"/>
        </w:rPr>
      </w:r>
      <w:r>
        <w:rPr>
          <w:sz w:val="22"/>
          <w:szCs w:val="22"/>
          <w:rFonts w:cs="Arial" w:ascii="Arial" w:hAnsi="Arial"/>
          <w:color w:val="000000"/>
        </w:rPr>
        <w:fldChar w:fldCharType="separate"/>
      </w:r>
      <w:r>
        <w:rPr>
          <w:rFonts w:cs="Arial" w:ascii="Arial" w:hAnsi="Arial"/>
          <w:color w:val="000000"/>
          <w:sz w:val="22"/>
          <w:szCs w:val="22"/>
        </w:rPr>
        <w:t>Rank/Title</w:t>
      </w:r>
      <w:r>
        <w:rPr>
          <w:rFonts w:cs="Arial" w:ascii="Arial" w:hAnsi="Arial"/>
          <w:color w:val="000000"/>
          <w:sz w:val="22"/>
          <w:szCs w:val="22"/>
        </w:rPr>
      </w:r>
      <w:r>
        <w:rPr>
          <w:sz w:val="22"/>
          <w:szCs w:val="22"/>
          <w:rFonts w:cs="Arial" w:ascii="Arial" w:hAnsi="Arial"/>
          <w:color w:val="000000"/>
        </w:rPr>
        <w:fldChar w:fldCharType="end"/>
      </w:r>
      <w:r>
        <w:rPr>
          <w:rFonts w:cs="Arial" w:ascii="Arial" w:hAnsi="Arial"/>
          <w:color w:val="000000"/>
          <w:sz w:val="22"/>
          <w:szCs w:val="22"/>
        </w:rPr>
        <w:t xml:space="preserve"> </w:t>
      </w:r>
      <w:r>
        <w:fldChar w:fldCharType="begin">
          <w:ffData>
            <w:name w:val="Surname_1"/>
            <w:enabled/>
            <w:calcOnExit w:val="0"/>
            <w:textInput/>
          </w:ffData>
        </w:fldChar>
      </w:r>
      <w:r>
        <w:rPr>
          <w:sz w:val="22"/>
          <w:szCs w:val="22"/>
          <w:rFonts w:cs="Arial" w:ascii="Arial" w:hAnsi="Arial"/>
          <w:color w:val="000000"/>
        </w:rPr>
        <w:instrText xml:space="preserve"> FORMTEXT </w:instrText>
      </w:r>
      <w:r>
        <w:rPr>
          <w:rFonts w:cs="Arial" w:ascii="Arial" w:hAnsi="Arial"/>
          <w:color w:val="000000"/>
          <w:sz w:val="22"/>
          <w:szCs w:val="22"/>
        </w:rPr>
      </w:r>
      <w:r>
        <w:rPr>
          <w:sz w:val="22"/>
          <w:szCs w:val="22"/>
          <w:rFonts w:cs="Arial" w:ascii="Arial" w:hAnsi="Arial"/>
          <w:color w:val="000000"/>
        </w:rPr>
        <w:fldChar w:fldCharType="separate"/>
      </w:r>
      <w:r>
        <w:rPr>
          <w:rFonts w:cs="Arial" w:ascii="Arial" w:hAnsi="Arial"/>
          <w:color w:val="000000"/>
          <w:sz w:val="22"/>
          <w:szCs w:val="22"/>
        </w:rPr>
        <w:t>Surname</w:t>
      </w:r>
      <w:r>
        <w:rPr>
          <w:rFonts w:cs="Arial" w:ascii="Arial" w:hAnsi="Arial"/>
          <w:color w:val="000000"/>
          <w:sz w:val="22"/>
          <w:szCs w:val="22"/>
        </w:rPr>
      </w:r>
      <w:r>
        <w:rPr>
          <w:sz w:val="22"/>
          <w:szCs w:val="22"/>
          <w:rFonts w:cs="Arial" w:ascii="Arial" w:hAnsi="Arial"/>
          <w:color w:val="000000"/>
        </w:rPr>
        <w:fldChar w:fldCharType="end"/>
      </w:r>
      <w:r>
        <w:rPr>
          <w:rFonts w:cs="Arial" w:ascii="Arial" w:hAnsi="Arial"/>
          <w:i/>
          <w:iCs/>
          <w:color w:val="000000"/>
          <w:sz w:val="22"/>
          <w:szCs w:val="22"/>
        </w:rPr>
        <w:t xml:space="preserve">’s </w:t>
      </w:r>
      <w:r>
        <w:rPr>
          <w:rFonts w:cs="Arial" w:ascii="Arial" w:hAnsi="Arial"/>
          <w:color w:val="000000"/>
          <w:sz w:val="22"/>
          <w:szCs w:val="22"/>
        </w:rPr>
        <w:t xml:space="preserve">audiometry today indicate that they have a ‘mild hearing impairment’ compared to other men/women of their age group. This could be due to noise exposure at work or outside of work, due to their hobbies, involvement in noisy activities or other lifestyle habits. This type of hearing damage is irreversible so it won’t get better and you can’t get back what you lose. Hearing deteriorates in everybody with age (so older people have less hearing ability than the young) but this type of damage is in addition to the general hearing loss over time. They may become more deaf earlier than other people their age.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We have identified this small amount of damage early due to the ongoing testing of their hearing. This is a warning to let you know that if they continue to be exposed to high noise levels more irreversible damage is likely to occur.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pPr>
      <w:r>
        <w:rPr>
          <w:rFonts w:cs="Arial" w:ascii="Arial" w:hAnsi="Arial"/>
          <w:color w:val="000000"/>
          <w:sz w:val="22"/>
          <w:szCs w:val="22"/>
        </w:rPr>
        <w:t>As we have identified this damage early, before the need to refer them for medical help, this has not resulted in any restrictions in this individual’s work</w:t>
      </w:r>
      <w:r>
        <w:rPr>
          <w:rStyle w:val="FootnoteCharacters"/>
          <w:rStyle w:val="FootnoteReference"/>
          <w:rFonts w:cs="Arial" w:ascii="Arial" w:hAnsi="Arial"/>
          <w:color w:val="000000"/>
          <w:sz w:val="22"/>
          <w:szCs w:val="22"/>
        </w:rPr>
        <w:footnoteReference w:id="2"/>
      </w:r>
      <w:r>
        <w:rPr>
          <w:rFonts w:cs="Arial" w:ascii="Arial" w:hAnsi="Arial"/>
          <w:color w:val="000000"/>
          <w:sz w:val="22"/>
          <w:szCs w:val="22"/>
        </w:rPr>
        <w:t xml:space="preserve">. They have been given a “medical marker” in their JMES category to ensure that the medical chain are aware of and monitor these changes.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You can help prevent any further deterioration by: </w:t>
      </w:r>
    </w:p>
    <w:p>
      <w:pPr>
        <w:pStyle w:val="Normal"/>
        <w:autoSpaceDE w:val="false"/>
        <w:spacing w:before="0" w:after="30"/>
        <w:rPr>
          <w:rFonts w:ascii="Arial" w:hAnsi="Arial" w:cs="Arial"/>
          <w:color w:val="000000"/>
          <w:sz w:val="22"/>
          <w:szCs w:val="22"/>
        </w:rPr>
      </w:pPr>
      <w:r>
        <w:rPr>
          <w:rFonts w:cs="Arial" w:ascii="Arial" w:hAnsi="Arial"/>
          <w:color w:val="000000"/>
          <w:sz w:val="22"/>
          <w:szCs w:val="22"/>
        </w:rPr>
      </w:r>
    </w:p>
    <w:p>
      <w:pPr>
        <w:pStyle w:val="Normal"/>
        <w:numPr>
          <w:ilvl w:val="0"/>
          <w:numId w:val="1"/>
        </w:numPr>
        <w:tabs>
          <w:tab w:val="clear" w:pos="720"/>
          <w:tab w:val="left" w:pos="284" w:leader="none"/>
        </w:tabs>
        <w:autoSpaceDE w:val="false"/>
        <w:spacing w:before="0" w:after="30"/>
        <w:ind w:hanging="578" w:start="720" w:end="0"/>
        <w:rPr>
          <w:rFonts w:ascii="Arial" w:hAnsi="Arial" w:cs="Arial"/>
          <w:color w:val="000000"/>
          <w:sz w:val="22"/>
          <w:szCs w:val="22"/>
        </w:rPr>
      </w:pPr>
      <w:r>
        <w:rPr>
          <w:rFonts w:cs="Arial" w:ascii="Arial" w:hAnsi="Arial"/>
          <w:color w:val="000000"/>
          <w:sz w:val="22"/>
          <w:szCs w:val="22"/>
        </w:rPr>
        <w:t xml:space="preserve">Ensuring they are vigilant in wearing their issued hearing protection and wearing it properly; </w:t>
      </w:r>
    </w:p>
    <w:p>
      <w:pPr>
        <w:pStyle w:val="Normal"/>
        <w:numPr>
          <w:ilvl w:val="0"/>
          <w:numId w:val="1"/>
        </w:numPr>
        <w:tabs>
          <w:tab w:val="clear" w:pos="720"/>
          <w:tab w:val="left" w:pos="284" w:leader="none"/>
        </w:tabs>
        <w:autoSpaceDE w:val="false"/>
        <w:ind w:hanging="578" w:start="720" w:end="0"/>
        <w:rPr>
          <w:rFonts w:ascii="Arial" w:hAnsi="Arial" w:cs="Arial"/>
          <w:color w:val="000000"/>
          <w:sz w:val="22"/>
          <w:szCs w:val="22"/>
        </w:rPr>
      </w:pPr>
      <w:r>
        <w:rPr>
          <w:rFonts w:cs="Arial" w:ascii="Arial" w:hAnsi="Arial"/>
          <w:color w:val="000000"/>
          <w:sz w:val="22"/>
          <w:szCs w:val="22"/>
        </w:rPr>
        <w:t xml:space="preserve">Ensuring that they comply with any other hearing conservation procedures in the workplace. </w:t>
      </w:r>
    </w:p>
    <w:p>
      <w:pPr>
        <w:pStyle w:val="Normal"/>
        <w:rPr>
          <w:rFonts w:ascii="Arial" w:hAnsi="Arial" w:cs="Arial"/>
          <w:color w:val="000000"/>
          <w:sz w:val="22"/>
          <w:szCs w:val="22"/>
        </w:rPr>
      </w:pPr>
      <w:r>
        <w:rPr>
          <w:rFonts w:cs="Arial" w:ascii="Arial" w:hAnsi="Arial"/>
          <w:color w:val="000000"/>
          <w:sz w:val="22"/>
          <w:szCs w:val="22"/>
        </w:rPr>
      </w:r>
    </w:p>
    <w:sectPr>
      <w:headerReference w:type="default" r:id="rId2"/>
      <w:footerReference w:type="default" r:id="rId3"/>
      <w:footnotePr>
        <w:numFmt w:val="decimal"/>
      </w:footnotePr>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Helvetica 45 Light">
    <w:charset w:val="00" w:characterSet="windows-1252"/>
    <w:family w:val="swiss"/>
    <w:pitch w:val="default"/>
  </w:font>
  <w:font w:name="Helvetica 55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r>
  </w:p>
  <w:p>
    <w:pPr>
      <w:pStyle w:val="Footer"/>
      <w:tabs>
        <w:tab w:val="clear" w:pos="8306"/>
        <w:tab w:val="center" w:pos="4153" w:leader="none"/>
        <w:tab w:val="right" w:pos="7797" w:leader="none"/>
      </w:tabs>
      <w:rPr>
        <w:rFonts w:ascii="Arial" w:hAnsi="Arial" w:cs="Arial"/>
        <w:sz w:val="20"/>
      </w:rPr>
    </w:pPr>
    <w:r>
      <w:rPr>
        <w:rFonts w:cs="Arial" w:ascii="Arial" w:hAnsi="Arial"/>
        <w:sz w:val="20"/>
      </w:rPr>
      <w:t xml:space="preserve">DPHC Army Audiometry Annex F </w:t>
      <w:tab/>
      <w:tab/>
      <w:tab/>
      <w:t xml:space="preserve">           March 2016</w:t>
    </w:r>
  </w:p>
  <w:p>
    <w:pPr>
      <w:pStyle w:val="Footer"/>
      <w:tabs>
        <w:tab w:val="clear" w:pos="8306"/>
        <w:tab w:val="center" w:pos="4153" w:leader="none"/>
        <w:tab w:val="right" w:pos="8080" w:leader="none"/>
      </w:tabs>
      <w:rPr/>
    </w:pPr>
    <w:r>
      <w:rPr>
        <w:rFonts w:cs="Arial" w:ascii="Arial" w:hAnsi="Arial"/>
        <w:sz w:val="20"/>
      </w:rPr>
      <w:t xml:space="preserve">Version 1.0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Unless required to operate weapon systems that are above the HSE Exposure Limit Value</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2"/>
      </w:rPr>
    </w:pPr>
    <w:r>
      <w:rPr>
        <w:rFonts w:cs="Arial" w:ascii="Arial" w:hAnsi="Arial"/>
        <w:sz w:val="22"/>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docVars>
    <w:docVar w:name="PCS_DOCUMENT_NAME" w:val="Army_Audio_Annex_F.dot"/>
    <w:docVar w:name="PCS_HANDLE" w:val="131176"/>
    <w:docVar w:name="PCS_MSG" w:val="4974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Hyperlink">
    <w:name w:val="Hyperlink"/>
    <w:rPr>
      <w:rFonts w:cs="Times New Roman"/>
      <w:color w:val="0000FF"/>
      <w:u w:val="single"/>
    </w:rPr>
  </w:style>
  <w:style w:type="character" w:styleId="A10">
    <w:name w:val="A10"/>
    <w:qFormat/>
    <w:rPr>
      <w:rFonts w:cs="Helvetica 55 Roman;Helvetica 55 Roman"/>
      <w:b/>
      <w:bCs/>
      <w:color w:val="000000"/>
      <w:sz w:val="28"/>
      <w:szCs w:val="28"/>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
    <w:name w:val="Default"/>
    <w:qFormat/>
    <w:pPr>
      <w:widowControl/>
      <w:autoSpaceDE w:val="false"/>
      <w:bidi w:val="0"/>
    </w:pPr>
    <w:rPr>
      <w:rFonts w:ascii="Helvetica 45 Light;Helvetica 45 Light" w:hAnsi="Helvetica 45 Light;Helvetica 45 Light" w:eastAsia="Times New Roman" w:cs="Helvetica 45 Light;Helvetica 45 Light"/>
      <w:color w:val="000000"/>
      <w:sz w:val="24"/>
      <w:szCs w:val="24"/>
      <w:lang w:val="en-GB" w:bidi="ar-SA" w:eastAsia="zh-CN"/>
    </w:rPr>
  </w:style>
  <w:style w:type="paragraph" w:styleId="Pa2">
    <w:name w:val="Pa2"/>
    <w:basedOn w:val="Default"/>
    <w:next w:val="Default"/>
    <w:qFormat/>
    <w:pPr>
      <w:spacing w:lineRule="atLeast" w:line="241"/>
    </w:pPr>
    <w:rPr>
      <w:rFonts w:ascii="Helvetica 55 Roman;Helvetica 55 Roman" w:hAnsi="Helvetica 55 Roman;Helvetica 55 Roman" w:cs="Times New Roman"/>
      <w:color w:val="000000"/>
    </w:rPr>
  </w:style>
  <w:style w:type="paragraph" w:styleId="FootnoteText">
    <w:name w:val="footnote text"/>
    <w:basedOn w:val="Normal"/>
    <w:pPr/>
    <w:rPr>
      <w:rFonts w:ascii="Arial" w:hAnsi="Arial" w:cs="Arial"/>
      <w:sz w:val="20"/>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Army_Audio_Annex_F.dot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2016-03-21T19:19:00Z</dcterms:created>
  <dc:creator>johnstonet191</dc:creator>
  <dc:description/>
  <cp:keywords/>
  <dc:language>en-GB</dc:language>
  <cp:lastModifiedBy>Johnstone, Thomas Maj</cp:lastModifiedBy>
  <dcterms:modified xsi:type="dcterms:W3CDTF">2016-11-17T19:44:00Z</dcterms:modified>
  <cp:revision>5</cp:revision>
  <dc:subject/>
  <dc:title>System Date </dc:title>
</cp:coreProperties>
</file>