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0" w:after="200"/>
        <w:jc w:val="end"/>
        <w:outlineLvl w:val="0"/>
        <w:rPr>
          <w:rFonts w:ascii="Arial" w:hAnsi="Arial" w:cs="Arial Unicode MS;Meiryo"/>
          <w:b/>
          <w:color w:val="000000"/>
          <w:spacing w:val="-1"/>
          <w:sz w:val="20"/>
          <w:szCs w:val="24"/>
          <w:lang w:val="en-US"/>
        </w:rPr>
      </w:pPr>
      <w:r>
        <w:rPr>
          <w:rFonts w:cs="Arial Unicode MS;Meiryo" w:ascii="Arial" w:hAnsi="Arial"/>
          <w:b/>
          <w:color w:val="000000"/>
          <w:spacing w:val="-1"/>
          <w:sz w:val="20"/>
          <w:szCs w:val="24"/>
          <w:lang w:val="en-US"/>
        </w:rPr>
        <w:t>Annex A</w:t>
      </w:r>
    </w:p>
    <w:p>
      <w:pPr>
        <w:pStyle w:val="Normal"/>
        <w:widowControl w:val="false"/>
        <w:spacing w:lineRule="auto" w:line="240" w:before="280" w:after="280"/>
        <w:rPr>
          <w:rFonts w:ascii="Arial" w:hAnsi="Arial" w:cs="Arial"/>
          <w:color w:val="000000"/>
          <w:sz w:val="24"/>
          <w:szCs w:val="25"/>
          <w:lang w:val="en-US"/>
        </w:rPr>
      </w:pPr>
      <w:bookmarkStart w:id="0" w:name="A"/>
      <w:bookmarkEnd w:id="0"/>
      <w:r>
        <w:rPr>
          <w:rFonts w:cs="Arial" w:ascii="Arial" w:hAnsi="Arial"/>
          <w:b/>
          <w:bCs/>
          <w:color w:val="000000"/>
          <w:sz w:val="24"/>
          <w:szCs w:val="25"/>
          <w:lang w:val="en-US"/>
        </w:rPr>
        <w:t>G</w:t>
      </w:r>
      <w:r>
        <w:rPr>
          <w:rFonts w:cs="Arial" w:ascii="Arial" w:hAnsi="Arial"/>
          <w:b/>
          <w:bCs/>
          <w:color w:val="000000"/>
          <w:spacing w:val="-1"/>
          <w:sz w:val="24"/>
          <w:szCs w:val="25"/>
          <w:lang w:val="en-US"/>
        </w:rPr>
        <w:t>U</w:t>
      </w:r>
      <w:r>
        <w:rPr>
          <w:rFonts w:cs="Arial" w:ascii="Arial" w:hAnsi="Arial"/>
          <w:b/>
          <w:bCs/>
          <w:color w:val="000000"/>
          <w:spacing w:val="1"/>
          <w:sz w:val="24"/>
          <w:szCs w:val="25"/>
          <w:lang w:val="en-US"/>
        </w:rPr>
        <w:t>ID</w:t>
      </w:r>
      <w:r>
        <w:rPr>
          <w:rFonts w:cs="Arial" w:ascii="Arial" w:hAnsi="Arial"/>
          <w:b/>
          <w:bCs/>
          <w:color w:val="000000"/>
          <w:spacing w:val="-6"/>
          <w:sz w:val="24"/>
          <w:szCs w:val="25"/>
          <w:lang w:val="en-US"/>
        </w:rPr>
        <w:t>A</w:t>
      </w:r>
      <w:r>
        <w:rPr>
          <w:rFonts w:cs="Arial" w:ascii="Arial" w:hAnsi="Arial"/>
          <w:b/>
          <w:bCs/>
          <w:color w:val="000000"/>
          <w:spacing w:val="-1"/>
          <w:sz w:val="24"/>
          <w:szCs w:val="25"/>
          <w:lang w:val="en-US"/>
        </w:rPr>
        <w:t>NC</w:t>
      </w:r>
      <w:r>
        <w:rPr>
          <w:rFonts w:cs="Arial" w:ascii="Arial" w:hAnsi="Arial"/>
          <w:b/>
          <w:bCs/>
          <w:color w:val="000000"/>
          <w:sz w:val="24"/>
          <w:szCs w:val="25"/>
          <w:lang w:val="en-US"/>
        </w:rPr>
        <w:t>E</w:t>
      </w:r>
      <w:r>
        <w:rPr>
          <w:rFonts w:cs="Arial" w:ascii="Arial" w:hAnsi="Arial"/>
          <w:b/>
          <w:bCs/>
          <w:color w:val="000000"/>
          <w:spacing w:val="1"/>
          <w:sz w:val="24"/>
          <w:szCs w:val="25"/>
          <w:lang w:val="en-US"/>
        </w:rPr>
        <w:t xml:space="preserve"> </w:t>
      </w:r>
      <w:r>
        <w:rPr>
          <w:rFonts w:cs="Arial" w:ascii="Arial" w:hAnsi="Arial"/>
          <w:b/>
          <w:bCs/>
          <w:color w:val="000000"/>
          <w:spacing w:val="-1"/>
          <w:sz w:val="24"/>
          <w:szCs w:val="25"/>
          <w:lang w:val="en-US"/>
        </w:rPr>
        <w:t>N</w:t>
      </w:r>
      <w:r>
        <w:rPr>
          <w:rFonts w:cs="Arial" w:ascii="Arial" w:hAnsi="Arial"/>
          <w:b/>
          <w:bCs/>
          <w:color w:val="000000"/>
          <w:sz w:val="24"/>
          <w:szCs w:val="25"/>
          <w:lang w:val="en-US"/>
        </w:rPr>
        <w:t>O</w:t>
      </w:r>
      <w:r>
        <w:rPr>
          <w:rFonts w:cs="Arial" w:ascii="Arial" w:hAnsi="Arial"/>
          <w:b/>
          <w:bCs/>
          <w:color w:val="000000"/>
          <w:spacing w:val="-1"/>
          <w:sz w:val="24"/>
          <w:szCs w:val="25"/>
          <w:lang w:val="en-US"/>
        </w:rPr>
        <w:t>T</w:t>
      </w:r>
      <w:r>
        <w:rPr>
          <w:rFonts w:cs="Arial" w:ascii="Arial" w:hAnsi="Arial"/>
          <w:b/>
          <w:bCs/>
          <w:color w:val="000000"/>
          <w:spacing w:val="2"/>
          <w:sz w:val="24"/>
          <w:szCs w:val="25"/>
          <w:lang w:val="en-US"/>
        </w:rPr>
        <w:t>E</w:t>
      </w:r>
      <w:r>
        <w:rPr>
          <w:rFonts w:cs="Arial" w:ascii="Arial" w:hAnsi="Arial"/>
          <w:b/>
          <w:bCs/>
          <w:color w:val="000000"/>
          <w:sz w:val="24"/>
          <w:szCs w:val="25"/>
          <w:lang w:val="en-US"/>
        </w:rPr>
        <w:t>S</w:t>
      </w:r>
      <w:r>
        <w:rPr>
          <w:rFonts w:cs="Arial" w:ascii="Arial" w:hAnsi="Arial"/>
          <w:b/>
          <w:bCs/>
          <w:color w:val="000000"/>
          <w:spacing w:val="1"/>
          <w:sz w:val="24"/>
          <w:szCs w:val="25"/>
          <w:lang w:val="en-US"/>
        </w:rPr>
        <w:t xml:space="preserve"> </w:t>
      </w:r>
      <w:r>
        <w:rPr>
          <w:rFonts w:cs="Arial" w:ascii="Arial" w:hAnsi="Arial"/>
          <w:b/>
          <w:bCs/>
          <w:color w:val="000000"/>
          <w:spacing w:val="-1"/>
          <w:sz w:val="24"/>
          <w:szCs w:val="25"/>
          <w:lang w:val="en-US"/>
        </w:rPr>
        <w:t>F</w:t>
      </w:r>
      <w:r>
        <w:rPr>
          <w:rFonts w:cs="Arial" w:ascii="Arial" w:hAnsi="Arial"/>
          <w:b/>
          <w:bCs/>
          <w:color w:val="000000"/>
          <w:sz w:val="24"/>
          <w:szCs w:val="25"/>
          <w:lang w:val="en-US"/>
        </w:rPr>
        <w:t xml:space="preserve">OR </w:t>
      </w:r>
      <w:r>
        <w:rPr>
          <w:rFonts w:cs="Arial" w:ascii="Arial" w:hAnsi="Arial"/>
          <w:b/>
          <w:bCs/>
          <w:color w:val="000000"/>
          <w:spacing w:val="-1"/>
          <w:sz w:val="24"/>
          <w:szCs w:val="25"/>
          <w:lang w:val="en-US"/>
        </w:rPr>
        <w:t>ANNUAL B</w:t>
      </w:r>
      <w:r>
        <w:rPr>
          <w:rFonts w:cs="Arial" w:ascii="Arial" w:hAnsi="Arial"/>
          <w:b/>
          <w:bCs/>
          <w:color w:val="000000"/>
          <w:spacing w:val="-3"/>
          <w:sz w:val="24"/>
          <w:szCs w:val="25"/>
          <w:lang w:val="en-US"/>
        </w:rPr>
        <w:t>O</w:t>
      </w:r>
      <w:r>
        <w:rPr>
          <w:rFonts w:cs="Arial" w:ascii="Arial" w:hAnsi="Arial"/>
          <w:b/>
          <w:bCs/>
          <w:color w:val="000000"/>
          <w:sz w:val="24"/>
          <w:szCs w:val="25"/>
          <w:lang w:val="en-US"/>
        </w:rPr>
        <w:t>X</w:t>
      </w:r>
      <w:r>
        <w:rPr>
          <w:rFonts w:cs="Arial" w:ascii="Arial" w:hAnsi="Arial"/>
          <w:b/>
          <w:bCs/>
          <w:color w:val="000000"/>
          <w:spacing w:val="1"/>
          <w:sz w:val="24"/>
          <w:szCs w:val="25"/>
          <w:lang w:val="en-US"/>
        </w:rPr>
        <w:t>I</w:t>
      </w:r>
      <w:r>
        <w:rPr>
          <w:rFonts w:cs="Arial" w:ascii="Arial" w:hAnsi="Arial"/>
          <w:b/>
          <w:bCs/>
          <w:color w:val="000000"/>
          <w:spacing w:val="-1"/>
          <w:sz w:val="24"/>
          <w:szCs w:val="25"/>
          <w:lang w:val="en-US"/>
        </w:rPr>
        <w:t>N</w:t>
      </w:r>
      <w:r>
        <w:rPr>
          <w:rFonts w:cs="Arial" w:ascii="Arial" w:hAnsi="Arial"/>
          <w:b/>
          <w:bCs/>
          <w:color w:val="000000"/>
          <w:sz w:val="24"/>
          <w:szCs w:val="25"/>
          <w:lang w:val="en-US"/>
        </w:rPr>
        <w:t>G</w:t>
      </w:r>
      <w:r>
        <w:rPr>
          <w:rFonts w:cs="Arial" w:ascii="Arial" w:hAnsi="Arial"/>
          <w:b/>
          <w:bCs/>
          <w:color w:val="000000"/>
          <w:spacing w:val="-1"/>
          <w:sz w:val="24"/>
          <w:szCs w:val="25"/>
          <w:lang w:val="en-US"/>
        </w:rPr>
        <w:t xml:space="preserve"> M</w:t>
      </w:r>
      <w:r>
        <w:rPr>
          <w:rFonts w:cs="Arial" w:ascii="Arial" w:hAnsi="Arial"/>
          <w:b/>
          <w:bCs/>
          <w:color w:val="000000"/>
          <w:sz w:val="24"/>
          <w:szCs w:val="25"/>
          <w:lang w:val="en-US"/>
        </w:rPr>
        <w:t>E</w:t>
      </w:r>
      <w:r>
        <w:rPr>
          <w:rFonts w:cs="Arial" w:ascii="Arial" w:hAnsi="Arial"/>
          <w:b/>
          <w:bCs/>
          <w:color w:val="000000"/>
          <w:spacing w:val="-4"/>
          <w:sz w:val="24"/>
          <w:szCs w:val="25"/>
          <w:lang w:val="en-US"/>
        </w:rPr>
        <w:t>D</w:t>
      </w:r>
      <w:r>
        <w:rPr>
          <w:rFonts w:cs="Arial" w:ascii="Arial" w:hAnsi="Arial"/>
          <w:b/>
          <w:bCs/>
          <w:color w:val="000000"/>
          <w:spacing w:val="1"/>
          <w:sz w:val="24"/>
          <w:szCs w:val="25"/>
          <w:lang w:val="en-US"/>
        </w:rPr>
        <w:t>IC</w:t>
      </w:r>
      <w:r>
        <w:rPr>
          <w:rFonts w:cs="Arial" w:ascii="Arial" w:hAnsi="Arial"/>
          <w:b/>
          <w:bCs/>
          <w:color w:val="000000"/>
          <w:spacing w:val="-6"/>
          <w:sz w:val="24"/>
          <w:szCs w:val="25"/>
          <w:lang w:val="en-US"/>
        </w:rPr>
        <w:t>A</w:t>
      </w:r>
      <w:r>
        <w:rPr>
          <w:rFonts w:cs="Arial" w:ascii="Arial" w:hAnsi="Arial"/>
          <w:b/>
          <w:bCs/>
          <w:color w:val="000000"/>
          <w:sz w:val="24"/>
          <w:szCs w:val="25"/>
          <w:lang w:val="en-US"/>
        </w:rPr>
        <w:t>L E</w:t>
      </w:r>
      <w:r>
        <w:rPr>
          <w:rFonts w:cs="Arial" w:ascii="Arial" w:hAnsi="Arial"/>
          <w:b/>
          <w:bCs/>
          <w:color w:val="000000"/>
          <w:spacing w:val="2"/>
          <w:sz w:val="24"/>
          <w:szCs w:val="25"/>
          <w:lang w:val="en-US"/>
        </w:rPr>
        <w:t>X</w:t>
      </w:r>
      <w:r>
        <w:rPr>
          <w:rFonts w:cs="Arial" w:ascii="Arial" w:hAnsi="Arial"/>
          <w:b/>
          <w:bCs/>
          <w:color w:val="000000"/>
          <w:spacing w:val="-8"/>
          <w:sz w:val="24"/>
          <w:szCs w:val="25"/>
          <w:lang w:val="en-US"/>
        </w:rPr>
        <w:t>A</w:t>
      </w:r>
      <w:r>
        <w:rPr>
          <w:rFonts w:cs="Arial" w:ascii="Arial" w:hAnsi="Arial"/>
          <w:b/>
          <w:bCs/>
          <w:color w:val="000000"/>
          <w:spacing w:val="4"/>
          <w:sz w:val="24"/>
          <w:szCs w:val="25"/>
          <w:lang w:val="en-US"/>
        </w:rPr>
        <w:t>M</w:t>
      </w:r>
      <w:r>
        <w:rPr>
          <w:rFonts w:cs="Arial" w:ascii="Arial" w:hAnsi="Arial"/>
          <w:b/>
          <w:bCs/>
          <w:color w:val="000000"/>
          <w:spacing w:val="1"/>
          <w:sz w:val="24"/>
          <w:szCs w:val="25"/>
          <w:lang w:val="en-US"/>
        </w:rPr>
        <w:t>IN</w:t>
      </w:r>
      <w:r>
        <w:rPr>
          <w:rFonts w:cs="Arial" w:ascii="Arial" w:hAnsi="Arial"/>
          <w:b/>
          <w:bCs/>
          <w:color w:val="000000"/>
          <w:spacing w:val="-6"/>
          <w:sz w:val="24"/>
          <w:szCs w:val="25"/>
          <w:lang w:val="en-US"/>
        </w:rPr>
        <w:t>A</w:t>
      </w:r>
      <w:r>
        <w:rPr>
          <w:rFonts w:cs="Arial" w:ascii="Arial" w:hAnsi="Arial"/>
          <w:b/>
          <w:bCs/>
          <w:color w:val="000000"/>
          <w:spacing w:val="-1"/>
          <w:sz w:val="24"/>
          <w:szCs w:val="25"/>
          <w:lang w:val="en-US"/>
        </w:rPr>
        <w:t>T</w:t>
      </w:r>
      <w:r>
        <w:rPr>
          <w:rFonts w:cs="Arial" w:ascii="Arial" w:hAnsi="Arial"/>
          <w:b/>
          <w:bCs/>
          <w:color w:val="000000"/>
          <w:spacing w:val="1"/>
          <w:sz w:val="24"/>
          <w:szCs w:val="25"/>
          <w:lang w:val="en-US"/>
        </w:rPr>
        <w:t>I</w:t>
      </w:r>
      <w:r>
        <w:rPr>
          <w:rFonts w:cs="Arial" w:ascii="Arial" w:hAnsi="Arial"/>
          <w:b/>
          <w:bCs/>
          <w:color w:val="000000"/>
          <w:sz w:val="24"/>
          <w:szCs w:val="25"/>
          <w:lang w:val="en-US"/>
        </w:rPr>
        <w:t>O</w:t>
      </w:r>
      <w:r>
        <w:rPr>
          <w:rFonts w:cs="Arial" w:ascii="Arial" w:hAnsi="Arial"/>
          <w:b/>
          <w:bCs/>
          <w:color w:val="000000"/>
          <w:spacing w:val="-1"/>
          <w:sz w:val="24"/>
          <w:szCs w:val="25"/>
          <w:lang w:val="en-US"/>
        </w:rPr>
        <w:t>N</w:t>
      </w:r>
      <w:r>
        <w:rPr>
          <w:rFonts w:cs="Arial" w:ascii="Arial" w:hAnsi="Arial"/>
          <w:b/>
          <w:bCs/>
          <w:color w:val="000000"/>
          <w:sz w:val="24"/>
          <w:szCs w:val="25"/>
          <w:lang w:val="en-US"/>
        </w:rPr>
        <w:t>S</w:t>
      </w:r>
    </w:p>
    <w:tbl>
      <w:tblPr>
        <w:tblW w:w="9923" w:type="dxa"/>
        <w:jc w:val="center"/>
        <w:tblInd w:w="0" w:type="dxa"/>
        <w:tblLayout w:type="fixed"/>
        <w:tblCellMar>
          <w:top w:w="80" w:type="dxa"/>
          <w:start w:w="80" w:type="dxa"/>
          <w:bottom w:w="80" w:type="dxa"/>
          <w:end w:w="80" w:type="dxa"/>
        </w:tblCellMar>
      </w:tblPr>
      <w:tblGrid>
        <w:gridCol w:w="426"/>
        <w:gridCol w:w="4111"/>
        <w:gridCol w:w="5386"/>
      </w:tblGrid>
      <w:tr>
        <w:trPr>
          <w:trHeight w:val="516" w:hRule="atLeast"/>
        </w:trPr>
        <w:tc>
          <w:tcPr>
            <w:tcW w:w="426" w:type="dxa"/>
            <w:tcBorders>
              <w:top w:val="single" w:sz="4" w:space="0" w:color="000000"/>
              <w:start w:val="single" w:sz="4" w:space="0" w:color="000000"/>
              <w:bottom w:val="single" w:sz="4" w:space="0" w:color="000000"/>
              <w:end w:val="single" w:sz="4" w:space="0" w:color="000000"/>
            </w:tcBorders>
            <w:shd w:fill="CAD0D6" w:val="clear"/>
          </w:tcPr>
          <w:p>
            <w:pPr>
              <w:pStyle w:val="BodyAA"/>
              <w:pBdr/>
              <w:spacing w:lineRule="auto" w:line="240" w:before="40" w:after="40"/>
              <w:rPr/>
            </w:pPr>
            <w:r>
              <w:rPr>
                <w:rStyle w:val="None"/>
                <w:rFonts w:cs="Arial" w:ascii="Arial" w:hAnsi="Arial"/>
                <w:sz w:val="20"/>
                <w:szCs w:val="20"/>
              </w:rPr>
              <w:t>1.</w:t>
            </w:r>
          </w:p>
        </w:tc>
        <w:tc>
          <w:tcPr>
            <w:tcW w:w="4111" w:type="dxa"/>
            <w:tcBorders>
              <w:top w:val="single" w:sz="4" w:space="0" w:color="000000"/>
              <w:start w:val="single" w:sz="4" w:space="0" w:color="000000"/>
              <w:bottom w:val="single" w:sz="4" w:space="0" w:color="000000"/>
              <w:end w:val="single" w:sz="4" w:space="0" w:color="000000"/>
            </w:tcBorders>
            <w:shd w:fill="CAD0D6" w:val="clear"/>
            <w:vAlign w:val="center"/>
          </w:tcPr>
          <w:p>
            <w:pPr>
              <w:pStyle w:val="BodyAA"/>
              <w:pBdr/>
              <w:spacing w:lineRule="auto" w:line="240" w:before="40" w:after="40"/>
              <w:rPr/>
            </w:pPr>
            <w:r>
              <w:rPr>
                <w:rStyle w:val="None"/>
                <w:rFonts w:cs="Arial" w:ascii="Arial" w:hAnsi="Arial"/>
                <w:sz w:val="20"/>
                <w:szCs w:val="20"/>
              </w:rPr>
              <w:t>Is the patient too old to box?</w:t>
            </w:r>
          </w:p>
        </w:tc>
        <w:tc>
          <w:tcPr>
            <w:tcW w:w="5386" w:type="dxa"/>
            <w:tcBorders>
              <w:top w:val="single" w:sz="4" w:space="0" w:color="000000"/>
              <w:start w:val="single" w:sz="4" w:space="0" w:color="000000"/>
              <w:bottom w:val="single" w:sz="4" w:space="0" w:color="000000"/>
              <w:end w:val="single" w:sz="4" w:space="0" w:color="000000"/>
            </w:tcBorders>
            <w:shd w:fill="E0D8D8" w:val="clear"/>
          </w:tcPr>
          <w:p>
            <w:pPr>
              <w:pStyle w:val="BodyAA"/>
              <w:pBdr/>
              <w:spacing w:lineRule="auto" w:line="240" w:before="60" w:after="60"/>
              <w:rPr/>
            </w:pPr>
            <w:r>
              <w:rPr>
                <w:rStyle w:val="None"/>
                <w:rFonts w:cs="Arial" w:ascii="Arial" w:hAnsi="Arial"/>
                <w:sz w:val="20"/>
                <w:szCs w:val="20"/>
              </w:rPr>
              <w:t>Upper age for boxing or sparring is the end of the calendar year in which the boxer has their 40</w:t>
            </w:r>
            <w:r>
              <w:rPr>
                <w:rStyle w:val="None"/>
                <w:rFonts w:cs="Arial" w:ascii="Arial" w:hAnsi="Arial"/>
                <w:sz w:val="20"/>
                <w:szCs w:val="20"/>
                <w:vertAlign w:val="superscript"/>
              </w:rPr>
              <w:t>th</w:t>
            </w:r>
            <w:r>
              <w:rPr>
                <w:rStyle w:val="None"/>
                <w:rFonts w:cs="Arial" w:ascii="Arial" w:hAnsi="Arial"/>
                <w:sz w:val="20"/>
                <w:szCs w:val="20"/>
              </w:rPr>
              <w:t xml:space="preserve"> birthday.</w:t>
            </w:r>
          </w:p>
        </w:tc>
      </w:tr>
      <w:tr>
        <w:trPr>
          <w:trHeight w:val="673" w:hRule="atLeast"/>
        </w:trPr>
        <w:tc>
          <w:tcPr>
            <w:tcW w:w="426" w:type="dxa"/>
            <w:tcBorders>
              <w:top w:val="single" w:sz="4" w:space="0" w:color="000000"/>
              <w:start w:val="single" w:sz="4" w:space="0" w:color="000000"/>
              <w:bottom w:val="single" w:sz="4" w:space="0" w:color="000000"/>
              <w:end w:val="single" w:sz="4" w:space="0" w:color="000000"/>
            </w:tcBorders>
            <w:shd w:fill="CAD0D6" w:val="clear"/>
          </w:tcPr>
          <w:p>
            <w:pPr>
              <w:pStyle w:val="BodyAA"/>
              <w:pBdr/>
              <w:spacing w:lineRule="auto" w:line="240" w:before="40" w:after="40"/>
              <w:rPr/>
            </w:pPr>
            <w:r>
              <w:rPr>
                <w:rStyle w:val="None"/>
                <w:rFonts w:cs="Arial" w:ascii="Arial" w:hAnsi="Arial"/>
                <w:sz w:val="20"/>
                <w:szCs w:val="20"/>
              </w:rPr>
              <w:t>2.</w:t>
            </w:r>
          </w:p>
        </w:tc>
        <w:tc>
          <w:tcPr>
            <w:tcW w:w="4111" w:type="dxa"/>
            <w:tcBorders>
              <w:top w:val="single" w:sz="4" w:space="0" w:color="000000"/>
              <w:start w:val="single" w:sz="4" w:space="0" w:color="000000"/>
              <w:bottom w:val="single" w:sz="4" w:space="0" w:color="000000"/>
              <w:end w:val="single" w:sz="4" w:space="0" w:color="000000"/>
            </w:tcBorders>
            <w:shd w:fill="CAD0D6" w:val="clear"/>
          </w:tcPr>
          <w:p>
            <w:pPr>
              <w:pStyle w:val="BodyAA"/>
              <w:pBdr/>
              <w:spacing w:lineRule="auto" w:line="240" w:before="40" w:after="40"/>
              <w:rPr/>
            </w:pPr>
            <w:r>
              <w:rPr>
                <w:rStyle w:val="None"/>
                <w:rFonts w:cs="Arial" w:ascii="Arial" w:hAnsi="Arial"/>
                <w:sz w:val="20"/>
                <w:szCs w:val="20"/>
              </w:rPr>
              <w:t>Are uncorrected visual acuities 6/60 6/60 or better than that?</w:t>
            </w:r>
          </w:p>
        </w:tc>
        <w:tc>
          <w:tcPr>
            <w:tcW w:w="5386" w:type="dxa"/>
            <w:tcBorders>
              <w:top w:val="single" w:sz="4" w:space="0" w:color="000000"/>
              <w:start w:val="single" w:sz="4" w:space="0" w:color="000000"/>
              <w:bottom w:val="single" w:sz="4" w:space="0" w:color="000000"/>
              <w:end w:val="single" w:sz="4" w:space="0" w:color="000000"/>
            </w:tcBorders>
            <w:shd w:fill="E0D8D8" w:val="clear"/>
          </w:tcPr>
          <w:p>
            <w:pPr>
              <w:pStyle w:val="BodyAA"/>
              <w:pBdr/>
              <w:spacing w:lineRule="auto" w:line="240" w:before="60" w:after="60"/>
              <w:rPr/>
            </w:pPr>
            <w:r>
              <w:rPr>
                <w:rStyle w:val="None"/>
                <w:rFonts w:cs="Arial" w:ascii="Arial" w:hAnsi="Arial"/>
                <w:sz w:val="20"/>
                <w:szCs w:val="20"/>
              </w:rPr>
              <w:t>VAs must be corrected in the ring to at least 6/15 6/15 by use of soft contact lenses (which may be worn for boxing).</w:t>
            </w:r>
          </w:p>
        </w:tc>
      </w:tr>
      <w:tr>
        <w:trPr>
          <w:trHeight w:val="626" w:hRule="atLeast"/>
        </w:trPr>
        <w:tc>
          <w:tcPr>
            <w:tcW w:w="426" w:type="dxa"/>
            <w:tcBorders>
              <w:top w:val="single" w:sz="4" w:space="0" w:color="000000"/>
              <w:start w:val="single" w:sz="4" w:space="0" w:color="000000"/>
              <w:bottom w:val="single" w:sz="4" w:space="0" w:color="000000"/>
              <w:end w:val="single" w:sz="4" w:space="0" w:color="000000"/>
            </w:tcBorders>
            <w:shd w:fill="CAD0D6" w:val="clear"/>
          </w:tcPr>
          <w:p>
            <w:pPr>
              <w:pStyle w:val="BodyAA"/>
              <w:pBdr/>
              <w:spacing w:lineRule="auto" w:line="240" w:before="40" w:after="40"/>
              <w:rPr/>
            </w:pPr>
            <w:r>
              <w:rPr>
                <w:rStyle w:val="None"/>
                <w:rFonts w:cs="Arial" w:ascii="Arial" w:hAnsi="Arial"/>
                <w:sz w:val="20"/>
                <w:szCs w:val="20"/>
              </w:rPr>
              <w:t>3.</w:t>
            </w:r>
          </w:p>
        </w:tc>
        <w:tc>
          <w:tcPr>
            <w:tcW w:w="4111" w:type="dxa"/>
            <w:tcBorders>
              <w:top w:val="single" w:sz="4" w:space="0" w:color="000000"/>
              <w:start w:val="single" w:sz="4" w:space="0" w:color="000000"/>
              <w:bottom w:val="single" w:sz="4" w:space="0" w:color="000000"/>
              <w:end w:val="single" w:sz="4" w:space="0" w:color="000000"/>
            </w:tcBorders>
            <w:shd w:fill="CAD0D6" w:val="clear"/>
          </w:tcPr>
          <w:p>
            <w:pPr>
              <w:pStyle w:val="BodyAA"/>
              <w:pBdr/>
              <w:spacing w:lineRule="auto" w:line="240" w:before="40" w:after="40"/>
              <w:rPr/>
            </w:pPr>
            <w:r>
              <w:rPr>
                <w:rStyle w:val="None"/>
                <w:rFonts w:cs="Arial" w:ascii="Arial" w:hAnsi="Arial"/>
                <w:sz w:val="20"/>
                <w:szCs w:val="20"/>
              </w:rPr>
              <w:t>Preliminary tests documented in e-IHR boxing protocol preliminary tests template.</w:t>
            </w:r>
          </w:p>
        </w:tc>
        <w:tc>
          <w:tcPr>
            <w:tcW w:w="5386" w:type="dxa"/>
            <w:tcBorders>
              <w:top w:val="single" w:sz="4" w:space="0" w:color="000000"/>
              <w:start w:val="single" w:sz="4" w:space="0" w:color="000000"/>
              <w:bottom w:val="single" w:sz="4" w:space="0" w:color="000000"/>
              <w:end w:val="single" w:sz="4" w:space="0" w:color="000000"/>
            </w:tcBorders>
            <w:shd w:fill="E0D8D8" w:val="clear"/>
          </w:tcPr>
          <w:p>
            <w:pPr>
              <w:pStyle w:val="BodyAA"/>
              <w:pBdr/>
              <w:spacing w:lineRule="auto" w:line="240" w:before="60" w:after="60"/>
              <w:rPr/>
            </w:pPr>
            <w:r>
              <w:rPr>
                <w:rStyle w:val="None"/>
                <w:rFonts w:cs="Arial" w:ascii="Arial" w:hAnsi="Arial"/>
                <w:sz w:val="20"/>
                <w:szCs w:val="20"/>
              </w:rPr>
              <w:t>These include pulse, BP, VAs, urinalysis and audiometry (if not in date).</w:t>
            </w:r>
          </w:p>
        </w:tc>
      </w:tr>
      <w:tr>
        <w:trPr>
          <w:trHeight w:val="893" w:hRule="atLeast"/>
        </w:trPr>
        <w:tc>
          <w:tcPr>
            <w:tcW w:w="426" w:type="dxa"/>
            <w:tcBorders>
              <w:top w:val="single" w:sz="4" w:space="0" w:color="000000"/>
              <w:start w:val="single" w:sz="4" w:space="0" w:color="000000"/>
              <w:bottom w:val="single" w:sz="4" w:space="0" w:color="000000"/>
              <w:end w:val="single" w:sz="4" w:space="0" w:color="000000"/>
            </w:tcBorders>
            <w:shd w:fill="CAD0D6" w:val="clear"/>
          </w:tcPr>
          <w:p>
            <w:pPr>
              <w:pStyle w:val="BodyAA"/>
              <w:pBdr/>
              <w:spacing w:lineRule="auto" w:line="240" w:before="40" w:after="40"/>
              <w:rPr/>
            </w:pPr>
            <w:r>
              <w:rPr>
                <w:rStyle w:val="None"/>
                <w:rFonts w:cs="Arial" w:ascii="Arial" w:hAnsi="Arial"/>
                <w:sz w:val="20"/>
                <w:szCs w:val="20"/>
              </w:rPr>
              <w:t>4.</w:t>
            </w:r>
          </w:p>
        </w:tc>
        <w:tc>
          <w:tcPr>
            <w:tcW w:w="4111" w:type="dxa"/>
            <w:tcBorders>
              <w:top w:val="single" w:sz="4" w:space="0" w:color="000000"/>
              <w:start w:val="single" w:sz="4" w:space="0" w:color="000000"/>
              <w:bottom w:val="single" w:sz="4" w:space="0" w:color="000000"/>
              <w:end w:val="single" w:sz="4" w:space="0" w:color="000000"/>
            </w:tcBorders>
            <w:shd w:fill="CAD0D6" w:val="clear"/>
            <w:vAlign w:val="center"/>
          </w:tcPr>
          <w:p>
            <w:pPr>
              <w:pStyle w:val="BodyAA"/>
              <w:pBdr/>
              <w:spacing w:lineRule="auto" w:line="240" w:before="40" w:after="40"/>
              <w:rPr/>
            </w:pPr>
            <w:r>
              <w:rPr>
                <w:rStyle w:val="None"/>
                <w:rFonts w:cs="Arial" w:ascii="Arial" w:hAnsi="Arial"/>
                <w:sz w:val="20"/>
                <w:szCs w:val="20"/>
              </w:rPr>
              <w:t>Hearing impairment is not a complete bar to boxing</w:t>
            </w:r>
          </w:p>
        </w:tc>
        <w:tc>
          <w:tcPr>
            <w:tcW w:w="5386" w:type="dxa"/>
            <w:tcBorders>
              <w:top w:val="single" w:sz="4" w:space="0" w:color="000000"/>
              <w:start w:val="single" w:sz="4" w:space="0" w:color="000000"/>
              <w:bottom w:val="single" w:sz="4" w:space="0" w:color="000000"/>
              <w:end w:val="single" w:sz="4" w:space="0" w:color="000000"/>
            </w:tcBorders>
            <w:shd w:fill="E0D8D8" w:val="clear"/>
          </w:tcPr>
          <w:p>
            <w:pPr>
              <w:pStyle w:val="BodyAA"/>
              <w:pBdr/>
              <w:spacing w:lineRule="auto" w:line="240" w:before="60" w:after="60"/>
              <w:rPr/>
            </w:pPr>
            <w:r>
              <w:rPr>
                <w:rStyle w:val="None"/>
                <w:rFonts w:cs="Arial" w:ascii="Arial" w:hAnsi="Arial"/>
                <w:sz w:val="20"/>
                <w:szCs w:val="20"/>
              </w:rPr>
              <w:t>The boxer must be able to hear referee’s instructions without a hearing aid in situ.. Tinnitus is usually not compatible with boxing due to high risk of head blows making it worse</w:t>
            </w:r>
          </w:p>
        </w:tc>
      </w:tr>
      <w:tr>
        <w:trPr>
          <w:trHeight w:val="6332" w:hRule="atLeast"/>
        </w:trPr>
        <w:tc>
          <w:tcPr>
            <w:tcW w:w="426" w:type="dxa"/>
            <w:tcBorders>
              <w:top w:val="single" w:sz="4" w:space="0" w:color="000000"/>
              <w:start w:val="single" w:sz="4" w:space="0" w:color="000000"/>
              <w:bottom w:val="single" w:sz="4" w:space="0" w:color="000000"/>
              <w:end w:val="single" w:sz="4" w:space="0" w:color="000000"/>
            </w:tcBorders>
            <w:shd w:fill="CAD0D6" w:val="clear"/>
          </w:tcPr>
          <w:p>
            <w:pPr>
              <w:pStyle w:val="BodyAA"/>
              <w:pBdr/>
              <w:spacing w:lineRule="auto" w:line="240" w:before="40" w:after="40"/>
              <w:rPr/>
            </w:pPr>
            <w:r>
              <w:rPr>
                <w:rStyle w:val="None"/>
                <w:rFonts w:cs="Arial" w:ascii="Arial" w:hAnsi="Arial"/>
                <w:sz w:val="20"/>
                <w:szCs w:val="20"/>
              </w:rPr>
              <w:t>5.</w:t>
            </w:r>
          </w:p>
        </w:tc>
        <w:tc>
          <w:tcPr>
            <w:tcW w:w="9497" w:type="dxa"/>
            <w:gridSpan w:val="2"/>
            <w:tcBorders>
              <w:top w:val="single" w:sz="4" w:space="0" w:color="000000"/>
              <w:start w:val="single" w:sz="4" w:space="0" w:color="000000"/>
              <w:bottom w:val="single" w:sz="4" w:space="0" w:color="000000"/>
              <w:end w:val="single" w:sz="4" w:space="0" w:color="000000"/>
            </w:tcBorders>
            <w:shd w:fill="E0D8D8" w:val="clear"/>
          </w:tcPr>
          <w:p>
            <w:pPr>
              <w:pStyle w:val="BodyAA"/>
              <w:pBdr/>
              <w:spacing w:lineRule="auto" w:line="240" w:before="40" w:after="40"/>
              <w:rPr>
                <w:rStyle w:val="None"/>
                <w:rFonts w:ascii="Arial" w:hAnsi="Arial" w:cs="Arial"/>
                <w:sz w:val="20"/>
                <w:szCs w:val="20"/>
              </w:rPr>
            </w:pPr>
            <w:r>
              <w:rPr>
                <w:rStyle w:val="None"/>
                <w:rFonts w:cs="Arial" w:ascii="Arial" w:hAnsi="Arial"/>
                <w:sz w:val="20"/>
                <w:szCs w:val="20"/>
              </w:rPr>
              <w:t>The following will lead to being declared unfit to box :</w:t>
            </w:r>
          </w:p>
          <w:p>
            <w:pPr>
              <w:pStyle w:val="BodyAA"/>
              <w:numPr>
                <w:ilvl w:val="0"/>
                <w:numId w:val="1"/>
              </w:numPr>
              <w:pBdr/>
              <w:spacing w:lineRule="auto" w:line="240" w:before="40" w:after="40"/>
              <w:rPr>
                <w:rStyle w:val="None"/>
                <w:rFonts w:ascii="Arial" w:hAnsi="Arial" w:cs="Arial"/>
                <w:sz w:val="20"/>
                <w:szCs w:val="20"/>
              </w:rPr>
            </w:pPr>
            <w:r>
              <w:rPr>
                <w:rStyle w:val="None"/>
                <w:rFonts w:cs="Arial" w:ascii="Arial" w:hAnsi="Arial"/>
                <w:sz w:val="20"/>
                <w:szCs w:val="20"/>
              </w:rPr>
              <w:t>Severe blood dyscrasias, sickle cell disease or trait. Clotting disorders or anticoagulant medication</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Previous or current infection with, or carriage of, hepatitis B or C, or HIV.</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Ocular surgery, with the exception of successful childhood squint surgery and laser refractive surgery. Laser refractive surgery is permitted, if the boxer has a letter from the practitioner carrying out the surgery stating that it is safe to box. If unable to provide a letter, opinion may be sought from a Service Ophthalmologist.</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Cataract or retinal detachment.</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Uncorrected VAs poorer than 6/60 in either eye.</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Corrected VAs poorer than 6/15 in either eye.</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Exposed open infected skin lesions.</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Significant congenital or acquired cardiovascular or pulmonary abnormalities.</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Significant congenital or acquired musculoskeletal disorders (seek SMO UKAFBA advice for amputees).</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Unresolved post-concussion symptoms.</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Significant psychiatric disturbances.</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Significant congenital or acquired intracranial mass lesions or bleeding.</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Any seizure activity within the last three years.</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Epilepsy, previous stroke, or intracranial bleed</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Hepatomegaly, splenomegaly or ascites.</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Pregnancy.</w:t>
            </w:r>
          </w:p>
          <w:p>
            <w:pPr>
              <w:pStyle w:val="BodyAA"/>
              <w:numPr>
                <w:ilvl w:val="0"/>
                <w:numId w:val="1"/>
              </w:numPr>
              <w:pBdr/>
              <w:spacing w:lineRule="auto" w:line="240" w:before="40" w:after="40"/>
              <w:rPr>
                <w:rFonts w:ascii="Arial" w:hAnsi="Arial" w:cs="Arial"/>
                <w:sz w:val="20"/>
                <w:szCs w:val="20"/>
              </w:rPr>
            </w:pPr>
            <w:r>
              <w:rPr>
                <w:rStyle w:val="None"/>
                <w:rFonts w:cs="Arial" w:ascii="Arial" w:hAnsi="Arial"/>
                <w:sz w:val="20"/>
                <w:szCs w:val="20"/>
              </w:rPr>
              <w:t>Uncontrolled diabetes or thyroid disease.</w:t>
            </w:r>
          </w:p>
          <w:p>
            <w:pPr>
              <w:pStyle w:val="BodyAA"/>
              <w:numPr>
                <w:ilvl w:val="0"/>
                <w:numId w:val="1"/>
              </w:numPr>
              <w:pBdr/>
              <w:spacing w:lineRule="auto" w:line="240" w:before="40" w:after="40"/>
              <w:rPr>
                <w:rFonts w:ascii="Arial Unicode MS;Meiryo" w:hAnsi="Arial Unicode MS;Meiryo" w:cs="Arial Unicode MS;Meiryo"/>
                <w:sz w:val="20"/>
                <w:szCs w:val="20"/>
              </w:rPr>
            </w:pPr>
            <w:r>
              <w:rPr>
                <w:rStyle w:val="None"/>
                <w:rFonts w:cs="Arial" w:ascii="Arial" w:hAnsi="Arial"/>
                <w:sz w:val="20"/>
                <w:szCs w:val="20"/>
              </w:rPr>
              <w:t>Implantable electrical devices, unless specifically approved by doctor who implanted the device.</w:t>
            </w:r>
          </w:p>
        </w:tc>
      </w:tr>
      <w:tr>
        <w:trPr>
          <w:trHeight w:val="393" w:hRule="atLeast"/>
        </w:trPr>
        <w:tc>
          <w:tcPr>
            <w:tcW w:w="426" w:type="dxa"/>
            <w:tcBorders>
              <w:top w:val="single" w:sz="4" w:space="0" w:color="000000"/>
              <w:start w:val="single" w:sz="4" w:space="0" w:color="000000"/>
              <w:bottom w:val="single" w:sz="4" w:space="0" w:color="000000"/>
              <w:end w:val="single" w:sz="4" w:space="0" w:color="000000"/>
            </w:tcBorders>
            <w:shd w:fill="CAD0D6" w:val="clear"/>
          </w:tcPr>
          <w:p>
            <w:pPr>
              <w:pStyle w:val="BodyAA"/>
              <w:pBdr/>
              <w:spacing w:lineRule="auto" w:line="240" w:before="60" w:after="60"/>
              <w:rPr/>
            </w:pPr>
            <w:r>
              <w:rPr>
                <w:rStyle w:val="None"/>
                <w:rFonts w:cs="Arial" w:ascii="Arial" w:hAnsi="Arial"/>
                <w:sz w:val="20"/>
                <w:szCs w:val="20"/>
              </w:rPr>
              <w:t>6.</w:t>
            </w:r>
          </w:p>
          <w:p>
            <w:pPr>
              <w:pStyle w:val="BodyAA"/>
              <w:pBdr/>
              <w:spacing w:lineRule="auto" w:line="240" w:before="60" w:after="60"/>
              <w:rPr>
                <w:rStyle w:val="None"/>
                <w:rFonts w:ascii="Arial" w:hAnsi="Arial" w:cs="Arial"/>
                <w:sz w:val="20"/>
                <w:szCs w:val="20"/>
              </w:rPr>
            </w:pPr>
            <w:r>
              <w:rPr/>
            </w:r>
          </w:p>
        </w:tc>
        <w:tc>
          <w:tcPr>
            <w:tcW w:w="9497" w:type="dxa"/>
            <w:gridSpan w:val="2"/>
            <w:tcBorders>
              <w:top w:val="single" w:sz="4" w:space="0" w:color="000000"/>
              <w:start w:val="single" w:sz="4" w:space="0" w:color="000000"/>
              <w:bottom w:val="single" w:sz="4" w:space="0" w:color="000000"/>
              <w:end w:val="single" w:sz="4" w:space="0" w:color="000000"/>
            </w:tcBorders>
            <w:shd w:fill="E0D8D8" w:val="clear"/>
          </w:tcPr>
          <w:p>
            <w:pPr>
              <w:pStyle w:val="BodyAA"/>
              <w:pBdr/>
              <w:spacing w:lineRule="auto" w:line="240" w:before="60" w:after="60"/>
              <w:rPr/>
            </w:pPr>
            <w:r>
              <w:rPr>
                <w:rStyle w:val="None"/>
                <w:rFonts w:cs="Arial" w:ascii="Arial" w:hAnsi="Arial"/>
                <w:sz w:val="20"/>
                <w:szCs w:val="20"/>
              </w:rPr>
              <w:t>Clinical examination performed is a matter for individual doctor’s discretion.</w:t>
            </w:r>
          </w:p>
        </w:tc>
      </w:tr>
      <w:tr>
        <w:trPr>
          <w:trHeight w:val="565" w:hRule="atLeast"/>
        </w:trPr>
        <w:tc>
          <w:tcPr>
            <w:tcW w:w="426" w:type="dxa"/>
            <w:tcBorders>
              <w:top w:val="single" w:sz="4" w:space="0" w:color="000000"/>
              <w:start w:val="single" w:sz="4" w:space="0" w:color="000000"/>
              <w:bottom w:val="single" w:sz="4" w:space="0" w:color="000000"/>
              <w:end w:val="single" w:sz="4" w:space="0" w:color="000000"/>
            </w:tcBorders>
            <w:shd w:fill="CAD0D6" w:val="clear"/>
          </w:tcPr>
          <w:p>
            <w:pPr>
              <w:pStyle w:val="BodyAA"/>
              <w:pBdr/>
              <w:spacing w:lineRule="auto" w:line="240" w:before="60" w:after="60"/>
              <w:rPr/>
            </w:pPr>
            <w:r>
              <w:rPr>
                <w:rStyle w:val="None"/>
                <w:rFonts w:cs="Arial" w:ascii="Arial" w:hAnsi="Arial"/>
                <w:sz w:val="20"/>
                <w:szCs w:val="20"/>
              </w:rPr>
              <w:t>7.</w:t>
            </w:r>
          </w:p>
        </w:tc>
        <w:tc>
          <w:tcPr>
            <w:tcW w:w="9497" w:type="dxa"/>
            <w:gridSpan w:val="2"/>
            <w:tcBorders>
              <w:top w:val="single" w:sz="4" w:space="0" w:color="000000"/>
              <w:start w:val="single" w:sz="4" w:space="0" w:color="000000"/>
              <w:bottom w:val="single" w:sz="4" w:space="0" w:color="000000"/>
              <w:end w:val="single" w:sz="4" w:space="0" w:color="000000"/>
            </w:tcBorders>
            <w:shd w:fill="E0D8D8" w:val="clear"/>
          </w:tcPr>
          <w:p>
            <w:pPr>
              <w:pStyle w:val="BodyAA"/>
              <w:pBdr/>
              <w:spacing w:lineRule="auto" w:line="240" w:before="60" w:after="60"/>
              <w:rPr>
                <w:rStyle w:val="None"/>
                <w:rFonts w:ascii="Arial" w:hAnsi="Arial" w:cs="Arial"/>
                <w:sz w:val="20"/>
                <w:szCs w:val="20"/>
              </w:rPr>
            </w:pPr>
            <w:r>
              <w:rPr>
                <w:rFonts w:cs="Arial" w:ascii="Arial" w:hAnsi="Arial"/>
                <w:sz w:val="20"/>
                <w:szCs w:val="20"/>
              </w:rPr>
              <w:t>Sickle Cell screening to be performed if not previously done (see Section 1 Para 7 f) and Annex H.</w:t>
            </w:r>
          </w:p>
        </w:tc>
      </w:tr>
      <w:tr>
        <w:trPr>
          <w:trHeight w:val="565" w:hRule="atLeast"/>
        </w:trPr>
        <w:tc>
          <w:tcPr>
            <w:tcW w:w="426" w:type="dxa"/>
            <w:tcBorders>
              <w:top w:val="single" w:sz="4" w:space="0" w:color="000000"/>
              <w:start w:val="single" w:sz="4" w:space="0" w:color="000000"/>
              <w:bottom w:val="single" w:sz="4" w:space="0" w:color="000000"/>
              <w:end w:val="single" w:sz="4" w:space="0" w:color="000000"/>
            </w:tcBorders>
            <w:shd w:fill="CAD0D6" w:val="clear"/>
          </w:tcPr>
          <w:p>
            <w:pPr>
              <w:pStyle w:val="BodyAA"/>
              <w:pBdr/>
              <w:spacing w:lineRule="auto" w:line="240" w:before="60" w:after="60"/>
              <w:rPr/>
            </w:pPr>
            <w:r>
              <w:rPr>
                <w:rStyle w:val="None"/>
                <w:rFonts w:cs="Arial" w:ascii="Arial" w:hAnsi="Arial"/>
                <w:sz w:val="20"/>
                <w:szCs w:val="20"/>
              </w:rPr>
              <w:t>8.</w:t>
            </w:r>
          </w:p>
        </w:tc>
        <w:tc>
          <w:tcPr>
            <w:tcW w:w="9497" w:type="dxa"/>
            <w:gridSpan w:val="2"/>
            <w:tcBorders>
              <w:top w:val="single" w:sz="4" w:space="0" w:color="000000"/>
              <w:start w:val="single" w:sz="4" w:space="0" w:color="000000"/>
              <w:bottom w:val="single" w:sz="4" w:space="0" w:color="000000"/>
              <w:end w:val="single" w:sz="4" w:space="0" w:color="000000"/>
            </w:tcBorders>
            <w:shd w:fill="E0D8D8" w:val="clear"/>
          </w:tcPr>
          <w:p>
            <w:pPr>
              <w:pStyle w:val="BodyAA"/>
              <w:pBdr/>
              <w:spacing w:lineRule="auto" w:line="240" w:before="60" w:after="60"/>
              <w:rPr/>
            </w:pPr>
            <w:r>
              <w:rPr>
                <w:rStyle w:val="None"/>
                <w:rFonts w:cs="Arial" w:ascii="Arial" w:hAnsi="Arial"/>
                <w:sz w:val="20"/>
                <w:szCs w:val="20"/>
              </w:rPr>
              <w:t>Document a pass/defer/fail of the medical through the relevant protocol on the e-IHR.  In cases of uncertainty, seek SME advice via SMO sS or UKAF Boxing Associations, or via DCAs.</w:t>
            </w:r>
          </w:p>
        </w:tc>
      </w:tr>
      <w:tr>
        <w:trPr>
          <w:trHeight w:val="673" w:hRule="atLeast"/>
        </w:trPr>
        <w:tc>
          <w:tcPr>
            <w:tcW w:w="9923" w:type="dxa"/>
            <w:gridSpan w:val="3"/>
            <w:tcBorders>
              <w:top w:val="single" w:sz="4" w:space="0" w:color="000000"/>
              <w:start w:val="single" w:sz="4" w:space="0" w:color="000000"/>
              <w:bottom w:val="single" w:sz="4" w:space="0" w:color="000000"/>
              <w:end w:val="single" w:sz="4" w:space="0" w:color="000000"/>
            </w:tcBorders>
            <w:shd w:fill="E0D8D8" w:val="clear"/>
            <w:vAlign w:val="center"/>
          </w:tcPr>
          <w:p>
            <w:pPr>
              <w:pStyle w:val="BodyAA"/>
              <w:pBdr/>
              <w:spacing w:lineRule="auto" w:line="240" w:before="60" w:after="60"/>
              <w:rPr>
                <w:rStyle w:val="None"/>
                <w:rFonts w:ascii="Arial" w:hAnsi="Arial" w:cs="Arial"/>
                <w:sz w:val="20"/>
                <w:szCs w:val="20"/>
              </w:rPr>
            </w:pPr>
            <w:r>
              <w:rPr>
                <w:rStyle w:val="None"/>
                <w:rFonts w:cs="Arial" w:ascii="Arial" w:hAnsi="Arial"/>
                <w:b/>
                <w:bCs/>
                <w:sz w:val="20"/>
                <w:szCs w:val="20"/>
              </w:rPr>
              <w:t>Dental notes</w:t>
            </w:r>
            <w:r>
              <w:rPr>
                <w:rStyle w:val="None"/>
                <w:rFonts w:cs="Arial" w:ascii="Arial" w:hAnsi="Arial"/>
                <w:sz w:val="20"/>
                <w:szCs w:val="20"/>
              </w:rPr>
              <w:t>: custom-molded mouthguards produced by dental professionals provide superior protection to those procured from other sources.  SP should be strongly encouraged to access DPHC dental resources for optimal dental protection. SP must also be in date dental fitness to be signed fit to box.</w:t>
            </w:r>
          </w:p>
        </w:tc>
      </w:tr>
      <w:tr>
        <w:trPr>
          <w:trHeight w:val="453" w:hRule="atLeast"/>
        </w:trPr>
        <w:tc>
          <w:tcPr>
            <w:tcW w:w="9923" w:type="dxa"/>
            <w:gridSpan w:val="3"/>
            <w:tcBorders>
              <w:top w:val="single" w:sz="4" w:space="0" w:color="000000"/>
              <w:start w:val="single" w:sz="4" w:space="0" w:color="000000"/>
              <w:bottom w:val="single" w:sz="4" w:space="0" w:color="000000"/>
              <w:end w:val="single" w:sz="4" w:space="0" w:color="000000"/>
            </w:tcBorders>
            <w:shd w:fill="E0D8D8" w:val="clear"/>
          </w:tcPr>
          <w:p>
            <w:pPr>
              <w:pStyle w:val="BodyAA"/>
              <w:pBdr/>
              <w:spacing w:lineRule="auto" w:line="240" w:before="60" w:after="60"/>
              <w:rPr/>
            </w:pPr>
            <w:r>
              <w:rPr>
                <w:rStyle w:val="None"/>
                <w:rFonts w:cs="Arial" w:ascii="Arial" w:hAnsi="Arial"/>
                <w:b/>
                <w:bCs/>
                <w:sz w:val="20"/>
                <w:szCs w:val="20"/>
              </w:rPr>
              <w:t>References</w:t>
            </w:r>
            <w:r>
              <w:rPr>
                <w:rStyle w:val="None"/>
                <w:rFonts w:cs="Arial" w:ascii="Arial" w:hAnsi="Arial"/>
                <w:sz w:val="20"/>
                <w:szCs w:val="20"/>
              </w:rPr>
              <w:t xml:space="preserve">:   </w:t>
            </w:r>
            <w:hyperlink r:id="rId2">
              <w:r>
                <w:rPr>
                  <w:rStyle w:val="Hyperlink"/>
                </w:rPr>
                <w:t>IBA-Medical-Handbook-2020_-24.10.2020.pdf</w:t>
              </w:r>
            </w:hyperlink>
            <w:r>
              <w:rPr/>
              <w:t xml:space="preserve">   </w:t>
            </w:r>
            <w:hyperlink r:id="rId3">
              <w:r>
                <w:rPr>
                  <w:rStyle w:val="Hyperlink"/>
                </w:rPr>
                <w:t>Medical Guidelines - England Boxing</w:t>
              </w:r>
            </w:hyperlink>
          </w:p>
        </w:tc>
      </w:tr>
    </w:tbl>
    <w:p>
      <w:pPr>
        <w:pStyle w:val="Normal"/>
        <w:spacing w:before="0" w:after="200"/>
        <w:rPr>
          <w:sz w:val="20"/>
        </w:rPr>
      </w:pPr>
      <w:r>
        <w:rPr>
          <w:sz w:val="20"/>
        </w:rPr>
      </w:r>
    </w:p>
    <w:sectPr>
      <w:footerReference w:type="default" r:id="rId4"/>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Arial Unicode MS">
    <w:altName w:val="Meiryo"/>
    <w:charset w:val="00" w:characterSet="windows-1252"/>
    <w:family w:val="swiss"/>
    <w:pitch w:val="variable"/>
  </w:font>
  <w:font w:name="Liberation Sans">
    <w:altName w:val="Arial"/>
    <w:charset w:val="01" w:characterSet="utf-8"/>
    <w:family w:val="swiss"/>
    <w:pitch w:val="variable"/>
  </w:font>
  <w:font w:name="Helvetica Neue">
    <w:altName w:val="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rFonts w:ascii="Calibri" w:hAnsi="Calibri" w:cs="Calibri"/>
        <w:b/>
        <w:bCs/>
        <w:sz w:val="24"/>
        <w:szCs w:val="24"/>
      </w:rPr>
    </w:pPr>
    <w:r>
      <w:rPr>
        <w:rStyle w:val="None"/>
        <w:sz w:val="24"/>
        <w:szCs w:val="24"/>
      </w:rPr>
      <w:t>JSP 950 Pt 1 Lft 2-1-1 (v5.0 Feb 24)</w:t>
    </w:r>
  </w:p>
  <w:p>
    <w:pPr>
      <w:pStyle w:val="Footer"/>
      <w:tabs>
        <w:tab w:val="center" w:pos="4513" w:leader="none"/>
        <w:tab w:val="left" w:pos="7442" w:leader="none"/>
        <w:tab w:val="right" w:pos="9026" w:leader="none"/>
        <w:tab w:val="right" w:pos="9612" w:leader="none"/>
      </w:tabs>
      <w:spacing w:lineRule="auto" w:line="240" w:before="0" w:after="0"/>
      <w:jc w:val="end"/>
      <w:rPr/>
    </w:pPr>
    <w:r>
      <w:rPr/>
      <w:tab/>
      <w:tab/>
      <w:tab/>
      <w:t>Page A-</w:t>
    </w:r>
    <w:r>
      <w:rPr>
        <w:b/>
        <w:bCs/>
      </w:rPr>
      <w:fldChar w:fldCharType="begin"/>
    </w:r>
    <w:r>
      <w:rPr>
        <w:b/>
        <w:bCs/>
      </w:rPr>
      <w:instrText xml:space="preserve"> PAGE </w:instrText>
    </w:r>
    <w:r>
      <w:rPr>
        <w:b/>
        <w:bCs/>
      </w:rPr>
      <w:fldChar w:fldCharType="separate"/>
    </w:r>
    <w:r>
      <w:rPr>
        <w:b/>
        <w:bCs/>
      </w:rPr>
      <w:t>2</w:t>
    </w:r>
    <w:r>
      <w:rPr>
        <w:b/>
        <w:bCs/>
      </w:rPr>
      <w:fldChar w:fldCharType="end"/>
    </w:r>
    <w:r>
      <w:rPr/>
      <w:t xml:space="preserve"> of </w:t>
    </w:r>
    <w:r>
      <w:rPr>
        <w:b/>
        <w:bCs/>
      </w:rPr>
      <w:t>2</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smallCaps w:val="false"/>
        <w:caps w:val="false"/>
        <w:outline w:val="false"/>
        <w:dstrike w:val="false"/>
        <w:strike w:val="false"/>
        <w:vertAlign w:val="baseline"/>
        <w:position w:val="0"/>
        <w:sz w:val="24"/>
        <w:spacing w:val="0"/>
        <w:i w:val="false"/>
        <w:b w:val="false"/>
        <w:kern w:val="0"/>
        <w:w w:val="10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Annex A_ Guidance Notes for Annual Boxing Medical.dot"/>
    <w:docVar w:name="PCS_HANDLE" w:val="131232"/>
    <w:docVar w:name="PCS_MSG" w:val="495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eastAsia="Times New Roman" w:cs="Symbol"/>
      <w:b w:val="false"/>
      <w:i w:val="false"/>
      <w:caps w:val="false"/>
      <w:smallCaps w:val="false"/>
      <w:strike w:val="false"/>
      <w:dstrike w:val="false"/>
      <w:outline w:val="false"/>
      <w:spacing w:val="0"/>
      <w:w w:val="100"/>
      <w:kern w:val="0"/>
      <w:position w:val="0"/>
      <w:sz w:val="24"/>
      <w:vertAlign w:val="baseline"/>
    </w:rPr>
  </w:style>
  <w:style w:type="character" w:styleId="WW8Num2z1">
    <w:name w:val="WW8Num2z1"/>
    <w:qFormat/>
    <w:rPr>
      <w:rFonts w:ascii="Arial Unicode MS;Meiryo" w:hAnsi="Arial Unicode MS;Meiryo" w:eastAsia="Times New Roman" w:cs="Arial Unicode MS;Meiryo"/>
      <w:b w:val="false"/>
      <w:i w:val="false"/>
      <w:caps w:val="false"/>
      <w:smallCaps w:val="false"/>
      <w:strike w:val="false"/>
      <w:dstrike w:val="false"/>
      <w:outline w:val="false"/>
      <w:spacing w:val="0"/>
      <w:w w:val="100"/>
      <w:kern w:val="0"/>
      <w:position w:val="0"/>
      <w:sz w:val="24"/>
      <w:vertAlign w:val="baseline"/>
    </w:rPr>
  </w:style>
  <w:style w:type="character" w:styleId="DefaultParagraphFont">
    <w:name w:val="Default Paragraph Font"/>
    <w:qFormat/>
    <w:rPr/>
  </w:style>
  <w:style w:type="character" w:styleId="Hyperlink">
    <w:name w:val="Hyperlink"/>
    <w:rPr>
      <w:u w:val="single"/>
    </w:rPr>
  </w:style>
  <w:style w:type="character" w:styleId="None">
    <w:name w:val="None"/>
    <w:qFormat/>
    <w:rPr/>
  </w:style>
  <w:style w:type="character" w:styleId="HeaderChar">
    <w:name w:val="Header Char"/>
    <w:qFormat/>
    <w:rPr>
      <w:sz w:val="22"/>
      <w:szCs w:val="22"/>
    </w:rPr>
  </w:style>
  <w:style w:type="character" w:styleId="FooterChar">
    <w:name w:val="Foot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AA">
    <w:name w:val="Body A A"/>
    <w:qFormat/>
    <w:pPr>
      <w:widowControl/>
      <w:pBdr/>
      <w:bidi w:val="0"/>
      <w:spacing w:lineRule="auto" w:line="276" w:before="0" w:after="200"/>
    </w:pPr>
    <w:rPr>
      <w:rFonts w:ascii="Helvetica Neue;Arial" w:hAnsi="Helvetica Neue;Arial" w:eastAsia="Times New Roman" w:cs="Helvetica Neue;Arial"/>
      <w:color w:val="000000"/>
      <w:sz w:val="22"/>
      <w:szCs w:val="22"/>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ba.sport/wp-content/uploads/2020/12/AIBA-Medical-Handbook-2020_-24.10.2020.pdf" TargetMode="External"/><Relationship Id="rId3" Type="http://schemas.openxmlformats.org/officeDocument/2006/relationships/hyperlink" Target="https://www.englandboxing.org/rules-regs-resources/medical-guidelines/"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Annex A_ Guidance Notes for Annual Boxing Medical.dot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2021-01-19T19:42:00Z</dcterms:created>
  <dc:creator>Conway,Sarah Major</dc:creator>
  <dc:description/>
  <cp:keywords/>
  <dc:language>en-GB</dc:language>
  <cp:lastModifiedBy>Johnstone, Thomas Maj</cp:lastModifiedBy>
  <dcterms:modified xsi:type="dcterms:W3CDTF">2024-02-26T18:46:00Z</dcterms:modified>
  <cp:revision>3</cp:revision>
  <dc:subject/>
  <dc:title/>
</cp:coreProperties>
</file>