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numPr>
          <w:ilvl w:val="0"/>
          <w:numId w:val="0"/>
        </w:numPr>
        <w:pBdr/>
        <w:spacing w:before="0" w:after="0"/>
        <w:outlineLvl w:val="0"/>
        <w:rPr/>
      </w:pPr>
      <w:r>
        <w:rPr>
          <w:rStyle w:val="None"/>
          <w:b/>
          <w:bCs/>
          <w:color w:val="000000"/>
          <w:spacing w:val="0"/>
        </w:rPr>
        <w:t>Annex F</w:t>
      </w:r>
    </w:p>
    <w:p>
      <w:pPr>
        <w:pStyle w:val="BodyA"/>
        <w:numPr>
          <w:ilvl w:val="0"/>
          <w:numId w:val="0"/>
        </w:numPr>
        <w:pBdr/>
        <w:spacing w:before="0" w:after="0"/>
        <w:outlineLvl w:val="0"/>
        <w:rPr>
          <w:rStyle w:val="None"/>
          <w:b/>
          <w:bCs/>
          <w:color w:val="000000"/>
          <w:spacing w:val="0"/>
        </w:rPr>
      </w:pPr>
      <w:r>
        <w:rPr/>
      </w:r>
    </w:p>
    <w:p>
      <w:pPr>
        <w:pStyle w:val="BodyA"/>
        <w:numPr>
          <w:ilvl w:val="0"/>
          <w:numId w:val="0"/>
        </w:numPr>
        <w:pBdr/>
        <w:spacing w:before="0" w:after="0"/>
        <w:outlineLvl w:val="0"/>
        <w:rPr>
          <w:rStyle w:val="None"/>
          <w:color w:val="000000"/>
        </w:rPr>
      </w:pPr>
      <w:r>
        <w:rPr>
          <w:rStyle w:val="None"/>
          <w:b/>
          <w:bCs/>
          <w:color w:val="000000"/>
          <w:sz w:val="28"/>
          <w:szCs w:val="28"/>
        </w:rPr>
        <w:t>RINGSIDE INJURIES SUSPENSION PERIODS</w:t>
      </w:r>
      <w:r>
        <w:rPr>
          <w:rStyle w:val="None"/>
          <w:b/>
          <w:bCs/>
          <w:color w:val="000000"/>
        </w:rPr>
        <w:t xml:space="preserve"> </w:t>
      </w:r>
    </w:p>
    <w:p>
      <w:pPr>
        <w:pStyle w:val="BodyA"/>
        <w:pBdr/>
        <w:tabs>
          <w:tab w:val="clear" w:pos="720"/>
          <w:tab w:val="left" w:pos="180" w:leader="none"/>
        </w:tabs>
        <w:spacing w:before="0" w:after="0"/>
        <w:rPr>
          <w:rStyle w:val="None"/>
          <w:b/>
          <w:bCs/>
          <w:color w:val="000000"/>
          <w:sz w:val="8"/>
          <w:szCs w:val="8"/>
          <w:u w:val="single"/>
        </w:rPr>
      </w:pPr>
      <w:r>
        <w:rPr/>
      </w:r>
    </w:p>
    <w:p>
      <w:pPr>
        <w:pStyle w:val="BodyA"/>
        <w:pBdr/>
        <w:tabs>
          <w:tab w:val="clear" w:pos="720"/>
          <w:tab w:val="left" w:pos="540" w:leader="none"/>
        </w:tabs>
        <w:spacing w:lineRule="auto" w:line="240" w:before="0" w:after="0"/>
        <w:rPr/>
      </w:pPr>
      <w:r>
        <w:rPr>
          <w:rStyle w:val="None"/>
          <w:color w:val="000000"/>
        </w:rPr>
        <w:t xml:space="preserve">1. </w:t>
        <w:tab/>
        <w:t>Suspension periods (and what the injury was) must be recorded by the MO legibly, i.e. using block capitals if necessary, into the BCR1 on the right-hand side in red ink using the following wording (for a suspension of XX days):</w:t>
      </w:r>
    </w:p>
    <w:p>
      <w:pPr>
        <w:pStyle w:val="BodyA"/>
        <w:pBdr/>
        <w:tabs>
          <w:tab w:val="clear" w:pos="720"/>
          <w:tab w:val="left" w:pos="540" w:leader="none"/>
        </w:tabs>
        <w:spacing w:lineRule="auto" w:line="240" w:before="0" w:after="0"/>
        <w:rPr>
          <w:rStyle w:val="None"/>
          <w:color w:val="000000"/>
          <w:sz w:val="8"/>
          <w:szCs w:val="8"/>
        </w:rPr>
      </w:pPr>
      <w:r>
        <w:rPr/>
      </w:r>
    </w:p>
    <w:p>
      <w:pPr>
        <w:pStyle w:val="BodyA"/>
        <w:pBdr/>
        <w:spacing w:lineRule="auto" w:line="240" w:before="0" w:after="0"/>
        <w:rPr/>
      </w:pPr>
      <w:r>
        <w:rPr>
          <w:rStyle w:val="None"/>
          <w:rFonts w:cs="Arial Unicode MS" w:ascii="Arial Unicode MS" w:hAnsi="Arial Unicode MS"/>
          <w:color w:val="000000"/>
        </w:rPr>
        <w:t>‘</w:t>
      </w:r>
      <w:r>
        <w:rPr>
          <w:rStyle w:val="None"/>
          <w:b/>
          <w:bCs/>
          <w:i/>
          <w:iCs/>
          <w:color w:val="000000"/>
        </w:rPr>
        <w:t>Unfit to box, spar or train for XX days</w:t>
      </w:r>
      <w:r>
        <w:rPr>
          <w:rStyle w:val="None"/>
          <w:rFonts w:cs="Arial Unicode MS" w:ascii="Arial Unicode MS" w:hAnsi="Arial Unicode MS"/>
          <w:color w:val="000000"/>
        </w:rPr>
        <w:t>’</w:t>
      </w:r>
      <w:r>
        <w:rPr>
          <w:rStyle w:val="None"/>
          <w:b/>
          <w:bCs/>
          <w:i/>
          <w:iCs/>
          <w:color w:val="000000"/>
        </w:rPr>
        <w:t>. In the case of concussion the following must also be annotated ‘AND until post-injury suspension renewal boxing medical examination has been passed’</w:t>
      </w:r>
    </w:p>
    <w:p>
      <w:pPr>
        <w:pStyle w:val="BodyA"/>
        <w:pBdr/>
        <w:spacing w:lineRule="auto" w:line="240" w:before="0" w:after="0"/>
        <w:rPr>
          <w:rStyle w:val="None"/>
          <w:b/>
          <w:bCs/>
          <w:i/>
          <w:i/>
          <w:iCs/>
          <w:color w:val="000000"/>
          <w:sz w:val="8"/>
          <w:szCs w:val="8"/>
        </w:rPr>
      </w:pPr>
      <w:r>
        <w:rPr/>
      </w:r>
    </w:p>
    <w:p>
      <w:pPr>
        <w:pStyle w:val="BodyA"/>
        <w:pBdr/>
        <w:tabs>
          <w:tab w:val="clear" w:pos="720"/>
          <w:tab w:val="left" w:pos="540" w:leader="none"/>
        </w:tabs>
        <w:spacing w:lineRule="auto" w:line="240" w:before="0" w:after="0"/>
        <w:rPr/>
      </w:pPr>
      <w:r>
        <w:rPr>
          <w:rStyle w:val="None"/>
          <w:color w:val="000000"/>
        </w:rPr>
        <w:t>2.</w:t>
        <w:tab/>
        <w:t xml:space="preserve">Certain injuries require periods of suspension from sparring and boxing. These standard suspension periods are all minimum durations </w:t>
      </w:r>
      <w:r>
        <w:rPr>
          <w:rStyle w:val="None"/>
          <w:b/>
          <w:bCs/>
          <w:i/>
          <w:iCs/>
          <w:color w:val="000000"/>
        </w:rPr>
        <w:t>which may be increased at the discretion of the Ringside Physician</w:t>
      </w:r>
      <w:r>
        <w:rPr>
          <w:rStyle w:val="None"/>
          <w:color w:val="000000"/>
        </w:rPr>
        <w:t xml:space="preserve">.  [This guide is not exhaustive.] </w:t>
      </w:r>
    </w:p>
    <w:p>
      <w:pPr>
        <w:pStyle w:val="BodyA"/>
        <w:pBdr/>
        <w:tabs>
          <w:tab w:val="clear" w:pos="720"/>
          <w:tab w:val="left" w:pos="540" w:leader="none"/>
        </w:tabs>
        <w:spacing w:lineRule="auto" w:line="240" w:before="0" w:after="0"/>
        <w:rPr>
          <w:rStyle w:val="None"/>
          <w:color w:val="000000"/>
        </w:rPr>
      </w:pPr>
      <w:r>
        <w:rPr/>
      </w:r>
    </w:p>
    <w:p>
      <w:pPr>
        <w:pStyle w:val="BodyA"/>
        <w:pBdr/>
        <w:spacing w:lineRule="auto" w:line="240" w:before="0" w:after="0"/>
        <w:rPr>
          <w:rStyle w:val="None"/>
          <w:color w:val="000000"/>
          <w:sz w:val="8"/>
          <w:szCs w:val="8"/>
        </w:rPr>
      </w:pPr>
      <w:r>
        <w:rPr/>
      </w:r>
    </w:p>
    <w:p>
      <w:pPr>
        <w:pStyle w:val="BodyA"/>
        <w:pBdr/>
        <w:tabs>
          <w:tab w:val="clear" w:pos="720"/>
          <w:tab w:val="left" w:pos="1080" w:leader="none"/>
        </w:tabs>
        <w:spacing w:before="0" w:after="0"/>
        <w:jc w:val="both"/>
        <w:rPr>
          <w:rStyle w:val="None"/>
          <w:color w:val="000000"/>
          <w:sz w:val="8"/>
          <w:szCs w:val="8"/>
        </w:rPr>
      </w:pPr>
      <w:r>
        <w:rPr/>
      </w:r>
    </w:p>
    <w:tbl>
      <w:tblPr>
        <w:tblW w:w="14680" w:type="dxa"/>
        <w:jc w:val="start"/>
        <w:tblInd w:w="0" w:type="dxa"/>
        <w:tblLayout w:type="fixed"/>
        <w:tblCellMar>
          <w:top w:w="80" w:type="dxa"/>
          <w:start w:w="80" w:type="dxa"/>
          <w:bottom w:w="80" w:type="dxa"/>
          <w:end w:w="80" w:type="dxa"/>
        </w:tblCellMar>
      </w:tblPr>
      <w:tblGrid>
        <w:gridCol w:w="675"/>
        <w:gridCol w:w="3515"/>
        <w:gridCol w:w="2410"/>
        <w:gridCol w:w="8080"/>
      </w:tblGrid>
      <w:tr>
        <w:trPr>
          <w:trHeight w:val="990"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Ser</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Injuries</w:t>
            </w:r>
          </w:p>
        </w:tc>
        <w:tc>
          <w:tcPr>
            <w:tcW w:w="2410"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 xml:space="preserve">Minimum Suspension Period </w:t>
            </w:r>
          </w:p>
        </w:tc>
        <w:tc>
          <w:tcPr>
            <w:tcW w:w="808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Notes</w:t>
            </w:r>
          </w:p>
        </w:tc>
      </w:tr>
      <w:tr>
        <w:trPr>
          <w:trHeight w:val="1998" w:hRule="atLeast"/>
        </w:trPr>
        <w:tc>
          <w:tcPr>
            <w:tcW w:w="67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1</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napToGrid w:val="false"/>
              <w:spacing w:before="0" w:after="0"/>
              <w:rPr>
                <w:rStyle w:val="None"/>
                <w:color w:val="000000"/>
                <w:spacing w:val="0"/>
                <w:sz w:val="20"/>
                <w:szCs w:val="20"/>
              </w:rPr>
            </w:pPr>
            <w:r>
              <w:rPr>
                <w:color w:val="000000"/>
              </w:rPr>
            </w:r>
          </w:p>
          <w:p>
            <w:pPr>
              <w:pStyle w:val="BodyA"/>
              <w:pBdr/>
              <w:tabs>
                <w:tab w:val="clear" w:pos="720"/>
                <w:tab w:val="left" w:pos="1080" w:leader="none"/>
              </w:tabs>
              <w:spacing w:before="0" w:after="0"/>
              <w:rPr/>
            </w:pPr>
            <w:r>
              <w:rPr>
                <w:rStyle w:val="None"/>
                <w:color w:val="000000"/>
                <w:spacing w:val="0"/>
                <w:sz w:val="20"/>
                <w:szCs w:val="20"/>
              </w:rPr>
              <w:t>Referee Stopped Contest (RSC) – various sub-types exist – ask for Event Supervisor advice on this if required at ringside.</w:t>
            </w:r>
          </w:p>
          <w:p>
            <w:pPr>
              <w:pStyle w:val="BodyA"/>
              <w:pBdr/>
              <w:tabs>
                <w:tab w:val="clear" w:pos="720"/>
                <w:tab w:val="left" w:pos="1080" w:leader="none"/>
              </w:tabs>
              <w:spacing w:before="0" w:after="0"/>
              <w:rPr>
                <w:color w:val="000000"/>
              </w:rPr>
            </w:pPr>
            <w:r>
              <w:rPr>
                <w:rStyle w:val="None"/>
                <w:rFonts w:eastAsia="Arial" w:cs="Arial"/>
                <w:color w:val="000000"/>
                <w:spacing w:val="0"/>
                <w:sz w:val="20"/>
                <w:szCs w:val="20"/>
              </w:rPr>
              <w:t xml:space="preserve"> </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MO’s discretion</w:t>
            </w:r>
          </w:p>
        </w:tc>
        <w:tc>
          <w:tcPr>
            <w:tcW w:w="808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The referee may stop a bout for various reasons, such as the boxer is retired by his corner coaches, or if one boxer is being outclassed, to prevent avoidable injury when the result is considered inevitable.  In such cases, post bout examination may reveal the bout has been stopped in good time and no suspension is needed.</w:t>
            </w:r>
          </w:p>
        </w:tc>
      </w:tr>
      <w:tr>
        <w:trPr>
          <w:trHeight w:val="673" w:hRule="atLeast"/>
        </w:trPr>
        <w:tc>
          <w:tcPr>
            <w:tcW w:w="67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2</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Concussion (first episode).</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30 days</w:t>
            </w:r>
          </w:p>
        </w:tc>
        <w:tc>
          <w:tcPr>
            <w:tcW w:w="808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lineRule="auto" w:line="240" w:before="0" w:after="0"/>
              <w:rPr>
                <w:color w:val="000000"/>
              </w:rPr>
            </w:pPr>
            <w:r>
              <w:rPr>
                <w:rStyle w:val="None"/>
                <w:color w:val="000000"/>
                <w:spacing w:val="0"/>
                <w:sz w:val="20"/>
                <w:szCs w:val="20"/>
              </w:rPr>
              <w:t>There may be signs of concussion at a post bout check.  Any suspicion of concussion should lead to a 30-day suspension.</w:t>
            </w:r>
          </w:p>
        </w:tc>
      </w:tr>
      <w:tr>
        <w:trPr>
          <w:trHeight w:val="737" w:hRule="atLeast"/>
        </w:trPr>
        <w:tc>
          <w:tcPr>
            <w:tcW w:w="67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3</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Concussion (second episode within 3 months of first)</w:t>
            </w:r>
          </w:p>
        </w:tc>
        <w:tc>
          <w:tcPr>
            <w:tcW w:w="2410"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3 months</w:t>
            </w:r>
          </w:p>
        </w:tc>
        <w:tc>
          <w:tcPr>
            <w:tcW w:w="808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0"/>
              <w:rPr>
                <w:color w:val="000000"/>
              </w:rPr>
            </w:pPr>
            <w:r>
              <w:rPr>
                <w:color w:val="000000"/>
              </w:rPr>
            </w:r>
          </w:p>
        </w:tc>
      </w:tr>
      <w:tr>
        <w:trPr>
          <w:trHeight w:val="737" w:hRule="atLeast"/>
        </w:trPr>
        <w:tc>
          <w:tcPr>
            <w:tcW w:w="67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4</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Concussion (third episode within a year)</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1 year</w:t>
            </w:r>
          </w:p>
        </w:tc>
        <w:tc>
          <w:tcPr>
            <w:tcW w:w="808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0"/>
              <w:rPr>
                <w:color w:val="000000"/>
              </w:rPr>
            </w:pPr>
            <w:r>
              <w:rPr>
                <w:color w:val="000000"/>
              </w:rPr>
            </w:r>
          </w:p>
        </w:tc>
      </w:tr>
      <w:tr>
        <w:trPr>
          <w:trHeight w:val="485" w:hRule="atLeast"/>
        </w:trPr>
        <w:tc>
          <w:tcPr>
            <w:tcW w:w="67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5</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Fractures of nose and mandible.</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3 months and 6 months respectively</w:t>
            </w:r>
          </w:p>
        </w:tc>
        <w:tc>
          <w:tcPr>
            <w:tcW w:w="808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napToGrid w:val="false"/>
              <w:spacing w:lineRule="auto" w:line="240" w:before="0" w:after="0"/>
              <w:rPr>
                <w:color w:val="000000"/>
              </w:rPr>
            </w:pPr>
            <w:r>
              <w:rPr>
                <w:color w:val="000000"/>
              </w:rPr>
            </w:r>
          </w:p>
        </w:tc>
      </w:tr>
      <w:tr>
        <w:trPr>
          <w:trHeight w:val="1113" w:hRule="atLeast"/>
        </w:trPr>
        <w:tc>
          <w:tcPr>
            <w:tcW w:w="67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6</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Other fractures.</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30+ days</w:t>
            </w:r>
          </w:p>
        </w:tc>
        <w:tc>
          <w:tcPr>
            <w:tcW w:w="808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lineRule="auto" w:line="240" w:before="0" w:after="0"/>
              <w:rPr>
                <w:color w:val="000000"/>
              </w:rPr>
            </w:pPr>
            <w:r>
              <w:rPr>
                <w:rStyle w:val="None"/>
                <w:color w:val="000000"/>
                <w:spacing w:val="0"/>
                <w:sz w:val="20"/>
                <w:szCs w:val="20"/>
              </w:rPr>
              <w:t>Duration required will vary depending on which fracture is sustained.  Seek advice from SMO UKAF BA if required.</w:t>
            </w:r>
          </w:p>
        </w:tc>
      </w:tr>
      <w:tr>
        <w:trPr>
          <w:trHeight w:val="1333"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7</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Laceration face/head.</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MO’s discretion</w:t>
            </w:r>
          </w:p>
        </w:tc>
        <w:tc>
          <w:tcPr>
            <w:tcW w:w="8080"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lineRule="auto" w:line="240" w:before="0" w:after="0"/>
              <w:rPr>
                <w:color w:val="000000"/>
              </w:rPr>
            </w:pPr>
            <w:r>
              <w:rPr>
                <w:rStyle w:val="None"/>
                <w:color w:val="000000"/>
                <w:spacing w:val="0"/>
                <w:sz w:val="20"/>
                <w:szCs w:val="20"/>
              </w:rPr>
              <w:t xml:space="preserve">Lacerations that can be closed with sub-cutaneous sutures, glue and/or steristrips do not necessarily attract a suspension, whereas external sutures will prevent sparring and boxing for sufficient time to allow healing of the wound. N.B. Most lacerations do not require a full renewal annual medical before returning to boxing. </w:t>
            </w:r>
          </w:p>
        </w:tc>
      </w:tr>
    </w:tbl>
    <w:p>
      <w:pPr>
        <w:pStyle w:val="BodyA"/>
        <w:widowControl w:val="false"/>
        <w:pBdr/>
        <w:tabs>
          <w:tab w:val="clear" w:pos="720"/>
          <w:tab w:val="left" w:pos="1080" w:leader="none"/>
        </w:tabs>
        <w:spacing w:lineRule="auto" w:line="240" w:before="0" w:after="0"/>
        <w:ind w:hanging="245" w:start="245" w:end="0"/>
        <w:rPr>
          <w:rStyle w:val="None"/>
          <w:color w:val="000000"/>
          <w:sz w:val="8"/>
          <w:szCs w:val="8"/>
        </w:rPr>
      </w:pPr>
      <w:r>
        <w:rPr/>
      </w:r>
    </w:p>
    <w:p>
      <w:pPr>
        <w:pStyle w:val="BodyA"/>
        <w:widowControl w:val="false"/>
        <w:pBdr/>
        <w:tabs>
          <w:tab w:val="clear" w:pos="720"/>
          <w:tab w:val="left" w:pos="1080" w:leader="none"/>
        </w:tabs>
        <w:spacing w:lineRule="auto" w:line="240" w:before="0" w:after="0"/>
        <w:ind w:hanging="137" w:start="137" w:end="0"/>
        <w:jc w:val="both"/>
        <w:rPr>
          <w:rStyle w:val="None"/>
          <w:color w:val="000000"/>
          <w:sz w:val="8"/>
          <w:szCs w:val="8"/>
        </w:rPr>
      </w:pPr>
      <w:r>
        <w:rPr/>
      </w:r>
    </w:p>
    <w:p>
      <w:pPr>
        <w:pStyle w:val="BodyA"/>
        <w:widowControl w:val="false"/>
        <w:pBdr/>
        <w:tabs>
          <w:tab w:val="clear" w:pos="720"/>
          <w:tab w:val="left" w:pos="1080" w:leader="none"/>
        </w:tabs>
        <w:spacing w:lineRule="auto" w:line="240" w:before="0" w:after="0"/>
        <w:ind w:hanging="108" w:start="108" w:end="0"/>
        <w:jc w:val="both"/>
        <w:rPr>
          <w:rStyle w:val="None"/>
          <w:color w:val="000000"/>
          <w:sz w:val="8"/>
          <w:szCs w:val="8"/>
        </w:rPr>
      </w:pPr>
      <w:r>
        <w:rPr/>
      </w:r>
    </w:p>
    <w:p>
      <w:pPr>
        <w:pStyle w:val="BodyA"/>
        <w:pBdr/>
        <w:rPr>
          <w:rStyle w:val="None"/>
          <w:color w:val="000000"/>
          <w:sz w:val="8"/>
          <w:szCs w:val="8"/>
        </w:rPr>
      </w:pPr>
      <w:r>
        <w:rPr/>
      </w:r>
    </w:p>
    <w:tbl>
      <w:tblPr>
        <w:tblW w:w="14601" w:type="dxa"/>
        <w:jc w:val="start"/>
        <w:tblInd w:w="0" w:type="dxa"/>
        <w:tblLayout w:type="fixed"/>
        <w:tblCellMar>
          <w:top w:w="80" w:type="dxa"/>
          <w:start w:w="80" w:type="dxa"/>
          <w:bottom w:w="80" w:type="dxa"/>
          <w:end w:w="80" w:type="dxa"/>
        </w:tblCellMar>
      </w:tblPr>
      <w:tblGrid>
        <w:gridCol w:w="596"/>
        <w:gridCol w:w="4224"/>
        <w:gridCol w:w="2268"/>
        <w:gridCol w:w="7513"/>
      </w:tblGrid>
      <w:tr>
        <w:trPr>
          <w:trHeight w:val="990" w:hRule="atLeast"/>
        </w:trPr>
        <w:tc>
          <w:tcPr>
            <w:tcW w:w="596"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Ser</w:t>
            </w:r>
          </w:p>
        </w:tc>
        <w:tc>
          <w:tcPr>
            <w:tcW w:w="4224"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Injuries</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Minimum Suspension Period (No of days)</w:t>
            </w:r>
          </w:p>
        </w:tc>
        <w:tc>
          <w:tcPr>
            <w:tcW w:w="7513"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Notes</w:t>
            </w:r>
          </w:p>
        </w:tc>
      </w:tr>
      <w:tr>
        <w:trPr>
          <w:trHeight w:val="737" w:hRule="atLeast"/>
        </w:trPr>
        <w:tc>
          <w:tcPr>
            <w:tcW w:w="596"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8</w:t>
            </w:r>
          </w:p>
        </w:tc>
        <w:tc>
          <w:tcPr>
            <w:tcW w:w="4224"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Knock-Out due to body punch [‘KO(B)’].</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MO’s discretion</w:t>
            </w:r>
          </w:p>
        </w:tc>
        <w:tc>
          <w:tcPr>
            <w:tcW w:w="7513"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Note that delayed post bout examination may be required (30+ mins) to assess safely for any intra-abdominal injury.</w:t>
            </w:r>
          </w:p>
        </w:tc>
      </w:tr>
      <w:tr>
        <w:trPr>
          <w:trHeight w:val="737" w:hRule="atLeast"/>
        </w:trPr>
        <w:tc>
          <w:tcPr>
            <w:tcW w:w="596"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9</w:t>
            </w:r>
          </w:p>
        </w:tc>
        <w:tc>
          <w:tcPr>
            <w:tcW w:w="4224"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120" w:after="120"/>
              <w:rPr>
                <w:color w:val="000000"/>
              </w:rPr>
            </w:pPr>
            <w:r>
              <w:rPr>
                <w:rStyle w:val="None"/>
                <w:color w:val="000000"/>
                <w:spacing w:val="0"/>
                <w:sz w:val="20"/>
                <w:szCs w:val="20"/>
              </w:rPr>
              <w:t>Knock-Out due to head blow [‘KO(H)’] without actual loss of consciousness.</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30 days</w:t>
            </w:r>
          </w:p>
        </w:tc>
        <w:tc>
          <w:tcPr>
            <w:tcW w:w="7513"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 xml:space="preserve">Unable to beat a referee 8-second count after a blow to the head, but whilst might be dazed and disorientated, </w:t>
            </w:r>
            <w:r>
              <w:rPr>
                <w:rStyle w:val="None"/>
                <w:b/>
                <w:bCs/>
                <w:color w:val="000000"/>
                <w:spacing w:val="0"/>
                <w:sz w:val="20"/>
                <w:szCs w:val="20"/>
              </w:rPr>
              <w:t>not actually unconscious as such</w:t>
            </w:r>
            <w:r>
              <w:rPr>
                <w:rStyle w:val="None"/>
                <w:color w:val="000000"/>
                <w:spacing w:val="0"/>
                <w:sz w:val="20"/>
                <w:szCs w:val="20"/>
              </w:rPr>
              <w:t>.</w:t>
            </w:r>
          </w:p>
        </w:tc>
      </w:tr>
      <w:tr>
        <w:trPr>
          <w:trHeight w:val="495" w:hRule="atLeast"/>
        </w:trPr>
        <w:tc>
          <w:tcPr>
            <w:tcW w:w="596"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10</w:t>
            </w:r>
          </w:p>
        </w:tc>
        <w:tc>
          <w:tcPr>
            <w:tcW w:w="4224"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120" w:after="120"/>
              <w:rPr>
                <w:color w:val="000000"/>
              </w:rPr>
            </w:pPr>
            <w:r>
              <w:rPr>
                <w:rStyle w:val="None"/>
                <w:color w:val="000000"/>
                <w:spacing w:val="0"/>
                <w:sz w:val="20"/>
                <w:szCs w:val="20"/>
              </w:rPr>
              <w:t>Second KO(H) within 90 days of each other.</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3 months</w:t>
            </w:r>
          </w:p>
        </w:tc>
        <w:tc>
          <w:tcPr>
            <w:tcW w:w="7513" w:type="dxa"/>
            <w:vMerge w:val="restart"/>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Seek advice from sS SMO or UKAFBA SMO before signing fit at repeat medical.</w:t>
            </w:r>
          </w:p>
        </w:tc>
      </w:tr>
      <w:tr>
        <w:trPr>
          <w:trHeight w:val="495" w:hRule="atLeast"/>
        </w:trPr>
        <w:tc>
          <w:tcPr>
            <w:tcW w:w="596"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11</w:t>
            </w:r>
          </w:p>
        </w:tc>
        <w:tc>
          <w:tcPr>
            <w:tcW w:w="4224"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120" w:after="120"/>
              <w:rPr>
                <w:color w:val="000000"/>
              </w:rPr>
            </w:pPr>
            <w:r>
              <w:rPr>
                <w:rStyle w:val="None"/>
                <w:color w:val="000000"/>
                <w:spacing w:val="0"/>
                <w:sz w:val="20"/>
                <w:szCs w:val="20"/>
              </w:rPr>
              <w:t>Third KO(H) within 365 days of each other.</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1 year</w:t>
            </w:r>
          </w:p>
        </w:tc>
        <w:tc>
          <w:tcPr>
            <w:tcW w:w="75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0"/>
              <w:rPr>
                <w:color w:val="000000"/>
              </w:rPr>
            </w:pPr>
            <w:r>
              <w:rPr>
                <w:color w:val="000000"/>
              </w:rPr>
            </w:r>
          </w:p>
        </w:tc>
      </w:tr>
      <w:tr>
        <w:trPr>
          <w:trHeight w:val="737" w:hRule="atLeast"/>
        </w:trPr>
        <w:tc>
          <w:tcPr>
            <w:tcW w:w="596"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12</w:t>
            </w:r>
          </w:p>
        </w:tc>
        <w:tc>
          <w:tcPr>
            <w:tcW w:w="4224"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120" w:after="120"/>
              <w:rPr>
                <w:color w:val="000000"/>
              </w:rPr>
            </w:pPr>
            <w:r>
              <w:rPr>
                <w:rStyle w:val="None"/>
                <w:color w:val="000000"/>
                <w:spacing w:val="0"/>
                <w:sz w:val="20"/>
                <w:szCs w:val="20"/>
              </w:rPr>
              <w:t>KO(H) with Loss of Consciousness (LOC) for up to one minute.</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3 months</w:t>
            </w:r>
          </w:p>
        </w:tc>
        <w:tc>
          <w:tcPr>
            <w:tcW w:w="7513" w:type="dxa"/>
            <w:vMerge w:val="restart"/>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rPr>
                <w:color w:val="000000"/>
              </w:rPr>
            </w:pPr>
            <w:r>
              <w:rPr>
                <w:rStyle w:val="None"/>
                <w:color w:val="000000"/>
                <w:spacing w:val="0"/>
                <w:sz w:val="20"/>
                <w:szCs w:val="20"/>
              </w:rPr>
              <w:t xml:space="preserve">Transfer to hospital </w:t>
            </w:r>
            <w:r>
              <w:rPr>
                <w:rStyle w:val="None"/>
                <w:b/>
                <w:bCs/>
                <w:color w:val="000000"/>
                <w:spacing w:val="0"/>
                <w:sz w:val="20"/>
                <w:szCs w:val="20"/>
              </w:rPr>
              <w:t xml:space="preserve">mandatory iaw NICE Clinical Guideline 232 on head injury assessment and early management. </w:t>
            </w:r>
          </w:p>
        </w:tc>
      </w:tr>
      <w:tr>
        <w:trPr>
          <w:trHeight w:val="485" w:hRule="atLeast"/>
        </w:trPr>
        <w:tc>
          <w:tcPr>
            <w:tcW w:w="596"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13</w:t>
            </w:r>
          </w:p>
        </w:tc>
        <w:tc>
          <w:tcPr>
            <w:tcW w:w="4224"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120" w:after="120"/>
              <w:rPr>
                <w:color w:val="000000"/>
              </w:rPr>
            </w:pPr>
            <w:r>
              <w:rPr>
                <w:rStyle w:val="None"/>
                <w:color w:val="000000"/>
                <w:spacing w:val="0"/>
                <w:sz w:val="20"/>
                <w:szCs w:val="20"/>
              </w:rPr>
              <w:t>KO(H) with LOC over one minute.</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6 months</w:t>
            </w:r>
          </w:p>
        </w:tc>
        <w:tc>
          <w:tcPr>
            <w:tcW w:w="75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0"/>
              <w:rPr>
                <w:color w:val="000000"/>
              </w:rPr>
            </w:pPr>
            <w:r>
              <w:rPr>
                <w:color w:val="000000"/>
              </w:rPr>
            </w:r>
          </w:p>
        </w:tc>
      </w:tr>
      <w:tr>
        <w:trPr>
          <w:trHeight w:val="990" w:hRule="atLeast"/>
        </w:trPr>
        <w:tc>
          <w:tcPr>
            <w:tcW w:w="596"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14</w:t>
            </w:r>
          </w:p>
        </w:tc>
        <w:tc>
          <w:tcPr>
            <w:tcW w:w="4224"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120" w:after="120"/>
              <w:rPr>
                <w:color w:val="000000"/>
              </w:rPr>
            </w:pPr>
            <w:r>
              <w:rPr>
                <w:rStyle w:val="None"/>
                <w:color w:val="000000"/>
                <w:spacing w:val="0"/>
                <w:sz w:val="20"/>
                <w:szCs w:val="20"/>
              </w:rPr>
              <w:t>Second LOC within 90 days after end of suspension for LOC at sers 12 and 13 above.</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Double previous suspension period</w:t>
            </w:r>
          </w:p>
        </w:tc>
        <w:tc>
          <w:tcPr>
            <w:tcW w:w="75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0"/>
              <w:rPr>
                <w:color w:val="000000"/>
              </w:rPr>
            </w:pPr>
            <w:r>
              <w:rPr>
                <w:color w:val="000000"/>
              </w:rPr>
            </w:r>
          </w:p>
        </w:tc>
      </w:tr>
      <w:tr>
        <w:trPr>
          <w:trHeight w:val="485" w:hRule="atLeast"/>
        </w:trPr>
        <w:tc>
          <w:tcPr>
            <w:tcW w:w="596"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b/>
                <w:bCs/>
                <w:color w:val="000000"/>
                <w:spacing w:val="0"/>
                <w:sz w:val="20"/>
                <w:szCs w:val="20"/>
              </w:rPr>
              <w:t>15</w:t>
            </w:r>
          </w:p>
        </w:tc>
        <w:tc>
          <w:tcPr>
            <w:tcW w:w="4224"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120" w:after="120"/>
              <w:rPr>
                <w:color w:val="000000"/>
              </w:rPr>
            </w:pPr>
            <w:r>
              <w:rPr>
                <w:rStyle w:val="None"/>
                <w:color w:val="000000"/>
                <w:spacing w:val="0"/>
                <w:sz w:val="20"/>
                <w:szCs w:val="20"/>
              </w:rPr>
              <w:t>Third LOC within 365 days.</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A"/>
              <w:pBdr/>
              <w:tabs>
                <w:tab w:val="clear" w:pos="720"/>
                <w:tab w:val="left" w:pos="1080" w:leader="none"/>
              </w:tabs>
              <w:spacing w:before="0" w:after="0"/>
              <w:jc w:val="center"/>
              <w:rPr>
                <w:color w:val="000000"/>
              </w:rPr>
            </w:pPr>
            <w:r>
              <w:rPr>
                <w:rStyle w:val="None"/>
                <w:color w:val="000000"/>
                <w:spacing w:val="0"/>
                <w:sz w:val="20"/>
                <w:szCs w:val="20"/>
              </w:rPr>
              <w:t>1 year</w:t>
            </w:r>
          </w:p>
        </w:tc>
        <w:tc>
          <w:tcPr>
            <w:tcW w:w="75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200"/>
              <w:rPr>
                <w:color w:val="000000"/>
              </w:rPr>
            </w:pPr>
            <w:r>
              <w:rPr>
                <w:color w:val="000000"/>
              </w:rPr>
            </w:r>
          </w:p>
        </w:tc>
      </w:tr>
    </w:tbl>
    <w:p>
      <w:pPr>
        <w:pStyle w:val="Normal"/>
        <w:spacing w:before="0" w:after="200"/>
        <w:rPr/>
      </w:pPr>
      <w:r>
        <w:rPr/>
      </w:r>
    </w:p>
    <w:sectPr>
      <w:footerReference w:type="default" r:id="rId2"/>
      <w:type w:val="nextPage"/>
      <w:pgSz w:orient="landscape" w:w="15840" w:h="12240"/>
      <w:pgMar w:left="720" w:right="720" w:gutter="0" w:header="0" w:top="720" w:footer="720" w:bottom="776"/>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 w:name="Helvetica Neue">
    <w:altName w:val="Arial"/>
    <w:charset w:val="00" w:characterSet="windows-1252"/>
    <w:family w:val="swiss"/>
    <w:pitch w:val="default"/>
  </w:font>
  <w:font w:name="Arial Unicode MS">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rFonts w:ascii="Arial" w:hAnsi="Arial" w:cs="Arial"/>
        <w:b/>
        <w:bCs/>
        <w:sz w:val="24"/>
        <w:szCs w:val="24"/>
      </w:rPr>
    </w:pPr>
    <w:r>
      <w:rPr>
        <w:rStyle w:val="None"/>
        <w:rFonts w:cs="Arial" w:ascii="Arial" w:hAnsi="Arial"/>
        <w:sz w:val="24"/>
        <w:szCs w:val="24"/>
      </w:rPr>
      <w:t>JSP 950 Pt 1 Lft 2-1-1 (v5.0 Feb 24)</w:t>
    </w:r>
  </w:p>
  <w:p>
    <w:pPr>
      <w:pStyle w:val="Footer"/>
      <w:tabs>
        <w:tab w:val="center" w:pos="4513" w:leader="none"/>
        <w:tab w:val="left" w:pos="7442" w:leader="none"/>
        <w:tab w:val="right" w:pos="9026" w:leader="none"/>
        <w:tab w:val="right" w:pos="9612" w:leader="none"/>
      </w:tabs>
      <w:spacing w:lineRule="auto" w:line="240" w:before="0" w:after="0"/>
      <w:jc w:val="end"/>
      <w:rPr/>
    </w:pPr>
    <w:r>
      <w:rPr/>
      <w:tab/>
      <w:tab/>
      <w:tab/>
      <w:t>Page F-</w:t>
    </w:r>
    <w:r>
      <w:rPr>
        <w:b/>
        <w:bCs/>
      </w:rPr>
      <w:fldChar w:fldCharType="begin"/>
    </w:r>
    <w:r>
      <w:rPr>
        <w:b/>
        <w:bCs/>
      </w:rPr>
      <w:instrText xml:space="preserve"> PAGE </w:instrText>
    </w:r>
    <w:r>
      <w:rPr>
        <w:b/>
        <w:bCs/>
      </w:rPr>
      <w:fldChar w:fldCharType="separate"/>
    </w:r>
    <w:r>
      <w:rPr>
        <w:b/>
        <w:bCs/>
      </w:rPr>
      <w:t>3</w:t>
    </w:r>
    <w:r>
      <w:rPr>
        <w:b/>
        <w:bCs/>
      </w:rPr>
      <w:fldChar w:fldCharType="end"/>
    </w:r>
    <w:r>
      <w:rPr/>
      <w:t xml:space="preserve"> of </w:t>
    </w:r>
    <w:r>
      <w:rPr>
        <w:b/>
        <w:bCs/>
      </w:rPr>
      <w:t>3</w:t>
    </w:r>
  </w:p>
</w:ftr>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Annex F_Ringside Injuries Suspension Periods.dot"/>
    <w:docVar w:name="PCS_HANDLE" w:val="262262"/>
    <w:docVar w:name="PCS_MSG" w:val="4953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DefaultParagraphFont">
    <w:name w:val="Default Paragraph Font"/>
    <w:qFormat/>
    <w:rPr/>
  </w:style>
  <w:style w:type="character" w:styleId="HeaderChar">
    <w:name w:val="Header Char"/>
    <w:qFormat/>
    <w:rPr>
      <w:sz w:val="22"/>
      <w:szCs w:val="22"/>
    </w:rPr>
  </w:style>
  <w:style w:type="character" w:styleId="FooterChar">
    <w:name w:val="Footer Char"/>
    <w:qFormat/>
    <w:rPr>
      <w:sz w:val="22"/>
      <w:szCs w:val="22"/>
    </w:rPr>
  </w:style>
  <w:style w:type="character" w:styleId="BalloonTextChar">
    <w:name w:val="Balloon Text Char"/>
    <w:qFormat/>
    <w:rPr>
      <w:rFonts w:ascii="Tahoma" w:hAnsi="Tahoma" w:cs="Tahoma"/>
      <w:sz w:val="16"/>
      <w:szCs w:val="16"/>
    </w:rPr>
  </w:style>
  <w:style w:type="character" w:styleId="None">
    <w:name w:val="None"/>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BodyA">
    <w:name w:val="Body A"/>
    <w:qFormat/>
    <w:pPr>
      <w:widowControl/>
      <w:pBdr/>
      <w:bidi w:val="0"/>
      <w:spacing w:lineRule="auto" w:line="276" w:before="0" w:after="200"/>
    </w:pPr>
    <w:rPr>
      <w:rFonts w:ascii="Arial" w:hAnsi="Arial" w:eastAsia="Arial Unicode MS" w:cs="Arial Unicode MS"/>
      <w:color w:val="000000"/>
      <w:spacing w:val="-1"/>
      <w:sz w:val="24"/>
      <w:szCs w:val="24"/>
      <w:lang w:val="en-US" w:bidi="ar-SA" w:eastAsia="zh-CN"/>
    </w:rPr>
  </w:style>
  <w:style w:type="paragraph" w:styleId="BodyAA">
    <w:name w:val="Body A A"/>
    <w:qFormat/>
    <w:pPr>
      <w:widowControl/>
      <w:pBdr/>
      <w:bidi w:val="0"/>
      <w:spacing w:lineRule="auto" w:line="276" w:before="0" w:after="200"/>
    </w:pPr>
    <w:rPr>
      <w:rFonts w:ascii="Helvetica Neue;Arial" w:hAnsi="Helvetica Neue;Arial" w:eastAsia="Times New Roman" w:cs="Helvetica Neue;Arial"/>
      <w:color w:val="000000"/>
      <w:sz w:val="22"/>
      <w:szCs w:val="22"/>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Annex F_Ringside Injuries Suspension Periods.dot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2021-01-20T14:06:00Z</dcterms:created>
  <dc:creator>Conway,Sarah Major</dc:creator>
  <dc:description/>
  <cp:keywords/>
  <dc:language>en-GB</dc:language>
  <cp:lastModifiedBy>Johnstone, Thomas Maj</cp:lastModifiedBy>
  <dcterms:modified xsi:type="dcterms:W3CDTF">2024-02-27T19:13:00Z</dcterms:modified>
  <cp:revision>2</cp:revision>
  <dc:subject/>
  <dc:title/>
</cp:coreProperties>
</file>