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rPr>
          <w:rFonts w:cs="Times New Roman"/>
          <w:color w:val="000000"/>
        </w:rPr>
      </w:pPr>
      <w:r>
        <w:rPr/>
        <w:drawing>
          <wp:inline distT="0" distB="0" distL="0" distR="0">
            <wp:extent cx="6611620" cy="93567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20" cy="935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Frutiger 45 Light;Frutiger 45 Light"/>
          <w:color w:val="00A94E"/>
          <w:sz w:val="40"/>
          <w:szCs w:val="40"/>
        </w:rPr>
        <w:t xml:space="preserve"> </w:t>
      </w:r>
    </w:p>
    <w:p>
      <w:pPr>
        <w:pStyle w:val="CM1"/>
        <w:jc w:val="center"/>
        <w:rPr>
          <w:rFonts w:ascii="Frutiger CE;Frutiger CE" w:hAnsi="Frutiger CE;Frutiger CE" w:eastAsia="Myriad Pro;MS Gothic" w:cs="Frutiger CE;Frutiger CE"/>
          <w:color w:val="79C141"/>
          <w:sz w:val="18"/>
          <w:szCs w:val="18"/>
        </w:rPr>
      </w:pPr>
      <w:r>
        <w:rPr>
          <w:color w:val="79C141"/>
          <w:sz w:val="63"/>
          <w:szCs w:val="63"/>
        </w:rPr>
        <w:br/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900" w:right="900" w:gutter="0" w:header="720" w:top="900" w:footer="720" w:bottom="776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Default"/>
        <w:rPr>
          <w:rFonts w:ascii="Frutiger CE;Frutiger CE" w:hAnsi="Frutiger CE;Frutiger CE" w:eastAsia="Myriad Pro;MS Gothic" w:cs="Times New Roman"/>
          <w:color w:val="000000"/>
          <w:sz w:val="18"/>
          <w:szCs w:val="18"/>
        </w:rPr>
      </w:pPr>
      <w:r>
        <w:rPr>
          <w:rFonts w:eastAsia="Myriad Pro;MS Gothic" w:cs="Times New Roman" w:ascii="Frutiger CE;Frutiger CE" w:hAnsi="Frutiger CE;Frutiger CE"/>
          <w:color w:val="000000"/>
          <w:sz w:val="18"/>
          <w:szCs w:val="18"/>
        </w:rPr>
      </w:r>
    </w:p>
    <w:p>
      <w:pPr>
        <w:pStyle w:val="CM1"/>
        <w:spacing w:before="0" w:after="1030"/>
        <w:jc w:val="center"/>
        <w:rPr>
          <w:color w:val="79C141"/>
          <w:sz w:val="72"/>
          <w:szCs w:val="72"/>
        </w:rPr>
      </w:pPr>
      <w:r>
        <w:rPr>
          <w:color w:val="79C141"/>
          <w:sz w:val="72"/>
          <w:szCs w:val="72"/>
        </w:rPr>
        <w:t>HPV Triage and Management</w:t>
        <w:br/>
      </w:r>
    </w:p>
    <w:p>
      <w:pPr>
        <w:pStyle w:val="Default"/>
        <w:spacing w:before="0" w:after="7740"/>
        <w:jc w:val="center"/>
        <w:rPr/>
      </w:pPr>
      <w:r>
        <w:rPr/>
        <w:drawing>
          <wp:inline distT="0" distB="0" distL="0" distR="0">
            <wp:extent cx="6121400" cy="27813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13" r="-6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left="900" w:right="900" w:gutter="0" w:header="720" w:top="900" w:footer="720" w:bottom="77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utiger 45 Light">
    <w:charset w:val="00" w:characterSet="windows-1252"/>
    <w:family w:val="swiss"/>
    <w:pitch w:val="default"/>
  </w:font>
  <w:font w:name="Frutiger CE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HPV Triage and Management                             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2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                                                      June 2012</w:t>
    </w:r>
  </w:p>
  <w:p>
    <w:pPr>
      <w:pStyle w:val="Footer"/>
      <w:rPr/>
    </w:pPr>
    <w:r>
      <w:rPr>
        <w:rFonts w:cs="Arial" w:ascii="Arial" w:hAnsi="Arial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fullPage" w:percent="2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Frutiger 45 Light;Frutiger 45 Light" w:hAnsi="Frutiger 45 Light;Frutiger 45 Light" w:eastAsia="Times New Roman" w:cs="Frutiger 45 Light;Frutiger 45 Light"/>
      <w:color w:val="000000"/>
      <w:sz w:val="24"/>
      <w:szCs w:val="24"/>
      <w:lang w:val="en-GB" w:bidi="ar-SA" w:eastAsia="zh-CN"/>
    </w:rPr>
  </w:style>
  <w:style w:type="paragraph" w:styleId="CM1">
    <w:name w:val="CM1"/>
    <w:basedOn w:val="Default"/>
    <w:next w:val="Default"/>
    <w:qFormat/>
    <w:pPr/>
    <w:rPr>
      <w:rFonts w:cs="Times New Roman"/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2012-06-29T17:23:00Z</dcterms:created>
  <dc:creator>johnstonet191</dc:creator>
  <dc:description/>
  <cp:keywords/>
  <dc:language>en-GB</dc:language>
  <cp:lastModifiedBy>johnstonet191</cp:lastModifiedBy>
  <dcterms:modified xsi:type="dcterms:W3CDTF">2012-06-29T17:23:00Z</dcterms:modified>
  <cp:revision>2</cp:revision>
  <dc:subject/>
  <dc:title> NHS Cervical Screening Programme </dc:title>
</cp:coreProperties>
</file>