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5"/>
        <w:ind w:hanging="0" w:start="0"/>
        <w:rPr>
          <w:rFonts w:ascii="Arial" w:hAnsi="Arial" w:cs="Arial"/>
          <w:b/>
          <w:bCs/>
          <w:sz w:val="22"/>
          <w:szCs w:val="22"/>
          <w:u w:val="none"/>
        </w:rPr>
      </w:pPr>
      <w:r>
        <w:rPr>
          <w:rFonts w:cs="Arial" w:ascii="Arial" w:hAnsi="Arial"/>
          <w:b/>
          <w:bCs/>
          <w:sz w:val="22"/>
          <w:szCs w:val="22"/>
          <w:u w:val="none"/>
        </w:rPr>
        <w:t>AUTOPOPULATED ANTIMALARIAL QUESTIONNAIRE</w:t>
      </w:r>
    </w:p>
    <w:p>
      <w:pPr>
        <w:pStyle w:val="Normal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BodyText"/>
        <w:rPr>
          <w:rFonts w:ascii="Arial" w:hAnsi="Arial" w:cs="Arial"/>
          <w:b/>
          <w:sz w:val="22"/>
          <w:szCs w:val="22"/>
        </w:rPr>
      </w:pP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22"/>
          <w:b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szCs w:val="22"/>
        </w:rPr>
      </w:r>
      <w:r>
        <w:rPr>
          <w:sz w:val="22"/>
          <w:b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szCs w:val="22"/>
        </w:rPr>
        <w:t>Service Number</w:t>
      </w:r>
      <w:r>
        <w:rPr>
          <w:rFonts w:cs="Arial" w:ascii="Arial" w:hAnsi="Arial"/>
          <w:b/>
          <w:sz w:val="22"/>
          <w:szCs w:val="22"/>
        </w:rPr>
      </w:r>
      <w:r>
        <w:rPr>
          <w:sz w:val="22"/>
          <w:b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szCs w:val="22"/>
        </w:rPr>
        <w:t xml:space="preserve">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b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szCs w:val="22"/>
        </w:rPr>
      </w:r>
      <w:r>
        <w:rPr>
          <w:sz w:val="22"/>
          <w:b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szCs w:val="22"/>
        </w:rPr>
        <w:t>Rank/Title</w:t>
      </w:r>
      <w:r>
        <w:rPr>
          <w:rFonts w:cs="Arial" w:ascii="Arial" w:hAnsi="Arial"/>
          <w:b/>
          <w:sz w:val="22"/>
          <w:szCs w:val="22"/>
        </w:rPr>
      </w:r>
      <w:r>
        <w:rPr>
          <w:sz w:val="22"/>
          <w:b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szCs w:val="22"/>
        </w:rPr>
        <w:t xml:space="preserve"> </w:t>
      </w:r>
      <w:r>
        <w:fldChar w:fldCharType="begin">
          <w:ffData>
            <w:name w:val="Name_1"/>
            <w:enabled/>
            <w:calcOnExit w:val="0"/>
            <w:textInput/>
          </w:ffData>
        </w:fldChar>
      </w:r>
      <w:r>
        <w:rPr>
          <w:sz w:val="22"/>
          <w:b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szCs w:val="22"/>
        </w:rPr>
      </w:r>
      <w:r>
        <w:rPr>
          <w:sz w:val="22"/>
          <w:b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szCs w:val="22"/>
        </w:rPr>
        <w:t>Name</w:t>
      </w:r>
      <w:r/>
      <w:r>
        <w:rPr>
          <w:sz w:val="22"/>
          <w:b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szCs w:val="22"/>
        </w:rPr>
      </w:r>
    </w:p>
    <w:p>
      <w:pPr>
        <w:pStyle w:val="BodyText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BodyTex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Unit: </w:t>
      </w:r>
      <w:r>
        <w:fldChar w:fldCharType="begin">
          <w:ffData>
            <w:name w:val="Sub_Unit_1"/>
            <w:enabled/>
            <w:calcOnExit w:val="0"/>
            <w:textInput/>
          </w:ffData>
        </w:fldChar>
      </w:r>
      <w:r>
        <w:rPr>
          <w:sz w:val="22"/>
          <w:b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szCs w:val="22"/>
        </w:rPr>
      </w:r>
      <w:r>
        <w:rPr>
          <w:sz w:val="22"/>
          <w:b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szCs w:val="22"/>
        </w:rPr>
        <w:t>Organisation Name</w:t>
      </w:r>
      <w:r/>
      <w:r>
        <w:rPr>
          <w:sz w:val="22"/>
          <w:b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szCs w:val="22"/>
        </w:rPr>
      </w:r>
    </w:p>
    <w:p>
      <w:pPr>
        <w:pStyle w:val="BodyTex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BodyTex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Mobile number: </w:t>
      </w:r>
      <w:r>
        <w:fldChar w:fldCharType="begin">
          <w:ffData>
            <w:name w:val="Mobile_Telephone_1"/>
            <w:enabled/>
            <w:calcOnExit w:val="0"/>
            <w:textInput/>
          </w:ffData>
        </w:fldChar>
      </w:r>
      <w:r>
        <w:rPr>
          <w:sz w:val="22"/>
          <w:b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szCs w:val="22"/>
        </w:rPr>
      </w:r>
      <w:r>
        <w:rPr>
          <w:sz w:val="22"/>
          <w:b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szCs w:val="22"/>
        </w:rPr>
        <w:t>Mobile Telephone</w:t>
      </w:r>
      <w:r/>
      <w:r>
        <w:rPr>
          <w:sz w:val="22"/>
          <w:b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szCs w:val="22"/>
        </w:rPr>
      </w:r>
    </w:p>
    <w:p>
      <w:pPr>
        <w:pStyle w:val="BodyTex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BodyTex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Antimalarial Contraindication Template completed on: </w:t>
      </w:r>
      <w:r>
        <w:fldChar w:fldCharType="begin">
          <w:ffData>
            <w:name w:val="Read_Code_F_1"/>
            <w:enabled/>
            <w:calcOnExit w:val="0"/>
            <w:textInput/>
          </w:ffData>
        </w:fldChar>
      </w:r>
      <w:r>
        <w:rPr>
          <w:sz w:val="22"/>
          <w:b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szCs w:val="22"/>
        </w:rPr>
      </w:r>
      <w:r>
        <w:rPr>
          <w:sz w:val="22"/>
          <w:b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szCs w:val="22"/>
        </w:rPr>
        <w:t>Read Code Fields - PCS15089MA1</w:t>
      </w:r>
      <w:r>
        <w:rPr>
          <w:rFonts w:cs="Arial" w:ascii="Arial" w:hAnsi="Arial"/>
          <w:b/>
          <w:sz w:val="22"/>
          <w:szCs w:val="22"/>
        </w:rPr>
      </w:r>
      <w:r>
        <w:rPr>
          <w:sz w:val="22"/>
          <w:b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BodyTex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BodyTex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This proforma was generated on: </w:t>
      </w: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/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</w:r>
    </w:p>
    <w:p>
      <w:pPr>
        <w:pStyle w:val="BodyTex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109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585"/>
        <w:gridCol w:w="4586"/>
      </w:tblGrid>
      <w:tr>
        <w:trPr/>
        <w:tc>
          <w:tcPr>
            <w:tcW w:w="817" w:type="dxa"/>
            <w:vMerge w:val="restart"/>
            <w:tcBorders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585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Questions</w:t>
            </w:r>
          </w:p>
        </w:tc>
        <w:tc>
          <w:tcPr>
            <w:tcW w:w="4586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>
                <w:rFonts w:ascii="Arial" w:hAnsi="Arial" w:cs="Arial"/>
                <w:i/>
                <w:i/>
                <w:szCs w:val="22"/>
              </w:rPr>
            </w:pPr>
            <w:r>
              <w:rPr>
                <w:rFonts w:cs="Arial" w:ascii="Arial" w:hAnsi="Arial"/>
                <w:i/>
                <w:szCs w:val="22"/>
              </w:rPr>
              <w:t>Normal responses are shaded in grey.</w:t>
            </w:r>
          </w:p>
        </w:tc>
      </w:tr>
      <w:tr>
        <w:trPr/>
        <w:tc>
          <w:tcPr>
            <w:tcW w:w="817" w:type="dxa"/>
            <w:vMerge w:val="continue"/>
            <w:tcBorders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/>
                <w:i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i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  <w:i/>
                <w:i/>
                <w:szCs w:val="22"/>
              </w:rPr>
            </w:pPr>
            <w:r>
              <w:rPr>
                <w:rFonts w:cs="Arial" w:ascii="Arial" w:hAnsi="Arial"/>
                <w:i/>
                <w:szCs w:val="22"/>
              </w:rPr>
              <w:t>Responses which may indicate a contraindication are unshaded, with the corresponding date.</w:t>
            </w:r>
          </w:p>
        </w:tc>
      </w:tr>
      <w:tr>
        <w:trPr/>
        <w:tc>
          <w:tcPr>
            <w:tcW w:w="817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ind w:start="113" w:end="113"/>
              <w:jc w:val="end"/>
              <w:rPr/>
            </w:pPr>
            <w:r>
              <w:rPr>
                <w:rFonts w:cs="Arial" w:ascii="Arial" w:hAnsi="Arial"/>
                <w:sz w:val="22"/>
                <w:szCs w:val="22"/>
              </w:rPr>
              <w:t xml:space="preserve">Applicable to </w:t>
            </w:r>
            <w:r>
              <w:rPr>
                <w:rFonts w:cs="Arial" w:ascii="Arial" w:hAnsi="Arial"/>
                <w:b/>
                <w:sz w:val="22"/>
                <w:szCs w:val="22"/>
              </w:rPr>
              <w:t>ALL</w:t>
            </w:r>
            <w:r>
              <w:rPr>
                <w:rFonts w:cs="Arial" w:ascii="Arial" w:hAnsi="Arial"/>
                <w:sz w:val="22"/>
                <w:szCs w:val="22"/>
              </w:rPr>
              <w:t xml:space="preserve"> antimalarials</w:t>
            </w:r>
          </w:p>
        </w:tc>
        <w:tc>
          <w:tcPr>
            <w:tcW w:w="5585" w:type="dxa"/>
            <w:vMerge w:val="restart"/>
            <w:tcBorders>
              <w:top w:val="single" w:sz="18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malaria?</w:t>
            </w:r>
          </w:p>
        </w:tc>
        <w:tc>
          <w:tcPr>
            <w:tcW w:w="4586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>
                <w:rFonts w:ascii="Arial" w:hAnsi="Arial" w:cs="Arial"/>
                <w:color w:val="808080"/>
                <w:szCs w:val="22"/>
              </w:rPr>
            </w:pPr>
            <w:r>
              <w:fldChar w:fldCharType="begin">
                <w:ffData>
                  <w:name w:val="Read_Code_F_4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  <w:szCs w:val="22"/>
              </w:rPr>
            </w:r>
            <w:r>
              <w:rPr>
                <w:szCs w:val="22"/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  <w:szCs w:val="22"/>
              </w:rPr>
              <w:t>Read Code Fields - NEGATION-1413</w:t>
            </w:r>
            <w:r>
              <w:rPr>
                <w:rFonts w:cs="Arial" w:ascii="Arial" w:hAnsi="Arial"/>
                <w:color w:val="808080"/>
                <w:szCs w:val="22"/>
              </w:rPr>
            </w:r>
            <w:r>
              <w:rPr>
                <w:szCs w:val="22"/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  <w:szCs w:val="22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8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  <w:szCs w:val="22"/>
              </w:rPr>
            </w:pPr>
            <w:r>
              <w:fldChar w:fldCharType="begin">
                <w:ffData>
                  <w:name w:val="Read_Code_F_2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Cs w:val="22"/>
              </w:rPr>
            </w:r>
            <w:r>
              <w:rPr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Cs w:val="22"/>
              </w:rPr>
              <w:t>Read Code Fields - 1413</w:t>
            </w:r>
            <w:r>
              <w:rPr>
                <w:rFonts w:cs="Arial" w:ascii="Arial" w:hAnsi="Arial"/>
                <w:szCs w:val="22"/>
              </w:rPr>
            </w:r>
            <w:r>
              <w:rPr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Cs w:val="22"/>
              </w:rPr>
              <w:t xml:space="preserve"> (</w:t>
            </w:r>
            <w:r>
              <w:fldChar w:fldCharType="begin">
                <w:ffData>
                  <w:name w:val="Read_Code_F_3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Cs w:val="22"/>
              </w:rPr>
            </w:r>
            <w:r>
              <w:rPr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Cs w:val="22"/>
              </w:rPr>
              <w:t>Read Code Fields - 1413</w:t>
            </w:r>
            <w:r>
              <w:rPr>
                <w:rFonts w:cs="Arial" w:ascii="Arial" w:hAnsi="Arial"/>
                <w:szCs w:val="22"/>
              </w:rPr>
            </w:r>
            <w:r>
              <w:rPr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Cs w:val="22"/>
              </w:rPr>
              <w:t xml:space="preserve">)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any problems with your kidneys?</w:t>
            </w:r>
          </w:p>
        </w:tc>
        <w:tc>
          <w:tcPr>
            <w:tcW w:w="45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>
                <w:rFonts w:ascii="Arial" w:hAnsi="Arial" w:cs="Arial"/>
                <w:color w:val="808080"/>
                <w:szCs w:val="22"/>
              </w:rPr>
            </w:pPr>
            <w:r>
              <w:fldChar w:fldCharType="begin">
                <w:ffData>
                  <w:name w:val="Read_Code_F_5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  <w:szCs w:val="22"/>
              </w:rPr>
            </w:r>
            <w:r>
              <w:rPr>
                <w:szCs w:val="22"/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  <w:szCs w:val="22"/>
              </w:rPr>
              <w:t>Read Code Fields - NEGATION-14D-2</w:t>
            </w:r>
            <w:r>
              <w:rPr>
                <w:rFonts w:cs="Arial" w:ascii="Arial" w:hAnsi="Arial"/>
                <w:color w:val="808080"/>
                <w:szCs w:val="22"/>
              </w:rPr>
            </w:r>
            <w:r>
              <w:rPr>
                <w:szCs w:val="22"/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  <w:szCs w:val="22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  <w:szCs w:val="22"/>
              </w:rPr>
            </w:pPr>
            <w:r>
              <w:fldChar w:fldCharType="begin">
                <w:ffData>
                  <w:name w:val="Read_Code_F_6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Cs w:val="22"/>
              </w:rPr>
            </w:r>
            <w:r>
              <w:rPr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Cs w:val="22"/>
              </w:rPr>
              <w:t>Read Code Fields - 14D-2</w:t>
            </w:r>
            <w:r>
              <w:rPr>
                <w:rFonts w:cs="Arial" w:ascii="Arial" w:hAnsi="Arial"/>
                <w:szCs w:val="22"/>
              </w:rPr>
            </w:r>
            <w:r>
              <w:rPr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Cs w:val="22"/>
              </w:rPr>
              <w:t xml:space="preserve"> (</w:t>
            </w:r>
            <w:r>
              <w:fldChar w:fldCharType="begin">
                <w:ffData>
                  <w:name w:val="Read_Code_F_7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Cs w:val="22"/>
              </w:rPr>
            </w:r>
            <w:r>
              <w:rPr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Cs w:val="22"/>
              </w:rPr>
              <w:t>Read Code Fields - 14D-2</w:t>
            </w:r>
            <w:r>
              <w:rPr>
                <w:rFonts w:cs="Arial" w:ascii="Arial" w:hAnsi="Arial"/>
                <w:szCs w:val="22"/>
              </w:rPr>
            </w:r>
            <w:r>
              <w:rPr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Cs w:val="22"/>
              </w:rPr>
              <w:t xml:space="preserve">) 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had your spleen removed?</w:t>
            </w:r>
          </w:p>
        </w:tc>
        <w:tc>
          <w:tcPr>
            <w:tcW w:w="45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fldChar w:fldCharType="begin">
                <w:ffData>
                  <w:name w:val="Read_Code_F_8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NEGATION-7840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9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- 7840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10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- 7840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>)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any heart problems?</w:t>
            </w:r>
          </w:p>
        </w:tc>
        <w:tc>
          <w:tcPr>
            <w:tcW w:w="45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fldChar w:fldCharType="begin">
                <w:ffData>
                  <w:name w:val="Read_Code_F_1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NEGATION-14A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1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- 14A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1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- 14A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any liver problems?</w:t>
            </w:r>
          </w:p>
        </w:tc>
        <w:tc>
          <w:tcPr>
            <w:tcW w:w="45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fldChar w:fldCharType="begin">
                <w:ffData>
                  <w:name w:val="Read_Code_F_80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NEGATION-14C5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79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- 14C5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allergic to quinine?</w:t>
            </w:r>
          </w:p>
        </w:tc>
        <w:tc>
          <w:tcPr>
            <w:tcW w:w="45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fldChar w:fldCharType="begin">
                <w:ffData>
                  <w:name w:val="Read_Code_F_17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NEGATION-TJ144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18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TJ144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19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TJ144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</w:tc>
      </w:tr>
      <w:tr>
        <w:trPr/>
        <w:tc>
          <w:tcPr>
            <w:tcW w:w="817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ind w:start="113" w:end="113"/>
              <w:jc w:val="end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Doxycycline</w:t>
            </w:r>
          </w:p>
        </w:tc>
        <w:tc>
          <w:tcPr>
            <w:tcW w:w="5585" w:type="dxa"/>
            <w:vMerge w:val="restart"/>
            <w:tcBorders>
              <w:top w:val="single" w:sz="18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a rash caused by sunlight?</w:t>
            </w:r>
          </w:p>
        </w:tc>
        <w:tc>
          <w:tcPr>
            <w:tcW w:w="4586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0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NEGATION-M1274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8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M1274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2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M1274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Do you suffer from intestinal disaccharidase deficiency or fructose intolerance? </w:t>
            </w:r>
          </w:p>
        </w:tc>
        <w:tc>
          <w:tcPr>
            <w:tcW w:w="45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PCS15089TH16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PCS15089TH15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2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PCS15089TH15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allergic to doxycycline?</w:t>
            </w:r>
          </w:p>
        </w:tc>
        <w:tc>
          <w:tcPr>
            <w:tcW w:w="45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6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PCS15089TH18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27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PCS15089TH17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28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PCS15089TH17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tcBorders>
              <w:top w:val="single" w:sz="12" w:space="0" w:color="000000"/>
              <w:start w:val="single" w:sz="12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Review the medication fields below for the following:</w:t>
            </w:r>
          </w:p>
        </w:tc>
        <w:tc>
          <w:tcPr>
            <w:tcW w:w="4586" w:type="dxa"/>
            <w:tcBorders>
              <w:top w:val="single" w:sz="12" w:space="0" w:color="000000"/>
              <w:start w:val="single" w:sz="6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Antacids, dietary supplements (zinc, magnesium or calcium), tetracyclines, rifabutin, rifampicin, fluvoxamine, warfarin or </w:t>
            </w:r>
            <w:r>
              <w:rPr>
                <w:rFonts w:cs="Arial" w:ascii="Arial" w:hAnsi="Arial"/>
                <w:szCs w:val="22"/>
              </w:rPr>
              <w:t>pyrimethamine.</w:t>
            </w:r>
          </w:p>
        </w:tc>
      </w:tr>
      <w:tr>
        <w:trPr/>
        <w:tc>
          <w:tcPr>
            <w:tcW w:w="817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ind w:start="113" w:end="113"/>
              <w:jc w:val="end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Chloroquine, Proguanil and Atovaquone</w:t>
            </w:r>
          </w:p>
        </w:tc>
        <w:tc>
          <w:tcPr>
            <w:tcW w:w="5585" w:type="dxa"/>
            <w:vMerge w:val="restart"/>
            <w:tcBorders>
              <w:top w:val="single" w:sz="18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Do you have Glucose 6 Phosphate Dehydrogenase (G6PD) deficiency?</w:t>
            </w:r>
          </w:p>
        </w:tc>
        <w:tc>
          <w:tcPr>
            <w:tcW w:w="4586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9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NEGATION-C310-2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8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30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C310-2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3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C310-2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psoriasis?</w:t>
            </w:r>
          </w:p>
        </w:tc>
        <w:tc>
          <w:tcPr>
            <w:tcW w:w="45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NEGATION-14F2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3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- 14F2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3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- 14F2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a convulsion, fit, seizure or epilepsy?</w:t>
            </w:r>
          </w:p>
        </w:tc>
        <w:tc>
          <w:tcPr>
            <w:tcW w:w="45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8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NEGATION-1473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39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- 1473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40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- 1473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allergic to chloroquine or proguanil?</w:t>
            </w:r>
          </w:p>
        </w:tc>
        <w:tc>
          <w:tcPr>
            <w:tcW w:w="45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PCS15089TH22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4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PCS15089TH21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4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PCS15089TH21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currently taking amiodarone?</w:t>
            </w:r>
          </w:p>
        </w:tc>
        <w:tc>
          <w:tcPr>
            <w:tcW w:w="45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PCS15089TH20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4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PCS15089TH19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46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PCS15089TH19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allergic to atovaquone or proguanil (Malarone)</w:t>
            </w:r>
          </w:p>
        </w:tc>
        <w:tc>
          <w:tcPr>
            <w:tcW w:w="45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47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PCS15089TH24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48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PCS15089TH23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49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PCS15089TH23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ind w:start="113" w:end="113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tcBorders>
              <w:top w:val="single" w:sz="12" w:space="0" w:color="000000"/>
              <w:start w:val="single" w:sz="12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Review the medication fields below for the following:</w:t>
            </w:r>
          </w:p>
        </w:tc>
        <w:tc>
          <w:tcPr>
            <w:tcW w:w="4586" w:type="dxa"/>
            <w:tcBorders>
              <w:top w:val="single" w:sz="12" w:space="0" w:color="000000"/>
              <w:start w:val="single" w:sz="6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  <w:szCs w:val="22"/>
              </w:rPr>
            </w:pPr>
            <w:r>
              <w:rPr>
                <w:rFonts w:cs="Arial" w:ascii="Arial" w:hAnsi="Arial"/>
                <w:b/>
              </w:rPr>
              <w:t>Chloroquine and Proguanil</w:t>
            </w:r>
            <w:r>
              <w:rPr>
                <w:rFonts w:cs="Arial" w:ascii="Arial" w:hAnsi="Arial"/>
              </w:rPr>
              <w:t xml:space="preserve">: antacids, dietary supplements (zinc, magnesium or calcium), fluvoxamine, warfarin or </w:t>
            </w:r>
            <w:r>
              <w:rPr>
                <w:rFonts w:cs="Arial" w:ascii="Arial" w:hAnsi="Arial"/>
                <w:szCs w:val="22"/>
              </w:rPr>
              <w:t>pyrimethamine lymecycline or doxycycline.</w:t>
            </w:r>
          </w:p>
          <w:p>
            <w:pPr>
              <w:pStyle w:val="Normal"/>
              <w:rPr>
                <w:rFonts w:ascii="Arial" w:hAnsi="Arial" w:cs="Arial"/>
                <w:szCs w:val="22"/>
              </w:rPr>
            </w:pPr>
            <w:r>
              <w:rPr>
                <w:rFonts w:cs="Arial" w:ascii="Arial" w:hAnsi="Arial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Atovaquone</w:t>
            </w:r>
            <w:r>
              <w:rPr>
                <w:rFonts w:cs="Arial" w:ascii="Arial" w:hAnsi="Arial"/>
              </w:rPr>
              <w:t>: N/A.</w:t>
            </w:r>
          </w:p>
        </w:tc>
      </w:tr>
      <w:tr>
        <w:trPr/>
        <w:tc>
          <w:tcPr>
            <w:tcW w:w="817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ind w:start="113" w:end="113"/>
              <w:jc w:val="end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Mefloquine</w:t>
            </w:r>
          </w:p>
        </w:tc>
        <w:tc>
          <w:tcPr>
            <w:tcW w:w="5585" w:type="dxa"/>
            <w:vMerge w:val="restart"/>
            <w:tcBorders>
              <w:top w:val="single" w:sz="18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any mental health problems?</w:t>
            </w:r>
          </w:p>
        </w:tc>
        <w:tc>
          <w:tcPr>
            <w:tcW w:w="4586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fldChar w:fldCharType="begin">
                <w:ffData>
                  <w:name w:val="Read_Code_F_6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- 1I4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8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6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ZV11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66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ZV11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suffered from depression?</w:t>
            </w:r>
          </w:p>
        </w:tc>
        <w:tc>
          <w:tcPr>
            <w:tcW w:w="45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6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NEGATION-1465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6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- 1465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6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- 1465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aircrew?</w:t>
            </w:r>
          </w:p>
        </w:tc>
        <w:tc>
          <w:tcPr>
            <w:tcW w:w="45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>
                <w:rFonts w:ascii="Arial" w:hAnsi="Arial" w:cs="Arial"/>
                <w:color w:val="808080"/>
              </w:rPr>
            </w:pPr>
            <w:r>
              <w:rPr>
                <w:rFonts w:cs="Arial" w:ascii="Arial" w:hAnsi="Arial"/>
                <w:color w:val="808080"/>
              </w:rPr>
              <w:t>N/A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59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RAFTBAI5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60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RAFTBAI5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>)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allergic to mefloquine (Lariam)</w:t>
            </w:r>
          </w:p>
        </w:tc>
        <w:tc>
          <w:tcPr>
            <w:tcW w:w="45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56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PCS15089TH5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57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PCS15089TH4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58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PCS15089TH4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Are you currently taking halofantrine?</w:t>
            </w:r>
          </w:p>
        </w:tc>
        <w:tc>
          <w:tcPr>
            <w:tcW w:w="45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50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PCS15089TH14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5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PCS15089TH13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5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PCS15089TH13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suffered from mental illness and/or convulsions?</w:t>
            </w:r>
          </w:p>
        </w:tc>
        <w:tc>
          <w:tcPr>
            <w:tcW w:w="45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PCS15089TH7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36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PCS15089TH6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37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PCS15089TH6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</w:tc>
      </w:tr>
      <w:tr>
        <w:trPr>
          <w:trHeight w:val="35" w:hRule="atLeast"/>
        </w:trPr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Do you have severely impaired liver function?</w:t>
            </w:r>
          </w:p>
        </w:tc>
        <w:tc>
          <w:tcPr>
            <w:tcW w:w="45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1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PCS15089TH12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1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PCS15089TH10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16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PCS15089TH10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Have you ever had Blackwater Fever?</w:t>
            </w:r>
          </w:p>
        </w:tc>
        <w:tc>
          <w:tcPr>
            <w:tcW w:w="45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5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808080"/>
              </w:rPr>
              <w:instrText xml:space="preserve"> FORMTEXT </w:instrTex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separate"/>
            </w:r>
            <w:r>
              <w:rPr>
                <w:rFonts w:cs="Arial" w:ascii="Arial" w:hAnsi="Arial"/>
                <w:color w:val="808080"/>
              </w:rPr>
              <w:t>Read Code Fields - PCS15089TH9</w:t>
            </w:r>
            <w:r>
              <w:rPr>
                <w:rFonts w:cs="Arial" w:ascii="Arial" w:hAnsi="Arial"/>
                <w:color w:val="808080"/>
              </w:rPr>
            </w:r>
            <w:r>
              <w:rPr>
                <w:rFonts w:cs="Arial" w:ascii="Arial" w:hAnsi="Arial"/>
                <w:color w:val="808080"/>
              </w:rPr>
              <w:fldChar w:fldCharType="end"/>
            </w:r>
            <w:r>
              <w:rPr>
                <w:rFonts w:cs="Arial" w:ascii="Arial" w:hAnsi="Arial"/>
                <w:color w:val="808080"/>
              </w:rPr>
              <w:t xml:space="preserve">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color w:val="808080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color w:val="808080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5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PCS15089TH8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5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PCS15089TH8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>)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tcBorders>
              <w:top w:val="single" w:sz="12" w:space="0" w:color="000000"/>
              <w:start w:val="single" w:sz="12" w:space="0" w:color="000000"/>
              <w:bottom w:val="single" w:sz="18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Review the medication fields below for the following:</w:t>
            </w:r>
          </w:p>
        </w:tc>
        <w:tc>
          <w:tcPr>
            <w:tcW w:w="4586" w:type="dxa"/>
            <w:tcBorders>
              <w:top w:val="single" w:sz="12" w:space="0" w:color="000000"/>
              <w:start w:val="single" w:sz="6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Rifabutin, rifampicin, fluvoxamine, warfarin or </w:t>
            </w:r>
            <w:r>
              <w:rPr>
                <w:rFonts w:cs="Arial" w:ascii="Arial" w:hAnsi="Arial"/>
                <w:szCs w:val="22"/>
              </w:rPr>
              <w:t>pyrimethamine.</w:t>
            </w:r>
          </w:p>
        </w:tc>
      </w:tr>
      <w:tr>
        <w:trPr>
          <w:trHeight w:val="2705" w:hRule="atLeast"/>
        </w:trPr>
        <w:tc>
          <w:tcPr>
            <w:tcW w:w="81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ind w:start="113" w:end="113"/>
              <w:jc w:val="end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Medication</w:t>
            </w:r>
          </w:p>
        </w:tc>
        <w:tc>
          <w:tcPr>
            <w:tcW w:w="10171" w:type="dxa"/>
            <w:gridSpan w:val="2"/>
            <w:tcBorders>
              <w:top w:val="single" w:sz="18" w:space="0" w:color="000000"/>
              <w:start w:val="single" w:sz="12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pacing w:before="0" w:after="10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Doxycycline</w:t>
            </w:r>
            <w:r>
              <w:rPr>
                <w:rFonts w:cs="Arial" w:ascii="Arial" w:hAnsi="Arial"/>
              </w:rPr>
              <w:t xml:space="preserve">: Antacids, dietary supplements (zinc, magnesium or calcium), tetracyclines, rifabutin, rifampicin, fluvoxamine, warfarin or </w:t>
            </w:r>
            <w:r>
              <w:rPr>
                <w:rFonts w:cs="Arial" w:ascii="Arial" w:hAnsi="Arial"/>
                <w:szCs w:val="22"/>
              </w:rPr>
              <w:t>pyrimethamine.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cs="Arial" w:ascii="Arial" w:hAnsi="Arial"/>
                <w:b/>
              </w:rPr>
              <w:t>Chloroquine and Proguanil</w:t>
            </w:r>
            <w:r>
              <w:rPr>
                <w:rFonts w:cs="Arial" w:ascii="Arial" w:hAnsi="Arial"/>
              </w:rPr>
              <w:t xml:space="preserve">: antacids, dietary supplements (zinc, magnesium or calcium), fluvoxamine, warfarin or </w:t>
            </w:r>
            <w:r>
              <w:rPr>
                <w:rFonts w:cs="Arial" w:ascii="Arial" w:hAnsi="Arial"/>
                <w:szCs w:val="22"/>
              </w:rPr>
              <w:t>pyrimethamine lymecycline or doxycycline.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cs="Arial" w:ascii="Arial" w:hAnsi="Arial"/>
                <w:b/>
              </w:rPr>
              <w:t>Atovaquone</w:t>
            </w:r>
            <w:r>
              <w:rPr>
                <w:rFonts w:cs="Arial" w:ascii="Arial" w:hAnsi="Arial"/>
              </w:rPr>
              <w:t>: N/A.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cs="Arial" w:ascii="Arial" w:hAnsi="Arial"/>
                <w:b/>
              </w:rPr>
              <w:t>Mefloquine</w:t>
            </w:r>
            <w:r>
              <w:rPr>
                <w:rFonts w:cs="Arial" w:ascii="Arial" w:hAnsi="Arial"/>
              </w:rPr>
              <w:t xml:space="preserve">: Rifabutin, rifampicin, fluvoxamine, warfarin or </w:t>
            </w:r>
            <w:r>
              <w:rPr>
                <w:rFonts w:cs="Arial" w:ascii="Arial" w:hAnsi="Arial"/>
                <w:szCs w:val="22"/>
              </w:rPr>
              <w:t>pyrimethamine.</w:t>
            </w:r>
          </w:p>
          <w:p>
            <w:pPr>
              <w:pStyle w:val="Normal"/>
              <w:rPr>
                <w:rFonts w:ascii="Arial" w:hAnsi="Arial" w:cs="Arial"/>
                <w:b/>
                <w:szCs w:val="22"/>
              </w:rPr>
            </w:pPr>
            <w:r>
              <w:rPr>
                <w:rFonts w:cs="Arial" w:ascii="Arial" w:hAnsi="Arial"/>
                <w:b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b/>
                <w:szCs w:val="22"/>
              </w:rPr>
            </w:pPr>
            <w:r>
              <w:rPr>
                <w:rFonts w:cs="Arial" w:ascii="Arial" w:hAnsi="Arial"/>
                <w:b/>
                <w:szCs w:val="22"/>
              </w:rPr>
              <w:t>Current Medication:</w:t>
            </w:r>
          </w:p>
          <w:p>
            <w:pPr>
              <w:pStyle w:val="Normal"/>
              <w:rPr>
                <w:rFonts w:ascii="Arial" w:hAnsi="Arial" w:cs="Arial"/>
                <w:szCs w:val="22"/>
              </w:rPr>
            </w:pPr>
            <w:r>
              <w:fldChar w:fldCharType="begin">
                <w:ffData>
                  <w:name w:val="Medication_T_1"/>
                  <w:enabled/>
                  <w:calcOnExit w:val="0"/>
                  <w:textInput/>
                </w:ffData>
              </w:fldChar>
            </w:r>
            <w:r>
              <w:rPr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Cs w:val="22"/>
              </w:rPr>
            </w:r>
            <w:r>
              <w:rPr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Cs w:val="22"/>
              </w:rPr>
              <w:t>Medication Table</w:t>
            </w:r>
            <w:r/>
            <w:r>
              <w:rPr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Cs w:val="22"/>
              </w:rPr>
            </w:pPr>
            <w:r>
              <w:rPr>
                <w:rFonts w:cs="Arial" w:ascii="Arial" w:hAnsi="Arial"/>
                <w:szCs w:val="22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b/>
              </w:rPr>
              <w:t>Comments from the Medication Review field</w:t>
            </w:r>
            <w:r>
              <w:rPr>
                <w:rFonts w:cs="Arial" w:ascii="Arial" w:hAnsi="Arial"/>
              </w:rPr>
              <w:t xml:space="preserve">: </w:t>
            </w:r>
            <w:r>
              <w:fldChar w:fldCharType="begin">
                <w:ffData>
                  <w:name w:val="Read_Code_F_67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- 8B3V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68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- 8B3V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OTC medication inputted into the Antimalarial Contraindication Questionnaire</w:t>
            </w:r>
            <w:r>
              <w:rPr>
                <w:rFonts w:cs="Arial" w:ascii="Arial" w:hAnsi="Arial"/>
              </w:rPr>
              <w:t xml:space="preserve">: </w:t>
            </w:r>
            <w:r>
              <w:fldChar w:fldCharType="begin">
                <w:ffData>
                  <w:name w:val="Read_Code_F_69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- 8B3L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70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- 8B3L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>)</w:t>
            </w:r>
          </w:p>
        </w:tc>
      </w:tr>
      <w:tr>
        <w:trPr/>
        <w:tc>
          <w:tcPr>
            <w:tcW w:w="817" w:type="dxa"/>
            <w:vMerge w:val="restart"/>
            <w:tcBorders>
              <w:top w:val="single" w:sz="18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Females only: are you pregnant?</w:t>
            </w:r>
          </w:p>
        </w:tc>
        <w:tc>
          <w:tcPr>
            <w:tcW w:w="4586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7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EMISNQNO14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7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EMISNQNO14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7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- 621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7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- 621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restart"/>
            <w:tcBorders>
              <w:top w:val="single" w:sz="12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Females only: are breastfeeding?</w:t>
            </w:r>
          </w:p>
        </w:tc>
        <w:tc>
          <w:tcPr>
            <w:tcW w:w="45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  <w:shd w:fill="BFBFBF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7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DMS4571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76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DMS4571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</w:tc>
      </w:tr>
      <w:tr>
        <w:trPr/>
        <w:tc>
          <w:tcPr>
            <w:tcW w:w="817" w:type="dxa"/>
            <w:vMerge w:val="continue"/>
            <w:tcBorders>
              <w:top w:val="single" w:sz="18" w:space="0" w:color="000000"/>
              <w:end w:val="single" w:sz="1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cs="Arial" w:ascii="Arial" w:hAnsi="Arial"/>
                <w:sz w:val="22"/>
                <w:szCs w:val="22"/>
                <w:lang w:eastAsia="en-GB"/>
              </w:rPr>
            </w:r>
          </w:p>
        </w:tc>
        <w:tc>
          <w:tcPr>
            <w:tcW w:w="5585" w:type="dxa"/>
            <w:vMerge w:val="continue"/>
            <w:tcBorders>
              <w:top w:val="single" w:sz="12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586" w:type="dxa"/>
            <w:tcBorders>
              <w:top w:val="single" w:sz="6" w:space="0" w:color="000000"/>
              <w:start w:val="single" w:sz="6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fldChar w:fldCharType="begin">
                <w:ffData>
                  <w:name w:val="Read_Code_F_77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DMS4570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(</w:t>
            </w:r>
            <w:r>
              <w:fldChar w:fldCharType="begin">
                <w:ffData>
                  <w:name w:val="Read_Code_F_78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Read Code Fields - DMS4570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) 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sectPr>
      <w:footerReference w:type="default" r:id="rId2"/>
      <w:type w:val="nextPage"/>
      <w:pgSz w:w="11906" w:h="16838"/>
      <w:pgMar w:left="567" w:right="567" w:gutter="0" w:header="0" w:top="567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5"/>
      <w:ind w:hanging="0" w:start="0"/>
      <w:rPr>
        <w:rFonts w:ascii="Arial" w:hAnsi="Arial" w:cs="Arial"/>
        <w:bCs/>
        <w:sz w:val="18"/>
        <w:szCs w:val="18"/>
        <w:u w:val="none"/>
      </w:rPr>
    </w:pPr>
    <w:r>
      <w:rPr>
        <w:rFonts w:cs="Arial" w:ascii="Arial" w:hAnsi="Arial"/>
        <w:bCs/>
        <w:sz w:val="18"/>
        <w:szCs w:val="18"/>
        <w:u w:val="none"/>
      </w:rPr>
      <w:t xml:space="preserve">Autopopulated Antimalarial Questionnaire </w:t>
      <w:tab/>
      <w:tab/>
      <w:tab/>
      <w:tab/>
      <w:tab/>
      <w:tab/>
      <w:tab/>
      <w:tab/>
      <w:tab/>
      <w:t xml:space="preserve">        August 2016</w:t>
    </w:r>
  </w:p>
  <w:p>
    <w:pPr>
      <w:pStyle w:val="Normal"/>
      <w:rPr/>
    </w:pPr>
    <w:r>
      <w:rPr>
        <w:rFonts w:cs="Arial" w:ascii="Arial" w:hAnsi="Arial"/>
      </w:rPr>
      <w:t>Version 1.0</w:t>
    </w:r>
    <w:r>
      <mc:AlternateContent>
        <mc:Choice Requires="wps">
          <w:drawing>
            <wp:anchor behindDoc="0" distT="0" distB="0" distL="0" distR="0" simplePos="0" locked="0" layoutInCell="0" allowOverlap="1" relativeHeight="4">
              <wp:simplePos x="0" y="0"/>
              <wp:positionH relativeFrom="page">
                <wp:posOffset>3772535</wp:posOffset>
              </wp:positionH>
              <wp:positionV relativeFrom="paragraph">
                <wp:posOffset>93980</wp:posOffset>
              </wp:positionV>
              <wp:extent cx="71120" cy="14605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</w:rPr>
                          </w:pPr>
                          <w:r>
                            <w:rPr>
                              <w:rStyle w:val="PageNumber"/>
                              <w:rFonts w:cs="Arial" w:ascii="Arial" w:hAnsi="Arial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cs="Arial"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cs="Arial" w:ascii="Arial" w:hAnsi="Arial"/>
                            </w:rPr>
                            <w:t>3</w:t>
                          </w:r>
                          <w:r>
                            <w:rPr>
                              <w:rStyle w:val="PageNumber"/>
                              <w:rFonts w:cs="Arial" w:ascii="Arial" w:hAnsi="Arial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1.5pt;mso-wrap-distance-left:0pt;mso-wrap-distance-right:0pt;mso-wrap-distance-top:0pt;mso-wrap-distance-bottom:0pt;margin-top:7.4pt;mso-position-vertical-relative:text;margin-left:297.0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</w:rPr>
                    </w:pPr>
                    <w:r>
                      <w:rPr>
                        <w:rStyle w:val="PageNumber"/>
                        <w:rFonts w:cs="Arial" w:ascii="Arial" w:hAnsi="Arial"/>
                      </w:rPr>
                      <w:fldChar w:fldCharType="begin"/>
                    </w:r>
                    <w:r>
                      <w:rPr>
                        <w:rStyle w:val="PageNumber"/>
                        <w:rFonts w:cs="Arial" w:ascii="Arial" w:hAnsi="Arial"/>
                      </w:rPr>
                      <w:instrText xml:space="preserve"> PAGE </w:instrText>
                    </w:r>
                    <w:r>
                      <w:rPr>
                        <w:rStyle w:val="PageNumber"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rStyle w:val="PageNumber"/>
                        <w:rFonts w:cs="Arial" w:ascii="Arial" w:hAnsi="Arial"/>
                      </w:rPr>
                      <w:t>3</w:t>
                    </w:r>
                    <w:r>
                      <w:rPr>
                        <w:rStyle w:val="PageNumber"/>
                        <w:rFonts w:cs="Arial" w:ascii="Arial" w:hAnsi="Arial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edication_T_1" w:val="C,A|3|ALL"/>
    <w:docVar w:name="PCS_DOCUMENT_NAME" w:val="Autopopulated_Antimalarial_Questionnaire_v1_0.dot"/>
    <w:docVar w:name="PCS_HANDLE" w:val="65776"/>
    <w:docVar w:name="PCS_MSG" w:val="49527"/>
    <w:docVar w:name="Read_Code_F_1" w:val="PCS15089MA1|Malarial Health Questionnaire Completed|1|T,H"/>
    <w:docVar w:name="Read_Code_F_10" w:val="7840|Total excision of spleen|1|T,H"/>
    <w:docVar w:name="Read_Code_F_11" w:val="NEGATION-14A|Not - H/O: cardiovascular disease|1|D,H"/>
    <w:docVar w:name="Read_Code_F_12" w:val="14A|H/O: cardiovascular disease|1|D,H"/>
    <w:docVar w:name="Read_Code_F_13" w:val="14A|H/O: cardiovascular disease|1|T,H"/>
    <w:docVar w:name="Read_Code_F_14" w:val="PCS15089TH12|The patient has no impairment of liver function|1|D,H"/>
    <w:docVar w:name="Read_Code_F_15" w:val="PCS15089TH10|The patient has severe impairment of liver function|1|D,H"/>
    <w:docVar w:name="Read_Code_F_16" w:val="PCS15089TH10|The patient has severe impairment of liver function|1|T,H"/>
    <w:docVar w:name="Read_Code_F_17" w:val="NEGATION-TJ144|Not - Adverse reaction to quinine|1|D,H"/>
    <w:docVar w:name="Read_Code_F_18" w:val="TJ144|Adverse reaction to quinine|1|D,H"/>
    <w:docVar w:name="Read_Code_F_19" w:val="TJ144|Adverse reaction to quinine|1|T,H"/>
    <w:docVar w:name="Read_Code_F_2" w:val="1413|H/O: malaria|1|D,H"/>
    <w:docVar w:name="Read_Code_F_20" w:val="NEGATION-M1274|Not - Photosensitiveness|1|D,H"/>
    <w:docVar w:name="Read_Code_F_21" w:val="M1274|Photosensitiveness|1|D,H"/>
    <w:docVar w:name="Read_Code_F_22" w:val="M1274|Photosensitiveness|1|T,H"/>
    <w:docVar w:name="Read_Code_F_23" w:val="PCS15089TH16|The patient is not known to suffer from intestinal disaccharidase deficiency and or fructose intolerance|1|D,H"/>
    <w:docVar w:name="Read_Code_F_24" w:val="PCS15089TH15|The patient is known to suffer from intestinal disaccharidase deficiency and or fructose intolerance|1|D,H"/>
    <w:docVar w:name="Read_Code_F_25" w:val="PCS15089TH15|The patient is known to suffer from intestinal disaccharidase deficiency and or fructose intolerance|1|T,H"/>
    <w:docVar w:name="Read_Code_F_26" w:val="PCS15089TH18|The patient has no known hypersensitivity to Doxycycline or any of its ingredients |1|D,H"/>
    <w:docVar w:name="Read_Code_F_27" w:val="PCS15089TH17|The patient has a history of hypersensitivity to Doxycycline and or its ingredients|1|D,H"/>
    <w:docVar w:name="Read_Code_F_28" w:val="PCS15089TH17|The patient has a history of hypersensitivity to Doxycycline and or its ingredients|1|T,H"/>
    <w:docVar w:name="Read_Code_F_29" w:val="NEGATION-C310-2|Not - Glucose-6-phosphate deficiency|1|D,H"/>
    <w:docVar w:name="Read_Code_F_3" w:val="1413|H/O: malaria|1|T,H"/>
    <w:docVar w:name="Read_Code_F_30" w:val="C310-2|Glucose-6-phosphate deficiency|1|D,H"/>
    <w:docVar w:name="Read_Code_F_31" w:val="C310-2|Glucose-6-phosphate deficiency|1|T,H"/>
    <w:docVar w:name="Read_Code_F_32" w:val="NEGATION-14F2|Not - H/O: psoriasis|1|D,H"/>
    <w:docVar w:name="Read_Code_F_33" w:val="14F2|H/O: psoriasis|1|D,H"/>
    <w:docVar w:name="Read_Code_F_34" w:val="14F2|H/O: psoriasis|1|T,H"/>
    <w:docVar w:name="Read_Code_F_35" w:val="PCS15089TH7|The patient has no history of mental illness and or convulsions|1|D,H"/>
    <w:docVar w:name="Read_Code_F_36" w:val="PCS15089TH6|The patient has a history mental illness and or convulsions|1|D,H"/>
    <w:docVar w:name="Read_Code_F_37" w:val="PCS15089TH6|The patient has a history mental illness and or convulsions|1|T,H"/>
    <w:docVar w:name="Read_Code_F_38" w:val="NEGATION-1473|Not - H/O: epilepsy|1|D,H"/>
    <w:docVar w:name="Read_Code_F_39" w:val="1473|H/O: epilepsy|1|D,H"/>
    <w:docVar w:name="Read_Code_F_4" w:val="NEGATION-1413|Not - H/O: malaria|1|D,H"/>
    <w:docVar w:name="Read_Code_F_40" w:val="1473|H/O: epilepsy|1|T,H"/>
    <w:docVar w:name="Read_Code_F_41" w:val="PCS15089TH22|The patient has no known hypersensitivity to Chloroquine and or Proguanil and or its ingredients|1|D,H"/>
    <w:docVar w:name="Read_Code_F_42" w:val="PCS15089TH21|The patient has a history of hypersensitivity to Chloroquine and or Proguanil and or its ingredients|1|D,H"/>
    <w:docVar w:name="Read_Code_F_43" w:val="PCS15089TH21|The patient has a history of hypersensitivity to Chloroquine and or Proguanil and or its ingredients|1|T,H"/>
    <w:docVar w:name="Read_Code_F_44" w:val="PCS15089TH20|The patient is not taking amiodarone|1|D,H"/>
    <w:docVar w:name="Read_Code_F_45" w:val="PCS15089TH19|The patient is currently taking amiodarone|1|D,H"/>
    <w:docVar w:name="Read_Code_F_46" w:val="PCS15089TH19|The patient is currently taking amiodarone|1|T,H"/>
    <w:docVar w:name="Read_Code_F_47" w:val="PCS15089TH24|The patient has no known hypersensitivity to Atovaquone or Proguanil and or its ingredients|1|D,H"/>
    <w:docVar w:name="Read_Code_F_48" w:val="PCS15089TH23|The patient has a known hypersensitivity to Atovaquone or Proguanil and or its ingredients|1|D,H"/>
    <w:docVar w:name="Read_Code_F_49" w:val="PCS15089TH23|The patient has a known hypersensitivity to Atovaquone or Proguanil and or its ingredients|1|T,H"/>
    <w:docVar w:name="Read_Code_F_5" w:val="NEGATION-14D-2|Not - H/O: renal disease|1|D,H"/>
    <w:docVar w:name="Read_Code_F_50" w:val="PCS15089TH14|The patient is not receiving halofantrine|1|D,H"/>
    <w:docVar w:name="Read_Code_F_51" w:val="PCS15089TH13|The patient is currently receiving halofantrine|1|D,H"/>
    <w:docVar w:name="Read_Code_F_52" w:val="PCS15089TH13|The patient is currently receiving halofantrine|1|T,H"/>
    <w:docVar w:name="Read_Code_F_53" w:val="PCS15089TH9|The patient has no history of Blackwater fever|1|D,H"/>
    <w:docVar w:name="Read_Code_F_54" w:val="PCS15089TH8|The patient has a history of Blackwater fever|1|D,H"/>
    <w:docVar w:name="Read_Code_F_55" w:val="PCS15089TH8|The patient has a history of Blackwater fever|1|T,H"/>
    <w:docVar w:name="Read_Code_F_56" w:val="PCS15089TH5|The patient has no known hypersensitivity to mefloquine or related compounds|1|D,H"/>
    <w:docVar w:name="Read_Code_F_57" w:val="PCS15089TH4|The patient is known to be hypersensitive to mefloquine or related compounds|1|D,H"/>
    <w:docVar w:name="Read_Code_F_58" w:val="PCS15089TH4|The patient is known to be hypersensitive to mefloquine or related compounds|1|T,H"/>
    <w:docVar w:name="Read_Code_F_59" w:val="RAFTBAI5|Airmen (Aircrew)|1|D,H"/>
    <w:docVar w:name="Read_Code_F_6" w:val="14D-2|H/O: renal disease|1|D,H"/>
    <w:docVar w:name="Read_Code_F_60" w:val="RAFTBAI5|Airmen (Aircrew)|1|T,H"/>
    <w:docVar w:name="Read_Code_F_61" w:val="NEGATION-1465|Not - H/O: depression|1|D,H"/>
    <w:docVar w:name="Read_Code_F_62" w:val="1465|H/O: depression|1|D,H"/>
    <w:docVar w:name="Read_Code_F_63" w:val="1465|H/O: depression|1|T,H"/>
    <w:docVar w:name="Read_Code_F_64" w:val="1I4|No evidence of mental illness|1|D,H"/>
    <w:docVar w:name="Read_Code_F_65" w:val="ZV11|[V]Personal history of mental disorder|1|D,H"/>
    <w:docVar w:name="Read_Code_F_66" w:val="ZV11|[V]Personal history of mental disorder|1|T,H"/>
    <w:docVar w:name="Read_Code_F_67" w:val="8B3V|Medication review done|1|A,H"/>
    <w:docVar w:name="Read_Code_F_68" w:val="8B3V|Medication review done|1|T,H"/>
    <w:docVar w:name="Read_Code_F_69" w:val="8B3L|Patient treated with OTC (over the counter) medication|1|A,H"/>
    <w:docVar w:name="Read_Code_F_7" w:val="14D-2|H/O: renal disease|1|T,H"/>
    <w:docVar w:name="Read_Code_F_70" w:val="8B3L|Patient treated with OTC (over the counter) medication|1|T,H"/>
    <w:docVar w:name="Read_Code_F_71" w:val="EMISNQNO14|Not pregnant|1|D,H"/>
    <w:docVar w:name="Read_Code_F_72" w:val="EMISNQNO14|Not pregnant|1|T,H"/>
    <w:docVar w:name="Read_Code_F_73" w:val="621|Patient currently pregnant|1|D,H"/>
    <w:docVar w:name="Read_Code_F_74" w:val="621|Patient currently pregnant|1|T,H"/>
    <w:docVar w:name="Read_Code_F_75" w:val="DMS4571|Patient states they are not breastfeeding|1|D,H"/>
    <w:docVar w:name="Read_Code_F_76" w:val="DMS4571|Patient states they are not breastfeeding|1|T,H"/>
    <w:docVar w:name="Read_Code_F_77" w:val="DMS4570|Patient states they are breastfeeding|1|D,H"/>
    <w:docVar w:name="Read_Code_F_78" w:val="DMS4570|Patient states they are breastfeeding|1|T,H"/>
    <w:docVar w:name="Read_Code_F_79" w:val="14C5|H/O: liver disease|2|D,T,H"/>
    <w:docVar w:name="Read_Code_F_8" w:val="NEGATION-7840|Not - Total excision of spleen|1|D,H"/>
    <w:docVar w:name="Read_Code_F_80" w:val="NEGATION-14C5|Not - H/O: liver disease|1|D,H"/>
    <w:docVar w:name="Read_Code_F_9" w:val="7840|Total excision of spleen|1|D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verflowPunct w:val="false"/>
      <w:autoSpaceDE w:val="false"/>
      <w:outlineLvl w:val="0"/>
    </w:pPr>
    <w:rPr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sz w:val="24"/>
      <w:u w:val="single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/>
    <w:rPr>
      <w:sz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Autopopulated_Antimalarial_Questionnaire_v1_0.dot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2016-08-12T21:06:00Z</dcterms:created>
  <dc:creator>smithd391</dc:creator>
  <dc:description/>
  <cp:keywords/>
  <dc:language>en-GB</dc:language>
  <cp:lastModifiedBy>Johnstone, Thomas Maj</cp:lastModifiedBy>
  <cp:lastPrinted>2011-12-07T15:52:00Z</cp:lastPrinted>
  <dcterms:modified xsi:type="dcterms:W3CDTF">2016-08-16T21:20:00Z</dcterms:modified>
  <cp:revision>5</cp:revision>
  <dc:subject/>
  <dc:title>HEALTH QUESTIONNAIRE FOR MALARIAL CHEMOPROPHYLAXIS</dc:title>
</cp:coreProperties>
</file>