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DBE5F1"/>
  <w:body>
    <w:p>
      <w:pPr>
        <w:pStyle w:val="Normal"/>
        <w:rPr>
          <w:rFonts w:ascii="Myriad Pro;Myriad Pro" w:hAnsi="Myriad Pro;Myriad Pro" w:cs="Myriad Pro;Myriad Pro"/>
          <w:color w:val="000000"/>
          <w:kern w:val="0"/>
          <w:sz w:val="24"/>
          <w:szCs w:val="24"/>
          <w:lang w:val="en-GB" w:eastAsia="en-GB"/>
        </w:rPr>
      </w:pPr>
      <w:r>
        <w:rPr>
          <w:rFonts w:cs="Myriad Pro;Myriad Pro" w:ascii="Myriad Pro;Myriad Pro" w:hAnsi="Myriad Pro;Myriad Pro"/>
          <w:color w:val="000000"/>
          <w:kern w:val="0"/>
          <w:sz w:val="24"/>
          <w:szCs w:val="24"/>
          <w:lang w:val="en-GB" w:eastAsia="en-GB"/>
        </w:rPr>
        <w:drawing>
          <wp:anchor behindDoc="0" distT="0" distB="0" distL="114935" distR="114935" simplePos="0" locked="0" layoutInCell="1" allowOverlap="1" relativeHeight="4">
            <wp:simplePos x="0" y="0"/>
            <wp:positionH relativeFrom="column">
              <wp:posOffset>-290830</wp:posOffset>
            </wp:positionH>
            <wp:positionV relativeFrom="paragraph">
              <wp:posOffset>-492760</wp:posOffset>
            </wp:positionV>
            <wp:extent cx="6694170" cy="763270"/>
            <wp:effectExtent l="0" t="0" r="0" b="0"/>
            <wp:wrapNone/>
            <wp:docPr id="1"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title=""/>
                    <pic:cNvPicPr>
                      <a:picLocks noChangeAspect="1" noChangeArrowheads="1"/>
                    </pic:cNvPicPr>
                  </pic:nvPicPr>
                  <pic:blipFill>
                    <a:blip r:embed="rId2"/>
                    <a:srcRect l="-3" t="-25" r="-3" b="-25"/>
                    <a:stretch>
                      <a:fillRect/>
                    </a:stretch>
                  </pic:blipFill>
                  <pic:spPr bwMode="auto">
                    <a:xfrm>
                      <a:off x="0" y="0"/>
                      <a:ext cx="6694170" cy="763270"/>
                    </a:xfrm>
                    <a:prstGeom prst="rect">
                      <a:avLst/>
                    </a:prstGeom>
                    <a:noFill/>
                  </pic:spPr>
                </pic:pic>
              </a:graphicData>
            </a:graphic>
          </wp:anchor>
        </w:drawing>
      </w:r>
    </w:p>
    <w:p>
      <w:pPr>
        <w:pStyle w:val="Normal"/>
        <w:rPr>
          <w:rFonts w:ascii="Myriad Pro;Myriad Pro" w:hAnsi="Myriad Pro;Myriad Pro" w:cs="Myriad Pro;Myriad Pro"/>
          <w:b/>
          <w:i/>
          <w:i/>
          <w:iCs/>
          <w:color w:val="000000"/>
          <w:kern w:val="0"/>
          <w:sz w:val="20"/>
          <w:szCs w:val="24"/>
          <w:lang w:eastAsia="en-GB"/>
        </w:rPr>
      </w:pPr>
      <w:r>
        <w:rPr>
          <w:rFonts w:cs="Myriad Pro;Myriad Pro" w:ascii="Myriad Pro;Myriad Pro" w:hAnsi="Myriad Pro;Myriad Pro"/>
          <w:b/>
          <w:i/>
          <w:iCs/>
          <w:color w:val="000000"/>
          <w:kern w:val="0"/>
          <w:sz w:val="20"/>
          <w:szCs w:val="24"/>
          <w:lang w:eastAsia="en-GB"/>
        </w:rPr>
      </w:r>
    </w:p>
    <w:p>
      <w:pPr>
        <w:pStyle w:val="Normal"/>
        <w:rPr>
          <w:rFonts w:ascii="Myriad Pro;Myriad Pro" w:hAnsi="Myriad Pro;Myriad Pro" w:cs="Myriad Pro;Myriad Pro"/>
          <w:b/>
          <w:i/>
          <w:i/>
          <w:iCs/>
          <w:kern w:val="0"/>
          <w:sz w:val="20"/>
          <w:lang w:eastAsia="en-GB"/>
        </w:rPr>
      </w:pPr>
      <w:r>
        <w:rPr>
          <w:rFonts w:cs="Myriad Pro;Myriad Pro" w:ascii="Myriad Pro;Myriad Pro" w:hAnsi="Myriad Pro;Myriad Pro"/>
          <w:b/>
          <w:i/>
          <w:iCs/>
          <w:kern w:val="0"/>
          <w:sz w:val="20"/>
          <w:lang w:eastAsia="en-GB"/>
        </w:rPr>
        <w:t>This leaflet explains about anthrax and the anthrax vaccine which helps protect against the disease.</w:t>
      </w:r>
    </w:p>
    <w:p>
      <w:pPr>
        <w:sectPr>
          <w:type w:val="nextPage"/>
          <w:pgSz w:w="11906" w:h="16838"/>
          <w:pgMar w:left="1134" w:right="1134" w:gutter="0" w:header="0" w:top="1077" w:footer="0" w:bottom="1077"/>
          <w:pgNumType w:fmt="decimal"/>
          <w:formProt w:val="false"/>
          <w:textDirection w:val="lrTb"/>
          <w:docGrid w:type="default" w:linePitch="299" w:charSpace="0"/>
        </w:sectPr>
      </w:pPr>
    </w:p>
    <w:p>
      <w:pPr>
        <w:pStyle w:val="Normal"/>
        <w:overflowPunct w:val="true"/>
        <w:textAlignment w:val="auto"/>
        <w:rPr>
          <w:rFonts w:ascii="Myriad Pro Light;Myriad Pro Light" w:hAnsi="Myriad Pro Light;Myriad Pro Light" w:cs="Myriad Pro Light;Myriad Pro Light"/>
          <w:b/>
          <w:i/>
          <w:i/>
          <w:iCs/>
          <w:kern w:val="0"/>
          <w:sz w:val="24"/>
          <w:szCs w:val="24"/>
          <w:lang w:eastAsia="en-GB"/>
        </w:rPr>
      </w:pPr>
      <w:r>
        <w:rPr>
          <w:rFonts w:cs="Myriad Pro Light;Myriad Pro Light" w:ascii="Myriad Pro Light;Myriad Pro Light" w:hAnsi="Myriad Pro Light;Myriad Pro Light"/>
          <w:b/>
          <w:i/>
          <w:iCs/>
          <w:kern w:val="0"/>
          <w:sz w:val="24"/>
          <w:szCs w:val="24"/>
          <w:lang w:eastAsia="en-GB"/>
        </w:rPr>
      </w:r>
    </w:p>
    <w:p>
      <w:pPr>
        <w:pStyle w:val="Normal"/>
        <w:overflowPunct w:val="true"/>
        <w:spacing w:lineRule="atLeast" w:line="241" w:before="0" w:after="120"/>
        <w:textAlignment w:val="auto"/>
        <w:rPr>
          <w:rFonts w:ascii="Myriad Pro Light;Myriad Pro Light" w:hAnsi="Myriad Pro Light;Myriad Pro Light" w:cs="Myriad Pro Light;Myriad Pro Light"/>
          <w:b/>
          <w:bCs/>
          <w:kern w:val="0"/>
          <w:sz w:val="23"/>
          <w:szCs w:val="23"/>
          <w:lang w:eastAsia="en-GB"/>
        </w:rPr>
      </w:pPr>
      <w:r>
        <w:rPr>
          <w:rFonts w:cs="Myriad Pro Light;Myriad Pro Light" w:ascii="Myriad Pro Light;Myriad Pro Light" w:hAnsi="Myriad Pro Light;Myriad Pro Light"/>
          <w:b/>
          <w:bCs/>
          <w:kern w:val="0"/>
          <w:sz w:val="23"/>
          <w:szCs w:val="23"/>
          <w:lang w:eastAsia="en-GB"/>
        </w:rPr>
        <w:t>What is Anthrax?</w:t>
      </w:r>
    </w:p>
    <w:p>
      <w:pPr>
        <w:pStyle w:val="Normal"/>
        <w:overflowPunct w:val="true"/>
        <w:spacing w:lineRule="atLeast" w:line="241" w:before="0" w:after="100"/>
        <w:textAlignment w:val="auto"/>
        <w:rPr/>
      </w:pPr>
      <w:r>
        <w:rPr>
          <w:rFonts w:cs="Myriad Pro;Myriad Pro" w:ascii="Myriad Pro;Myriad Pro" w:hAnsi="Myriad Pro;Myriad Pro"/>
          <w:kern w:val="0"/>
          <w:sz w:val="20"/>
          <w:lang w:eastAsia="en-GB"/>
        </w:rPr>
        <w:t xml:space="preserve">Anthrax is a serious disease that can affect animals and humans. It is caused by bacteria called </w:t>
      </w:r>
      <w:r>
        <w:rPr>
          <w:rFonts w:cs="Myriad Pro;Myriad Pro" w:ascii="Myriad Pro;Myriad Pro" w:hAnsi="Myriad Pro;Myriad Pro"/>
          <w:i/>
          <w:iCs/>
          <w:kern w:val="0"/>
          <w:sz w:val="20"/>
          <w:lang w:eastAsia="en-GB"/>
        </w:rPr>
        <w:t xml:space="preserve">Bacillus anthracis </w:t>
      </w:r>
      <w:r>
        <w:rPr>
          <w:rFonts w:cs="Myriad Pro;Myriad Pro" w:ascii="Myriad Pro;Myriad Pro" w:hAnsi="Myriad Pro;Myriad Pro"/>
          <w:kern w:val="0"/>
          <w:sz w:val="20"/>
          <w:lang w:eastAsia="en-GB"/>
        </w:rPr>
        <w:t xml:space="preserve">and is spread by a form of bacteria called </w:t>
      </w:r>
      <w:r>
        <w:rPr>
          <w:rFonts w:cs="Myriad Pro;Myriad Pro" w:ascii="Myriad Pro;Myriad Pro" w:hAnsi="Myriad Pro;Myriad Pro"/>
          <w:i/>
          <w:iCs/>
          <w:kern w:val="0"/>
          <w:sz w:val="20"/>
          <w:lang w:eastAsia="en-GB"/>
        </w:rPr>
        <w:t>spores</w:t>
      </w:r>
      <w:r>
        <w:rPr>
          <w:rFonts w:cs="Myriad Pro;Myriad Pro" w:ascii="Myriad Pro;Myriad Pro" w:hAnsi="Myriad Pro;Myriad Pro"/>
          <w:kern w:val="0"/>
          <w:sz w:val="20"/>
          <w:lang w:eastAsia="en-GB"/>
        </w:rPr>
        <w:t>. People can get anthrax from contact with infected animal products such as wool, meat or infected carcasses. Anthrax spores have been used as biological weapons. Anthrax is caught most commonly by direct contact of the skin with spores, from breathing in the spores, or by swallowing them. It cannot be passed on from one person to another.</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Symptoms usually appear between 48 hours and 7 days after being exposed to the spores.</w:t>
      </w:r>
    </w:p>
    <w:p>
      <w:pPr>
        <w:pStyle w:val="Normal"/>
        <w:rPr>
          <w:rFonts w:ascii="Myriad Pro;Myriad Pro" w:hAnsi="Myriad Pro;Myriad Pro" w:cs="Myriad Pro;Myriad Pro"/>
          <w:kern w:val="0"/>
          <w:sz w:val="20"/>
          <w:lang w:val="en-GB" w:eastAsia="en-GB"/>
        </w:rPr>
      </w:pPr>
      <w:r>
        <w:rPr>
          <w:rFonts w:cs="Myriad Pro;Myriad Pro" w:ascii="Myriad Pro;Myriad Pro" w:hAnsi="Myriad Pro;Myriad Pro"/>
          <w:kern w:val="0"/>
          <w:sz w:val="20"/>
          <w:lang w:val="en-GB" w:eastAsia="en-GB"/>
        </w:rPr>
      </w:r>
      <w:r>
        <mc:AlternateContent>
          <mc:Choice Requires="wps">
            <w:drawing>
              <wp:anchor behindDoc="0" distT="0" distB="0" distL="114935" distR="114935" simplePos="0" locked="0" layoutInCell="1" allowOverlap="1" relativeHeight="2">
                <wp:simplePos x="0" y="0"/>
                <wp:positionH relativeFrom="column">
                  <wp:posOffset>-32385</wp:posOffset>
                </wp:positionH>
                <wp:positionV relativeFrom="paragraph">
                  <wp:posOffset>88265</wp:posOffset>
                </wp:positionV>
                <wp:extent cx="3149600" cy="1961515"/>
                <wp:effectExtent l="0" t="0" r="0" b="0"/>
                <wp:wrapNone/>
                <wp:docPr id="2" name="Frame1"/>
                <a:graphic xmlns:a="http://schemas.openxmlformats.org/drawingml/2006/main">
                  <a:graphicData uri="http://schemas.microsoft.com/office/word/2010/wordprocessingShape">
                    <wps:wsp>
                      <wps:cNvSpPr txBox="1"/>
                      <wps:spPr>
                        <a:xfrm>
                          <a:off x="0" y="0"/>
                          <a:ext cx="3149600" cy="1961515"/>
                        </a:xfrm>
                        <a:prstGeom prst="rect"/>
                        <a:solidFill>
                          <a:srgbClr val="C6D9F1"/>
                        </a:solidFill>
                        <a:ln w="9525">
                          <a:solidFill>
                            <a:srgbClr val="000000"/>
                          </a:solidFill>
                        </a:ln>
                      </wps:spPr>
                      <wps:txbx>
                        <w:txbxContent>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Symptoms of anthrax depend on the nature of exposure:</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skin contact </w:t>
                            </w:r>
                            <w:r>
                              <w:rPr>
                                <w:rFonts w:cs="Myriad Pro;Myriad Pro" w:ascii="Myriad Pro;Myriad Pro" w:hAnsi="Myriad Pro;Myriad Pro"/>
                                <w:kern w:val="0"/>
                                <w:sz w:val="20"/>
                                <w:lang w:eastAsia="en-GB"/>
                              </w:rPr>
                              <w:t xml:space="preserve">– a lesion appears on the skin and develops into an ulcer with a black centre </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inhaled </w:t>
                            </w:r>
                            <w:r>
                              <w:rPr>
                                <w:rFonts w:cs="Myriad Pro;Myriad Pro" w:ascii="Myriad Pro;Myriad Pro" w:hAnsi="Myriad Pro;Myriad Pro"/>
                                <w:kern w:val="0"/>
                                <w:sz w:val="20"/>
                                <w:lang w:eastAsia="en-GB"/>
                              </w:rPr>
                              <w:t>– a flu-like illness begins after breathing in spores, which can develop into severe breathing problems within a few days. This form of anthrax requires hospitalisation and is often fatal.</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swallowed </w:t>
                            </w:r>
                            <w:r>
                              <w:rPr>
                                <w:rFonts w:cs="Myriad Pro;Myriad Pro" w:ascii="Myriad Pro;Myriad Pro" w:hAnsi="Myriad Pro;Myriad Pro"/>
                                <w:kern w:val="0"/>
                                <w:sz w:val="20"/>
                                <w:lang w:eastAsia="en-GB"/>
                              </w:rPr>
                              <w:t xml:space="preserve">- severe abdominal pain, fever and bloody diarrhoea. This type of infection is very rare. </w:t>
                            </w:r>
                          </w:p>
                        </w:txbxContent>
                      </wps:txbx>
                      <wps:bodyPr anchor="t" lIns="91440" tIns="45720" rIns="91440" bIns="45720">
                        <a:spAutoFit/>
                      </wps:bodyPr>
                    </wps:wsp>
                  </a:graphicData>
                </a:graphic>
              </wp:anchor>
            </w:drawing>
          </mc:Choice>
          <mc:Fallback>
            <w:pict>
              <v:rect fillcolor="#C6D9F1" strokecolor="#000000" strokeweight="0pt" style="position:absolute;rotation:-0;width:248pt;height:154.45pt;mso-wrap-distance-left:9.05pt;mso-wrap-distance-right:9.05pt;mso-wrap-distance-top:0pt;mso-wrap-distance-bottom:0pt;margin-top:6.95pt;mso-position-vertical-relative:text;margin-left:-2.55pt;mso-position-horizontal-relative:text">
                <v:textbox>
                  <w:txbxContent>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Symptoms of anthrax depend on the nature of exposure:</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skin contact </w:t>
                      </w:r>
                      <w:r>
                        <w:rPr>
                          <w:rFonts w:cs="Myriad Pro;Myriad Pro" w:ascii="Myriad Pro;Myriad Pro" w:hAnsi="Myriad Pro;Myriad Pro"/>
                          <w:kern w:val="0"/>
                          <w:sz w:val="20"/>
                          <w:lang w:eastAsia="en-GB"/>
                        </w:rPr>
                        <w:t xml:space="preserve">– a lesion appears on the skin and develops into an ulcer with a black centre </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inhaled </w:t>
                      </w:r>
                      <w:r>
                        <w:rPr>
                          <w:rFonts w:cs="Myriad Pro;Myriad Pro" w:ascii="Myriad Pro;Myriad Pro" w:hAnsi="Myriad Pro;Myriad Pro"/>
                          <w:kern w:val="0"/>
                          <w:sz w:val="20"/>
                          <w:lang w:eastAsia="en-GB"/>
                        </w:rPr>
                        <w:t>– a flu-like illness begins after breathing in spores, which can develop into severe breathing problems within a few days. This form of anthrax requires hospitalisation and is often fatal.</w:t>
                      </w:r>
                    </w:p>
                    <w:p>
                      <w:pPr>
                        <w:pStyle w:val="ListParagraph"/>
                        <w:numPr>
                          <w:ilvl w:val="0"/>
                          <w:numId w:val="7"/>
                        </w:numPr>
                        <w:overflowPunct w:val="true"/>
                        <w:textAlignment w:val="auto"/>
                        <w:rPr>
                          <w:rFonts w:ascii="Myriad Pro;Myriad Pro" w:hAnsi="Myriad Pro;Myriad Pro" w:cs="Myriad Pro;Myriad Pro"/>
                          <w:kern w:val="0"/>
                          <w:sz w:val="20"/>
                          <w:lang w:eastAsia="en-GB"/>
                        </w:rPr>
                      </w:pPr>
                      <w:r>
                        <w:rPr>
                          <w:rFonts w:cs="Myriad Pro Light;Myriad Pro Light" w:ascii="Myriad Pro Light;Myriad Pro Light" w:hAnsi="Myriad Pro Light;Myriad Pro Light"/>
                          <w:b/>
                          <w:bCs/>
                          <w:kern w:val="0"/>
                          <w:sz w:val="20"/>
                          <w:lang w:eastAsia="en-GB"/>
                        </w:rPr>
                        <w:t xml:space="preserve">swallowed </w:t>
                      </w:r>
                      <w:r>
                        <w:rPr>
                          <w:rFonts w:cs="Myriad Pro;Myriad Pro" w:ascii="Myriad Pro;Myriad Pro" w:hAnsi="Myriad Pro;Myriad Pro"/>
                          <w:kern w:val="0"/>
                          <w:sz w:val="20"/>
                          <w:lang w:eastAsia="en-GB"/>
                        </w:rPr>
                        <w:t xml:space="preserve">- severe abdominal pain, fever and bloody diarrhoea. This type of infection is very rare. </w:t>
                      </w:r>
                    </w:p>
                  </w:txbxContent>
                </v:textbox>
                <w10:wrap type="none"/>
              </v:rect>
            </w:pict>
          </mc:Fallback>
        </mc:AlternateContent>
      </w:r>
    </w:p>
    <w:p>
      <w:pPr>
        <w:pStyle w:val="Normal"/>
        <w:rPr>
          <w:rFonts w:ascii="Myriad Pro;Myriad Pro" w:hAnsi="Myriad Pro;Myriad Pro" w:cs="Myriad Pro;Myriad Pro"/>
          <w:b/>
          <w:kern w:val="0"/>
          <w:sz w:val="20"/>
          <w:lang w:eastAsia="en-GB"/>
        </w:rPr>
      </w:pPr>
      <w:r>
        <w:rPr>
          <w:rFonts w:cs="Myriad Pro;Myriad Pro" w:ascii="Myriad Pro;Myriad Pro" w:hAnsi="Myriad Pro;Myriad Pro"/>
          <w:b/>
          <w:kern w:val="0"/>
          <w:sz w:val="20"/>
          <w:lang w:eastAsia="en-G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overflowPunct w:val="true"/>
        <w:textAlignment w:val="auto"/>
        <w:rPr>
          <w:rFonts w:ascii="Myriad Pro;Myriad Pro" w:hAnsi="Myriad Pro;Myriad Pro" w:cs="Myriad Pro;Myriad Pro"/>
          <w:b/>
          <w:color w:val="000000"/>
          <w:kern w:val="0"/>
          <w:sz w:val="24"/>
          <w:szCs w:val="24"/>
          <w:lang w:eastAsia="en-GB"/>
        </w:rPr>
      </w:pPr>
      <w:r>
        <w:rPr>
          <w:rFonts w:cs="Myriad Pro;Myriad Pro" w:ascii="Myriad Pro;Myriad Pro" w:hAnsi="Myriad Pro;Myriad Pro"/>
          <w:b/>
          <w:color w:val="000000"/>
          <w:kern w:val="0"/>
          <w:sz w:val="24"/>
          <w:szCs w:val="24"/>
          <w:lang w:eastAsia="en-GB"/>
        </w:rPr>
      </w:r>
    </w:p>
    <w:p>
      <w:pPr>
        <w:pStyle w:val="Normal"/>
        <w:overflowPunct w:val="true"/>
        <w:spacing w:before="0" w:after="120"/>
        <w:textAlignment w:val="auto"/>
        <w:rPr>
          <w:rFonts w:ascii="Myriad Pro;Myriad Pro" w:hAnsi="Myriad Pro;Myriad Pro" w:cs="Myriad Pro;Myriad Pro"/>
          <w:kern w:val="0"/>
          <w:sz w:val="24"/>
          <w:szCs w:val="24"/>
          <w:lang w:eastAsia="en-GB"/>
        </w:rPr>
      </w:pPr>
      <w:r>
        <w:rPr>
          <w:b/>
          <w:bCs/>
          <w:sz w:val="23"/>
          <w:szCs w:val="23"/>
        </w:rPr>
        <w:t>Anthrax vaccine</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 xml:space="preserve">Anthrax vaccine protects against anthrax infection. The vaccine does not contain live bacteria and does not cause the disease. It protects against both the skin infection, which is more common, and that caused by breathing in the spores, which is more dangerous. </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The vaccine is given into the muscle, usually in the upper arm. It can be given safely at the same time as other vaccines.</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A complete course is four doses over a period of about seven months. The first three doses are given with a gap of at least three weeks between each and the fourth dose given at least six months after the third dose. You may require further booster doses depending on your role. Your clinician will advise how often you need the booster doses.</w:t>
      </w:r>
    </w:p>
    <w:p>
      <w:pPr>
        <w:pStyle w:val="Default"/>
        <w:rPr>
          <w:rFonts w:ascii="Myriad Pro;Myriad Pro" w:hAnsi="Myriad Pro;Myriad Pro" w:cs="Times New Roman"/>
          <w:color w:val="000000"/>
          <w:kern w:val="0"/>
          <w:sz w:val="20"/>
          <w:lang w:eastAsia="en-GB"/>
        </w:rPr>
      </w:pPr>
      <w:r>
        <w:rPr>
          <w:rFonts w:cs="Times New Roman" w:ascii="Myriad Pro;Myriad Pro" w:hAnsi="Myriad Pro;Myriad Pro"/>
          <w:color w:val="000000"/>
          <w:kern w:val="0"/>
          <w:sz w:val="20"/>
          <w:lang w:eastAsia="en-GB"/>
        </w:rPr>
      </w:r>
    </w:p>
    <w:p>
      <w:pPr>
        <w:pStyle w:val="Normal"/>
        <w:overflowPunct w:val="true"/>
        <w:spacing w:before="0" w:after="120"/>
        <w:textAlignment w:val="auto"/>
        <w:rPr>
          <w:rFonts w:ascii="Myriad Pro;Myriad Pro" w:hAnsi="Myriad Pro;Myriad Pro" w:cs="Myriad Pro;Myriad Pro"/>
          <w:kern w:val="0"/>
          <w:sz w:val="24"/>
          <w:szCs w:val="24"/>
          <w:lang w:eastAsia="en-GB"/>
        </w:rPr>
      </w:pPr>
      <w:r>
        <w:rPr>
          <w:rStyle w:val="A1"/>
        </w:rPr>
        <w:t>Who should get the vaccine?</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 xml:space="preserve">Anthrax spores occur naturally but can also be used as a biological weapon. The vaccine is recommended for people in roles where they may get exposed to anthrax, accidentally or deliberately. </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will be offered the vaccine if you are considered to be at risk because of your role or where you will be posted.</w:t>
      </w:r>
    </w:p>
    <w:p>
      <w:pPr>
        <w:pStyle w:val="Default"/>
        <w:rPr>
          <w:rFonts w:ascii="Myriad Pro;Myriad Pro" w:hAnsi="Myriad Pro;Myriad Pro" w:cs="Times New Roman"/>
          <w:color w:val="000000"/>
          <w:kern w:val="0"/>
          <w:sz w:val="20"/>
          <w:lang w:eastAsia="en-GB"/>
        </w:rPr>
      </w:pPr>
      <w:r>
        <w:rPr>
          <w:rFonts w:cs="Times New Roman" w:ascii="Myriad Pro;Myriad Pro" w:hAnsi="Myriad Pro;Myriad Pro"/>
          <w:color w:val="000000"/>
          <w:kern w:val="0"/>
          <w:sz w:val="20"/>
          <w:lang w:eastAsia="en-GB"/>
        </w:rPr>
      </w:r>
    </w:p>
    <w:p>
      <w:pPr>
        <w:pStyle w:val="Normal"/>
        <w:rPr/>
      </w:pPr>
      <w:r>
        <w:rPr>
          <w:rFonts w:eastAsia="Arial"/>
          <w:sz w:val="23"/>
        </w:rPr>
        <w:t xml:space="preserve"> </w:t>
      </w:r>
      <w:r>
        <w:rPr>
          <w:rStyle w:val="A1"/>
          <w:sz w:val="23"/>
        </w:rPr>
        <w:t>Who should not get the vaccine?</w:t>
      </w:r>
    </w:p>
    <w:p>
      <w:pPr>
        <w:pStyle w:val="Normal"/>
        <w:rPr>
          <w:rStyle w:val="A1"/>
          <w:lang w:val="en-GB" w:eastAsia="en-GB"/>
        </w:rPr>
      </w:pPr>
      <w:r>
        <w:rPr/>
      </w:r>
      <w:r>
        <mc:AlternateContent>
          <mc:Choice Requires="wps">
            <w:drawing>
              <wp:anchor behindDoc="0" distT="0" distB="0" distL="114935" distR="114935" simplePos="0" locked="0" layoutInCell="1" allowOverlap="1" relativeHeight="3">
                <wp:simplePos x="0" y="0"/>
                <wp:positionH relativeFrom="column">
                  <wp:posOffset>36830</wp:posOffset>
                </wp:positionH>
                <wp:positionV relativeFrom="paragraph">
                  <wp:posOffset>79375</wp:posOffset>
                </wp:positionV>
                <wp:extent cx="3085465" cy="2684780"/>
                <wp:effectExtent l="0" t="0" r="0" b="0"/>
                <wp:wrapNone/>
                <wp:docPr id="3" name="Frame2"/>
                <a:graphic xmlns:a="http://schemas.openxmlformats.org/drawingml/2006/main">
                  <a:graphicData uri="http://schemas.microsoft.com/office/word/2010/wordprocessingShape">
                    <wps:wsp>
                      <wps:cNvSpPr txBox="1"/>
                      <wps:spPr>
                        <a:xfrm>
                          <a:off x="0" y="0"/>
                          <a:ext cx="3085465" cy="2684780"/>
                        </a:xfrm>
                        <a:prstGeom prst="rect"/>
                        <a:solidFill>
                          <a:srgbClr val="C6D9F1"/>
                        </a:solidFill>
                        <a:ln w="9525">
                          <a:solidFill>
                            <a:srgbClr val="000000"/>
                          </a:solidFill>
                        </a:ln>
                      </wps:spPr>
                      <wps:txbx>
                        <w:txbxContent>
                          <w:p>
                            <w:pPr>
                              <w:pStyle w:val="Normal"/>
                              <w:overflowPunct w:val="true"/>
                              <w:spacing w:lineRule="atLeast" w:line="201" w:before="0" w:after="100"/>
                              <w:textAlignment w:val="auto"/>
                              <w:rPr/>
                            </w:pPr>
                            <w:r>
                              <w:rPr>
                                <w:rFonts w:eastAsia="Myriad Pro;Myriad Pro" w:cs="Myriad Pro;Myriad Pro" w:ascii="Myriad Pro;Myriad Pro" w:hAnsi="Myriad Pro;Myriad Pro"/>
                                <w:kern w:val="0"/>
                                <w:sz w:val="24"/>
                                <w:szCs w:val="24"/>
                                <w:lang w:eastAsia="en-GB"/>
                              </w:rPr>
                              <w:t xml:space="preserve"> </w:t>
                            </w:r>
                            <w:r>
                              <w:rPr>
                                <w:rFonts w:cs="Myriad Pro;Myriad Pro" w:ascii="Myriad Pro;Myriad Pro" w:hAnsi="Myriad Pro;Myriad Pro"/>
                                <w:kern w:val="0"/>
                                <w:sz w:val="20"/>
                                <w:lang w:eastAsia="en-GB"/>
                              </w:rPr>
                              <w:t>There are very few people who cannot receive the anthrax vaccine. You should tell your doctor or nurse before getting vaccinated if:</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had a confirmed serious allergic reaction, known as anaphylaxis or anaphylactic reaction, to the vaccine in the past</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had a confirmed anaphylactic reaction to any of the vaccine components</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any serious health conditions you know of</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a fever, severe infection or acute illness, in which case the injection can be given safely once you are well again</w:t>
                            </w:r>
                          </w:p>
                          <w:p>
                            <w:pPr>
                              <w:pStyle w:val="Normal"/>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r>
                          </w:p>
                          <w:p>
                            <w:pPr>
                              <w:pStyle w:val="Normal"/>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If you had a non-allergic local or general reaction to a previous dose, this should not generally be a reason to not have future doses.</w:t>
                            </w:r>
                          </w:p>
                        </w:txbxContent>
                      </wps:txbx>
                      <wps:bodyPr anchor="t" lIns="91440" tIns="45720" rIns="91440" bIns="45720">
                        <a:spAutoFit/>
                      </wps:bodyPr>
                    </wps:wsp>
                  </a:graphicData>
                </a:graphic>
              </wp:anchor>
            </w:drawing>
          </mc:Choice>
          <mc:Fallback>
            <w:pict>
              <v:rect fillcolor="#C6D9F1" strokecolor="#000000" strokeweight="0pt" style="position:absolute;rotation:-0;width:242.95pt;height:211.4pt;mso-wrap-distance-left:9.05pt;mso-wrap-distance-right:9.05pt;mso-wrap-distance-top:0pt;mso-wrap-distance-bottom:0pt;margin-top:6.25pt;mso-position-vertical-relative:text;margin-left:2.9pt;mso-position-horizontal-relative:text">
                <v:textbox>
                  <w:txbxContent>
                    <w:p>
                      <w:pPr>
                        <w:pStyle w:val="Normal"/>
                        <w:overflowPunct w:val="true"/>
                        <w:spacing w:lineRule="atLeast" w:line="201" w:before="0" w:after="100"/>
                        <w:textAlignment w:val="auto"/>
                        <w:rPr/>
                      </w:pPr>
                      <w:r>
                        <w:rPr>
                          <w:rFonts w:eastAsia="Myriad Pro;Myriad Pro" w:cs="Myriad Pro;Myriad Pro" w:ascii="Myriad Pro;Myriad Pro" w:hAnsi="Myriad Pro;Myriad Pro"/>
                          <w:kern w:val="0"/>
                          <w:sz w:val="24"/>
                          <w:szCs w:val="24"/>
                          <w:lang w:eastAsia="en-GB"/>
                        </w:rPr>
                        <w:t xml:space="preserve"> </w:t>
                      </w:r>
                      <w:r>
                        <w:rPr>
                          <w:rFonts w:cs="Myriad Pro;Myriad Pro" w:ascii="Myriad Pro;Myriad Pro" w:hAnsi="Myriad Pro;Myriad Pro"/>
                          <w:kern w:val="0"/>
                          <w:sz w:val="20"/>
                          <w:lang w:eastAsia="en-GB"/>
                        </w:rPr>
                        <w:t>There are very few people who cannot receive the anthrax vaccine. You should tell your doctor or nurse before getting vaccinated if:</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had a confirmed serious allergic reaction, known as anaphylaxis or anaphylactic reaction, to the vaccine in the past</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had a confirmed anaphylactic reaction to any of the vaccine components</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any serious health conditions you know of</w:t>
                      </w:r>
                    </w:p>
                    <w:p>
                      <w:pPr>
                        <w:pStyle w:val="ListParagraph"/>
                        <w:numPr>
                          <w:ilvl w:val="0"/>
                          <w:numId w:val="5"/>
                        </w:numPr>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have a fever, severe infection or acute illness, in which case the injection can be given safely once you are well again</w:t>
                      </w:r>
                    </w:p>
                    <w:p>
                      <w:pPr>
                        <w:pStyle w:val="Normal"/>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r>
                    </w:p>
                    <w:p>
                      <w:pPr>
                        <w:pStyle w:val="Normal"/>
                        <w:overflowPunct w:val="true"/>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If you had a non-allergic local or general reaction to a previous dose, this should not generally be a reason to not have future doses.</w:t>
                      </w:r>
                    </w:p>
                  </w:txbxContent>
                </v:textbox>
                <w10:wrap type="none"/>
              </v:rect>
            </w:pict>
          </mc:Fallback>
        </mc:AlternateContent>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Normal"/>
        <w:rPr>
          <w:rStyle w:val="A1"/>
        </w:rPr>
      </w:pPr>
      <w:r>
        <w:rPr/>
      </w:r>
    </w:p>
    <w:p>
      <w:pPr>
        <w:pStyle w:val="Default"/>
        <w:rPr>
          <w:rStyle w:val="A1"/>
          <w:rFonts w:cs="Times New Roman"/>
          <w:color w:val="000000"/>
        </w:rPr>
      </w:pPr>
      <w:r>
        <w:rPr/>
      </w:r>
    </w:p>
    <w:p>
      <w:pPr>
        <w:pStyle w:val="Normal"/>
        <w:spacing w:before="0" w:after="120"/>
        <w:rPr>
          <w:b/>
          <w:bCs/>
          <w:sz w:val="23"/>
          <w:szCs w:val="23"/>
        </w:rPr>
      </w:pPr>
      <w:r>
        <w:rPr>
          <w:b/>
          <w:bCs/>
          <w:sz w:val="23"/>
          <w:szCs w:val="23"/>
        </w:rPr>
        <w:t>How does a vaccine work?</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On receiving a vaccine, the immune system in your body produces antibodies which are used to fight disease, without actually infecting you with the disease. If you are in contact with the disease in the future, your immune system is able to recognise it and produce the antibodies needed to fight it.</w:t>
      </w:r>
    </w:p>
    <w:p>
      <w:pPr>
        <w:pStyle w:val="Default"/>
        <w:rPr>
          <w:rFonts w:ascii="Myriad Pro;Myriad Pro" w:hAnsi="Myriad Pro;Myriad Pro" w:cs="Times New Roman"/>
          <w:color w:val="000000"/>
          <w:kern w:val="0"/>
          <w:sz w:val="20"/>
          <w:lang w:eastAsia="en-GB"/>
        </w:rPr>
      </w:pPr>
      <w:r>
        <w:rPr>
          <w:rFonts w:cs="Times New Roman" w:ascii="Myriad Pro;Myriad Pro" w:hAnsi="Myriad Pro;Myriad Pro"/>
          <w:color w:val="000000"/>
          <w:kern w:val="0"/>
          <w:sz w:val="20"/>
          <w:lang w:eastAsia="en-GB"/>
        </w:rPr>
      </w:r>
    </w:p>
    <w:p>
      <w:pPr>
        <w:pStyle w:val="Normal"/>
        <w:spacing w:before="0" w:after="120"/>
        <w:rPr>
          <w:b/>
          <w:bCs/>
          <w:sz w:val="23"/>
          <w:szCs w:val="23"/>
        </w:rPr>
      </w:pPr>
      <w:r>
        <w:rPr>
          <w:b/>
          <w:bCs/>
          <w:sz w:val="23"/>
          <w:szCs w:val="23"/>
        </w:rPr>
        <w:t>What are the side effects of the vaccine?</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 xml:space="preserve">Anthrax vaccine is considered safe and the risk of serious harm from the vaccine is extremely small. </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 xml:space="preserve">The most common reactions include pain, swelling or redness at the injection site which can last for two days or more. You may experience flu like symptoms and a general feeling of being unwell. Swollen glands, physical weakness, a rash or nausea and vomiting may occur in rare cases. </w:t>
      </w:r>
    </w:p>
    <w:p>
      <w:pPr>
        <w:pStyle w:val="Normal"/>
        <w:overflowPunct w:val="true"/>
        <w:spacing w:lineRule="atLeast" w:line="241" w:before="0" w:after="100"/>
        <w:textAlignment w:val="auto"/>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 xml:space="preserve">Anaphylaxis, a serious allergic reaction within minutes of vaccination, is very rare. </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should read the vaccine information leaflet that will be given to you after vaccination, for further details on the side effects.</w:t>
      </w:r>
    </w:p>
    <w:p>
      <w:pPr>
        <w:pStyle w:val="Default"/>
        <w:rPr>
          <w:rFonts w:ascii="Myriad Pro;Myriad Pro" w:hAnsi="Myriad Pro;Myriad Pro" w:cs="Times New Roman"/>
          <w:color w:val="000000"/>
          <w:kern w:val="0"/>
          <w:sz w:val="20"/>
          <w:lang w:eastAsia="en-GB"/>
        </w:rPr>
      </w:pPr>
      <w:r>
        <w:rPr>
          <w:rFonts w:cs="Times New Roman" w:ascii="Myriad Pro;Myriad Pro" w:hAnsi="Myriad Pro;Myriad Pro"/>
          <w:color w:val="000000"/>
          <w:kern w:val="0"/>
          <w:sz w:val="20"/>
          <w:lang w:eastAsia="en-GB"/>
        </w:rPr>
      </w:r>
    </w:p>
    <w:p>
      <w:pPr>
        <w:pStyle w:val="Normal"/>
        <w:spacing w:before="0" w:after="120"/>
        <w:rPr>
          <w:b/>
          <w:bCs/>
          <w:sz w:val="23"/>
          <w:szCs w:val="23"/>
        </w:rPr>
      </w:pPr>
      <w:r>
        <w:rPr>
          <w:b/>
          <w:bCs/>
          <w:sz w:val="23"/>
          <w:szCs w:val="23"/>
        </w:rPr>
        <w:t>What if I have a reaction to the vaccine?</w:t>
      </w:r>
    </w:p>
    <w:p>
      <w:pPr>
        <w:pStyle w:val="Normal"/>
        <w:rPr/>
      </w:pPr>
      <w:r>
        <w:rPr>
          <w:rFonts w:cs="Myriad Pro;Myriad Pro" w:ascii="Myriad Pro;Myriad Pro" w:hAnsi="Myriad Pro;Myriad Pro"/>
          <w:kern w:val="0"/>
          <w:sz w:val="20"/>
          <w:lang w:eastAsia="en-GB"/>
        </w:rPr>
        <w:t>You should look out for any signs or symptoms that concern you, even if not listed above. If you feel seriously unwell after receiving the vaccine, you should seek immediate medical assistance.</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r>
    </w:p>
    <w:p>
      <w:pPr>
        <w:pStyle w:val="Normal"/>
        <w:spacing w:before="0" w:after="120"/>
        <w:rPr>
          <w:b/>
          <w:bCs/>
          <w:sz w:val="23"/>
          <w:szCs w:val="23"/>
        </w:rPr>
      </w:pPr>
      <w:r>
        <w:rPr>
          <w:b/>
          <w:bCs/>
          <w:sz w:val="23"/>
          <w:szCs w:val="23"/>
        </w:rPr>
        <w:t>How can I learn more?</w:t>
      </w:r>
    </w:p>
    <w:p>
      <w:pPr>
        <w:pStyle w:val="Normal"/>
        <w:rPr>
          <w:rFonts w:ascii="Myriad Pro;Myriad Pro" w:hAnsi="Myriad Pro;Myriad Pro" w:cs="Myriad Pro;Myriad Pro"/>
          <w:kern w:val="0"/>
          <w:sz w:val="20"/>
          <w:lang w:eastAsia="en-GB"/>
        </w:rPr>
      </w:pPr>
      <w:r>
        <w:rPr>
          <w:rFonts w:cs="Myriad Pro;Myriad Pro" w:ascii="Myriad Pro;Myriad Pro" w:hAnsi="Myriad Pro;Myriad Pro"/>
          <w:kern w:val="0"/>
          <w:sz w:val="20"/>
          <w:lang w:eastAsia="en-GB"/>
        </w:rPr>
        <w:t>You should ask a member of the medical team if you have further questions.</w:t>
      </w:r>
    </w:p>
    <w:sectPr>
      <w:type w:val="continuous"/>
      <w:pgSz w:w="11906" w:h="16838"/>
      <w:pgMar w:left="720" w:right="720" w:gutter="0" w:header="0" w:top="1077" w:footer="0" w:bottom="1077"/>
      <w:cols w:num="2" w:space="708" w:equalWidth="true" w:sep="false"/>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Myriad Pro Light">
    <w:charset w:val="00" w:characterSet="windows-1252"/>
    <w:family w:val="swiss"/>
    <w:pitch w:val="default"/>
  </w:font>
  <w:font w:name="Myriad Pro">
    <w:charset w:val="00" w:characterSet="windows-1252"/>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u w:val="non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u w:val="non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u w:val="non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u w:val="non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bullet"/>
      <w:lvlText w:val=""/>
      <w:lvlJc w:val="start"/>
      <w:pPr>
        <w:tabs>
          <w:tab w:val="num" w:pos="0"/>
        </w:tabs>
        <w:ind w:start="360" w:hanging="360"/>
      </w:pPr>
      <w:rPr>
        <w:rFonts w:ascii="Symbol" w:hAnsi="Symbol" w:cs="Symbol" w:hint="default"/>
      </w:rPr>
    </w:lvl>
  </w:abstractNum>
  <w:abstractNum w:abstractNumId="6">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7">
    <w:lvl w:ilvl="0">
      <w:start w:val="1"/>
      <w:numFmt w:val="bullet"/>
      <w:lvlText w:val=""/>
      <w:lvlJc w:val="start"/>
      <w:pPr>
        <w:tabs>
          <w:tab w:val="num" w:pos="0"/>
        </w:tabs>
        <w:ind w:start="360" w:hanging="360"/>
      </w:pPr>
      <w:rPr>
        <w:rFonts w:ascii="Symbol" w:hAnsi="Symbol" w:cs="Symbol" w:hint="default"/>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0"/>
  <w:displayBackgroundShape/>
  <w:defaultTabStop w:val="567"/>
  <w:autoHyphenation w:val="true"/>
  <w:hyphenationZone w:val="0"/>
  <w:compat>
    <w:compatSetting w:name="compatibilityMode" w:uri="http://schemas.microsoft.com/office/word" w:val="11"/>
  </w:compat>
  <w:docVars>
    <w:docVar w:name="DL Format" w:val="RL"/>
    <w:docVar w:name="DW Format" w:val="AP"/>
    <w:docVar w:name="DW FormatName" w:val="Action Plan"/>
    <w:docVar w:name="DW SBapp" w:val=" 0"/>
    <w:docVar w:name="DW SBfap" w:val=" 1"/>
    <w:docVar w:name="DW SigBlock"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b/>
      <w:i/>
      <w:sz w:val="28"/>
    </w:rPr>
  </w:style>
  <w:style w:type="paragraph" w:styleId="Heading3">
    <w:name w:val="heading 3"/>
    <w:basedOn w:val="Normal"/>
    <w:next w:val="Normal"/>
    <w:qFormat/>
    <w:pPr>
      <w:keepNext w:val="true"/>
      <w:numPr>
        <w:ilvl w:val="2"/>
        <w:numId w:val="1"/>
      </w:numPr>
      <w:spacing w:before="240" w:after="60"/>
      <w:outlineLvl w:val="2"/>
    </w:pPr>
    <w:rPr>
      <w:b/>
      <w:sz w:val="26"/>
    </w:rPr>
  </w:style>
  <w:style w:type="paragraph" w:styleId="Heading4">
    <w:name w:val="heading 4"/>
    <w:basedOn w:val="Normal"/>
    <w:next w:val="Normal"/>
    <w:qFormat/>
    <w:pPr>
      <w:keepNext w:val="true"/>
      <w:numPr>
        <w:ilvl w:val="3"/>
        <w:numId w:val="1"/>
      </w:numPr>
      <w:spacing w:before="240" w:after="60"/>
      <w:outlineLvl w:val="3"/>
    </w:pPr>
    <w:rPr>
      <w:b/>
      <w:sz w:val="28"/>
    </w:rPr>
  </w:style>
  <w:style w:type="paragraph" w:styleId="Heading5">
    <w:name w:val="heading 5"/>
    <w:basedOn w:val="Normal"/>
    <w:next w:val="Normal"/>
    <w:qFormat/>
    <w:pPr>
      <w:numPr>
        <w:ilvl w:val="4"/>
        <w:numId w:val="1"/>
      </w:numPr>
      <w:spacing w:before="240" w:after="60"/>
      <w:outlineLvl w:val="4"/>
    </w:pPr>
    <w:rPr>
      <w:b/>
      <w:i/>
      <w:sz w:val="26"/>
    </w:rPr>
  </w:style>
  <w:style w:type="paragraph" w:styleId="Heading6">
    <w:name w:val="heading 6"/>
    <w:basedOn w:val="Normal"/>
    <w:next w:val="Normal"/>
    <w:qFormat/>
    <w:pPr>
      <w:numPr>
        <w:ilvl w:val="5"/>
        <w:numId w:val="1"/>
      </w:numPr>
      <w:spacing w:before="240" w:after="60"/>
      <w:outlineLvl w:val="5"/>
    </w:pPr>
    <w:rPr>
      <w:b/>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3z1">
    <w:name w:val="WW8Num3z1"/>
    <w:qFormat/>
    <w:rPr>
      <w:rFonts w:ascii="Arial" w:hAnsi="Arial" w:cs="Arial"/>
      <w:b w:val="false"/>
      <w:i w:val="false"/>
      <w:caps w:val="false"/>
      <w:smallCaps w:val="false"/>
      <w:strike w:val="false"/>
      <w:dstrike w:val="false"/>
      <w:vanish w:val="false"/>
      <w:color w:val="000000"/>
      <w:position w:val="0"/>
      <w:sz w:val="20"/>
      <w:sz w:val="20"/>
      <w:u w:val="none"/>
      <w:vertAlign w:val="baseline"/>
    </w:rPr>
  </w:style>
  <w:style w:type="character" w:styleId="WW8Num3z5">
    <w:name w:val="WW8Num3z5"/>
    <w:qFormat/>
    <w:rPr>
      <w:b w:val="false"/>
      <w:i w:val="false"/>
      <w:sz w:val="24"/>
    </w:rPr>
  </w:style>
  <w:style w:type="character" w:styleId="WW8Num3z7">
    <w:name w:val="WW8Num3z7"/>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7z1">
    <w:name w:val="WW8Num7z1"/>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7z5">
    <w:name w:val="WW8Num7z5"/>
    <w:qFormat/>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8z5">
    <w:name w:val="WW8Num8z5"/>
    <w:qFormat/>
    <w:rPr>
      <w:b w:val="false"/>
      <w:i w:val="false"/>
      <w:sz w:val="24"/>
    </w:rPr>
  </w:style>
  <w:style w:type="character" w:styleId="WW8Num8z7">
    <w:name w:val="WW8Num8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caps/>
      <w:u w:val="none"/>
    </w:rPr>
  </w:style>
  <w:style w:type="character" w:styleId="PageNumber">
    <w:name w:val="page number"/>
    <w:basedOn w:val="DefaultParagraphFont"/>
    <w:rPr/>
  </w:style>
  <w:style w:type="character" w:styleId="PlaceholderText">
    <w:name w:val="Placeholder Text"/>
    <w:qFormat/>
    <w:rPr>
      <w:color w:val="808080"/>
    </w:rPr>
  </w:style>
  <w:style w:type="character" w:styleId="BalloonTextChar">
    <w:name w:val="Balloon Text Char"/>
    <w:qFormat/>
    <w:rPr>
      <w:rFonts w:ascii="Tahoma" w:hAnsi="Tahoma" w:cs="Tahoma"/>
      <w:kern w:val="2"/>
      <w:sz w:val="16"/>
      <w:szCs w:val="16"/>
    </w:rPr>
  </w:style>
  <w:style w:type="character" w:styleId="A6">
    <w:name w:val="A6"/>
    <w:qFormat/>
    <w:rPr>
      <w:rFonts w:cs="Myriad Pro Light;Myriad Pro Light"/>
      <w:b/>
      <w:bCs/>
      <w:color w:val="000000"/>
      <w:sz w:val="52"/>
      <w:szCs w:val="52"/>
    </w:rPr>
  </w:style>
  <w:style w:type="character" w:styleId="A3">
    <w:name w:val="A3"/>
    <w:qFormat/>
    <w:rPr>
      <w:rFonts w:cs="Myriad Pro Light;Myriad Pro Light"/>
      <w:color w:val="000000"/>
      <w:sz w:val="40"/>
      <w:szCs w:val="40"/>
    </w:rPr>
  </w:style>
  <w:style w:type="character" w:styleId="A2">
    <w:name w:val="A2"/>
    <w:qFormat/>
    <w:rPr>
      <w:rFonts w:cs="Myriad Pro;Myriad Pro"/>
      <w:i/>
      <w:iCs/>
      <w:color w:val="000000"/>
      <w:sz w:val="20"/>
      <w:szCs w:val="20"/>
    </w:rPr>
  </w:style>
  <w:style w:type="character" w:styleId="A1">
    <w:name w:val="A1"/>
    <w:qFormat/>
    <w:rPr>
      <w:rFonts w:cs="Myriad Pro Light;Myriad Pro Light"/>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pPr>
    <w:rPr/>
  </w:style>
  <w:style w:type="paragraph" w:styleId="DWAnnex">
    <w:name w:val="DW Annex"/>
    <w:basedOn w:val="Normal"/>
    <w:qFormat/>
    <w:pPr/>
    <w:rPr>
      <w:b/>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pPr>
    <w:rPr/>
  </w:style>
  <w:style w:type="paragraph" w:styleId="DWParaNum2">
    <w:name w:val="DW Para Num2"/>
    <w:basedOn w:val="DWPara"/>
    <w:qFormat/>
    <w:pPr>
      <w:numPr>
        <w:ilvl w:val="0"/>
        <w:numId w:val="9"/>
      </w:numPr>
    </w:pPr>
    <w:rPr/>
  </w:style>
  <w:style w:type="paragraph" w:styleId="DWParaNum3">
    <w:name w:val="DW Para Num3"/>
    <w:basedOn w:val="DWPara"/>
    <w:qFormat/>
    <w:pPr>
      <w:numPr>
        <w:ilvl w:val="0"/>
        <w:numId w:val="9"/>
      </w:numPr>
    </w:pPr>
    <w:rPr/>
  </w:style>
  <w:style w:type="paragraph" w:styleId="DWParaNum4">
    <w:name w:val="DW Para Num4"/>
    <w:basedOn w:val="DWPara"/>
    <w:qFormat/>
    <w:pPr>
      <w:numPr>
        <w:ilvl w:val="0"/>
        <w:numId w:val="9"/>
      </w:numPr>
    </w:pPr>
    <w:rPr/>
  </w:style>
  <w:style w:type="paragraph" w:styleId="DWParaNum5">
    <w:name w:val="DW Para Num5"/>
    <w:basedOn w:val="DWPara"/>
    <w:qFormat/>
    <w:pPr>
      <w:numPr>
        <w:ilvl w:val="0"/>
        <w:numId w:val="9"/>
      </w:numPr>
    </w:pPr>
    <w:rPr/>
  </w:style>
  <w:style w:type="paragraph" w:styleId="DWParaPB1">
    <w:name w:val="DW Para PB1"/>
    <w:basedOn w:val="DWPara"/>
    <w:qFormat/>
    <w:pPr>
      <w:numPr>
        <w:ilvl w:val="0"/>
        <w:numId w:val="8"/>
      </w:numPr>
    </w:pPr>
    <w:rPr/>
  </w:style>
  <w:style w:type="paragraph" w:styleId="DWParaPB2">
    <w:name w:val="DW Para PB2"/>
    <w:basedOn w:val="DWPara"/>
    <w:qFormat/>
    <w:pPr>
      <w:numPr>
        <w:ilvl w:val="0"/>
        <w:numId w:val="8"/>
      </w:numPr>
    </w:pPr>
    <w:rPr/>
  </w:style>
  <w:style w:type="paragraph" w:styleId="DWParaPB3">
    <w:name w:val="DW Para PB3"/>
    <w:basedOn w:val="DWPara"/>
    <w:qFormat/>
    <w:pPr>
      <w:numPr>
        <w:ilvl w:val="0"/>
        <w:numId w:val="8"/>
      </w:numPr>
    </w:pPr>
    <w:rPr/>
  </w:style>
  <w:style w:type="paragraph" w:styleId="DWParaPB4">
    <w:name w:val="DW Para PB4"/>
    <w:basedOn w:val="DWPara"/>
    <w:qFormat/>
    <w:pPr>
      <w:numPr>
        <w:ilvl w:val="0"/>
        <w:numId w:val="8"/>
      </w:numPr>
    </w:pPr>
    <w:rPr/>
  </w:style>
  <w:style w:type="paragraph" w:styleId="DWParaPB5">
    <w:name w:val="DW Para PB5"/>
    <w:basedOn w:val="DWPara"/>
    <w:qFormat/>
    <w:pPr>
      <w:numPr>
        <w:ilvl w:val="0"/>
        <w:numId w:val="8"/>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Myriad Pro Light;Myriad Pro Light" w:hAnsi="Myriad Pro Light;Myriad Pro Light" w:eastAsia="Times New Roman" w:cs="Myriad Pro Light;Myriad Pro Light"/>
      <w:color w:val="000000"/>
      <w:sz w:val="24"/>
      <w:szCs w:val="24"/>
      <w:lang w:val="en-GB" w:bidi="ar-SA" w:eastAsia="zh-CN"/>
    </w:rPr>
  </w:style>
  <w:style w:type="paragraph" w:styleId="Pa0">
    <w:name w:val="Pa0"/>
    <w:basedOn w:val="Default"/>
    <w:next w:val="Default"/>
    <w:qFormat/>
    <w:pPr>
      <w:spacing w:lineRule="atLeast" w:line="241"/>
    </w:pPr>
    <w:rPr>
      <w:rFonts w:cs="Times New Roman"/>
      <w:color w:val="000000"/>
    </w:rPr>
  </w:style>
  <w:style w:type="paragraph" w:styleId="Pa1">
    <w:name w:val="Pa1"/>
    <w:basedOn w:val="Default"/>
    <w:next w:val="Default"/>
    <w:qFormat/>
    <w:pPr>
      <w:spacing w:lineRule="atLeast" w:line="241"/>
    </w:pPr>
    <w:rPr>
      <w:rFonts w:cs="Times New Roman"/>
      <w:color w:val="000000"/>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2017-12-14T19:41:00Z</dcterms:created>
  <dc:creator>dermontm240</dc:creator>
  <dc:description/>
  <dc:language>en-GB</dc:language>
  <cp:lastModifiedBy>johnstonet191</cp:lastModifiedBy>
  <cp:lastPrinted>1901-01-01T00:00:00Z</cp:lastPrinted>
  <dcterms:modified xsi:type="dcterms:W3CDTF">2017-12-14T19:41:00Z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
  </property>
  <property fmtid="{D5CDD505-2E9C-101B-9397-08002B2CF9AE}" pid="3" name="Copyright">
    <vt:lpwstr/>
  </property>
  <property fmtid="{D5CDD505-2E9C-101B-9397-08002B2CF9AE}" pid="4" name="DPADisclosabilityIndicator">
    <vt:lpwstr/>
  </property>
  <property fmtid="{D5CDD505-2E9C-101B-9397-08002B2CF9AE}" pid="5" name="DPAExemption">
    <vt:lpwstr/>
  </property>
  <property fmtid="{D5CDD505-2E9C-101B-9397-08002B2CF9AE}" pid="6" name="Description0">
    <vt:lpwstr/>
  </property>
  <property fmtid="{D5CDD505-2E9C-101B-9397-08002B2CF9AE}" pid="7" name="DocumentVersion">
    <vt:lpwstr/>
  </property>
  <property fmtid="{D5CDD505-2E9C-101B-9397-08002B2CF9AE}" pid="8" name="EIRDisclosabilityIndicator">
    <vt:lpwstr/>
  </property>
  <property fmtid="{D5CDD505-2E9C-101B-9397-08002B2CF9AE}" pid="9" name="EIRException">
    <vt:lpwstr/>
  </property>
  <property fmtid="{D5CDD505-2E9C-101B-9397-08002B2CF9AE}" pid="10" name="FOIExemption">
    <vt:lpwstr>No</vt:lpwstr>
  </property>
  <property fmtid="{D5CDD505-2E9C-101B-9397-08002B2CF9AE}" pid="11" name="FOIPublicationDate">
    <vt:lpwstr/>
  </property>
  <property fmtid="{D5CDD505-2E9C-101B-9397-08002B2CF9AE}" pid="12" name="FOIReleasedOnRequest">
    <vt:lpwstr/>
  </property>
  <property fmtid="{D5CDD505-2E9C-101B-9397-08002B2CF9AE}" pid="13" name="Local KeywordsOOB">
    <vt:lpwstr/>
  </property>
  <property fmtid="{D5CDD505-2E9C-101B-9397-08002B2CF9AE}" pid="14" name="LocalKeywords">
    <vt:lpwstr/>
  </property>
  <property fmtid="{D5CDD505-2E9C-101B-9397-08002B2CF9AE}" pid="15" name="PolicyIdentifier">
    <vt:lpwstr>UK</vt:lpwstr>
  </property>
  <property fmtid="{D5CDD505-2E9C-101B-9397-08002B2CF9AE}" pid="16" name="SecurityDescriptors">
    <vt:lpwstr>None</vt:lpwstr>
  </property>
  <property fmtid="{D5CDD505-2E9C-101B-9397-08002B2CF9AE}" pid="17" name="SecurityNonUKConstraints">
    <vt:lpwstr/>
  </property>
  <property fmtid="{D5CDD505-2E9C-101B-9397-08002B2CF9AE}" pid="18" name="Status">
    <vt:lpwstr/>
  </property>
  <property fmtid="{D5CDD505-2E9C-101B-9397-08002B2CF9AE}" pid="19" name="UKProtectiveMarking">
    <vt:lpwstr>OFFICIAL</vt:lpwstr>
  </property>
</Properties>
</file>