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jpeg" ContentType="image/jpeg"/>
  <Override PartName="/word/media/image2.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start"/>
        <w:tblInd w:w="0" w:type="dxa"/>
        <w:tblLayout w:type="fixed"/>
        <w:tblCellMar>
          <w:top w:w="0" w:type="dxa"/>
          <w:start w:w="108" w:type="dxa"/>
          <w:bottom w:w="0" w:type="dxa"/>
          <w:end w:w="108" w:type="dxa"/>
        </w:tblCellMar>
      </w:tblPr>
      <w:tblGrid>
        <w:gridCol w:w="2898"/>
        <w:gridCol w:w="6570"/>
      </w:tblGrid>
      <w:tr>
        <w:trPr/>
        <w:tc>
          <w:tcPr>
            <w:tcW w:w="2898" w:type="dxa"/>
            <w:tcBorders/>
          </w:tcPr>
          <w:p>
            <w:pPr>
              <w:pStyle w:val="Normal"/>
              <w:tabs>
                <w:tab w:val="clear" w:pos="567"/>
                <w:tab w:val="center" w:pos="4153" w:leader="none"/>
                <w:tab w:val="right" w:pos="8306" w:leader="none"/>
              </w:tabs>
              <w:overflowPunct w:val="false"/>
              <w:autoSpaceDE w:val="false"/>
              <w:snapToGrid w:val="false"/>
              <w:jc w:val="center"/>
              <w:textAlignment w:val="baseline"/>
              <w:rPr>
                <w:rFonts w:ascii="Arial" w:hAnsi="Arial" w:cs="Arial"/>
                <w:kern w:val="2"/>
                <w:lang w:val="en-GB" w:eastAsia="en-GB"/>
              </w:rPr>
            </w:pPr>
            <w:r>
              <w:rPr>
                <w:rFonts w:cs="Arial" w:ascii="Arial" w:hAnsi="Arial"/>
                <w:kern w:val="2"/>
                <w:lang w:val="en-GB" w:eastAsia="en-GB"/>
              </w:rPr>
              <w:drawing>
                <wp:anchor behindDoc="0" distT="0" distB="0" distL="114935" distR="114935" simplePos="0" locked="0" layoutInCell="1" allowOverlap="1" relativeHeight="2">
                  <wp:simplePos x="0" y="0"/>
                  <wp:positionH relativeFrom="column">
                    <wp:align>center</wp:align>
                  </wp:positionH>
                  <wp:positionV relativeFrom="paragraph">
                    <wp:posOffset>225425</wp:posOffset>
                  </wp:positionV>
                  <wp:extent cx="1457325" cy="1123950"/>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8" t="-22" r="-18" b="-22"/>
                          <a:stretch>
                            <a:fillRect/>
                          </a:stretch>
                        </pic:blipFill>
                        <pic:spPr bwMode="auto">
                          <a:xfrm>
                            <a:off x="0" y="0"/>
                            <a:ext cx="1457325" cy="1123950"/>
                          </a:xfrm>
                          <a:prstGeom prst="rect">
                            <a:avLst/>
                          </a:prstGeom>
                          <a:noFill/>
                        </pic:spPr>
                      </pic:pic>
                    </a:graphicData>
                  </a:graphic>
                </wp:anchor>
              </w:drawing>
            </w:r>
          </w:p>
        </w:tc>
        <w:tc>
          <w:tcPr>
            <w:tcW w:w="6570" w:type="dxa"/>
            <w:tcBorders/>
          </w:tcPr>
          <w:tbl>
            <w:tblPr>
              <w:tblW w:w="20397" w:type="dxa"/>
              <w:jc w:val="start"/>
              <w:tblInd w:w="0" w:type="dxa"/>
              <w:tblLayout w:type="fixed"/>
              <w:tblCellMar>
                <w:top w:w="0" w:type="dxa"/>
                <w:start w:w="108" w:type="dxa"/>
                <w:bottom w:w="0" w:type="dxa"/>
                <w:end w:w="108" w:type="dxa"/>
              </w:tblCellMar>
            </w:tblPr>
            <w:tblGrid>
              <w:gridCol w:w="3899"/>
              <w:gridCol w:w="3899"/>
              <w:gridCol w:w="3899"/>
              <w:gridCol w:w="8700"/>
            </w:tblGrid>
            <w:tr>
              <w:trPr/>
              <w:tc>
                <w:tcPr>
                  <w:tcW w:w="3899" w:type="dxa"/>
                  <w:tcBorders/>
                </w:tcPr>
                <w:p>
                  <w:pPr>
                    <w:pStyle w:val="Normal"/>
                    <w:tabs>
                      <w:tab w:val="clear" w:pos="567"/>
                      <w:tab w:val="center" w:pos="4153" w:leader="none"/>
                      <w:tab w:val="right" w:pos="8306" w:leader="none"/>
                    </w:tabs>
                    <w:overflowPunct w:val="false"/>
                    <w:autoSpaceDE w:val="false"/>
                    <w:snapToGrid w:val="false"/>
                    <w:textAlignment w:val="baseline"/>
                    <w:rPr>
                      <w:rFonts w:ascii="Arial" w:hAnsi="Arial" w:cs="Arial"/>
                      <w:kern w:val="2"/>
                    </w:rPr>
                  </w:pPr>
                  <w:r>
                    <w:rPr>
                      <w:rFonts w:cs="Arial" w:ascii="Arial" w:hAnsi="Arial"/>
                      <w:kern w:val="2"/>
                    </w:rPr>
                  </w:r>
                </w:p>
              </w:tc>
              <w:tc>
                <w:tcPr>
                  <w:tcW w:w="3899" w:type="dxa"/>
                  <w:tcBorders/>
                </w:tcPr>
                <w:p>
                  <w:pPr>
                    <w:pStyle w:val="Normal"/>
                    <w:tabs>
                      <w:tab w:val="clear" w:pos="567"/>
                      <w:tab w:val="left" w:pos="1152" w:leader="none"/>
                      <w:tab w:val="center" w:pos="4153" w:leader="none"/>
                      <w:tab w:val="right" w:pos="8306" w:leader="none"/>
                    </w:tabs>
                    <w:overflowPunct w:val="false"/>
                    <w:autoSpaceDE w:val="false"/>
                    <w:snapToGrid w:val="false"/>
                    <w:textAlignment w:val="baseline"/>
                    <w:rPr>
                      <w:rFonts w:ascii="Arial" w:hAnsi="Arial" w:cs="Arial"/>
                      <w:kern w:val="2"/>
                      <w:sz w:val="20"/>
                      <w:szCs w:val="20"/>
                    </w:rPr>
                  </w:pPr>
                  <w:r>
                    <w:rPr>
                      <w:rFonts w:cs="Arial" w:ascii="Arial" w:hAnsi="Arial"/>
                      <w:kern w:val="2"/>
                      <w:sz w:val="20"/>
                      <w:szCs w:val="20"/>
                    </w:rPr>
                  </w:r>
                </w:p>
              </w:tc>
              <w:tc>
                <w:tcPr>
                  <w:tcW w:w="3899" w:type="dxa"/>
                  <w:tcBorders/>
                </w:tcPr>
                <w:p>
                  <w:pPr>
                    <w:pStyle w:val="Normal"/>
                    <w:tabs>
                      <w:tab w:val="clear" w:pos="567"/>
                      <w:tab w:val="center" w:pos="4153" w:leader="none"/>
                      <w:tab w:val="right" w:pos="8306" w:leader="none"/>
                    </w:tabs>
                    <w:overflowPunct w:val="false"/>
                    <w:autoSpaceDE w:val="false"/>
                    <w:snapToGrid w:val="false"/>
                    <w:textAlignment w:val="baseline"/>
                    <w:rPr>
                      <w:rFonts w:ascii="Arial" w:hAnsi="Arial" w:cs="Arial"/>
                      <w:kern w:val="2"/>
                      <w:sz w:val="20"/>
                      <w:szCs w:val="20"/>
                    </w:rPr>
                  </w:pPr>
                  <w:r>
                    <w:rPr>
                      <w:rFonts w:cs="Arial" w:ascii="Arial" w:hAnsi="Arial"/>
                      <w:kern w:val="2"/>
                      <w:sz w:val="20"/>
                      <w:szCs w:val="20"/>
                    </w:rPr>
                  </w:r>
                </w:p>
              </w:tc>
              <w:tc>
                <w:tcPr>
                  <w:tcW w:w="8700" w:type="dxa"/>
                  <w:tcBorders/>
                </w:tcPr>
                <w:p>
                  <w:pPr>
                    <w:pStyle w:val="Normal"/>
                    <w:tabs>
                      <w:tab w:val="clear" w:pos="567"/>
                      <w:tab w:val="left" w:pos="1152" w:leader="none"/>
                      <w:tab w:val="center" w:pos="4153" w:leader="none"/>
                      <w:tab w:val="right" w:pos="8306" w:leader="none"/>
                    </w:tabs>
                    <w:overflowPunct w:val="false"/>
                    <w:autoSpaceDE w:val="false"/>
                    <w:snapToGrid w:val="false"/>
                    <w:textAlignment w:val="baseline"/>
                    <w:rPr>
                      <w:rFonts w:ascii="Arial" w:hAnsi="Arial" w:cs="Arial"/>
                      <w:kern w:val="2"/>
                      <w:sz w:val="20"/>
                      <w:szCs w:val="20"/>
                    </w:rPr>
                  </w:pPr>
                  <w:r>
                    <w:rPr>
                      <w:rFonts w:cs="Arial" w:ascii="Arial" w:hAnsi="Arial"/>
                      <w:kern w:val="2"/>
                      <w:sz w:val="20"/>
                      <w:szCs w:val="20"/>
                    </w:rPr>
                  </w:r>
                </w:p>
              </w:tc>
            </w:tr>
          </w:tbl>
          <w:p>
            <w:pPr>
              <w:pStyle w:val="Normal"/>
              <w:tabs>
                <w:tab w:val="clear" w:pos="567"/>
                <w:tab w:val="center" w:pos="4153" w:leader="none"/>
                <w:tab w:val="right" w:pos="8306" w:leader="none"/>
              </w:tabs>
              <w:overflowPunct w:val="false"/>
              <w:autoSpaceDE w:val="false"/>
              <w:textAlignment w:val="baseline"/>
              <w:rPr>
                <w:rFonts w:ascii="Arial" w:hAnsi="Arial" w:cs="Arial"/>
                <w:b/>
                <w:bCs/>
                <w:kern w:val="2"/>
                <w:sz w:val="28"/>
                <w:szCs w:val="28"/>
              </w:rPr>
            </w:pPr>
            <w:r>
              <w:rPr>
                <w:rFonts w:cs="Arial" w:ascii="Arial" w:hAnsi="Arial"/>
                <w:b/>
                <w:bCs/>
                <w:kern w:val="2"/>
                <w:sz w:val="32"/>
                <w:szCs w:val="32"/>
              </w:rPr>
              <w:t>Primary Healthcare Centre (Pirbright)</w:t>
            </w:r>
          </w:p>
          <w:p>
            <w:pPr>
              <w:pStyle w:val="Normal"/>
              <w:tabs>
                <w:tab w:val="clear" w:pos="567"/>
                <w:tab w:val="center" w:pos="4153" w:leader="none"/>
                <w:tab w:val="right" w:pos="8306" w:leader="none"/>
              </w:tabs>
              <w:overflowPunct w:val="false"/>
              <w:autoSpaceDE w:val="false"/>
              <w:textAlignment w:val="baseline"/>
              <w:rPr>
                <w:rFonts w:ascii="Arial" w:hAnsi="Arial" w:cs="Arial"/>
                <w:b/>
                <w:bCs/>
                <w:kern w:val="2"/>
                <w:sz w:val="28"/>
                <w:szCs w:val="28"/>
              </w:rPr>
            </w:pPr>
            <w:r>
              <w:rPr>
                <w:rFonts w:cs="Arial" w:ascii="Arial" w:hAnsi="Arial"/>
                <w:b/>
                <w:bCs/>
                <w:kern w:val="2"/>
                <w:sz w:val="28"/>
                <w:szCs w:val="28"/>
              </w:rPr>
              <w:t>Alexander Barracks</w:t>
            </w:r>
          </w:p>
          <w:p>
            <w:pPr>
              <w:pStyle w:val="Normal"/>
              <w:tabs>
                <w:tab w:val="clear" w:pos="567"/>
                <w:tab w:val="center" w:pos="4153" w:leader="none"/>
                <w:tab w:val="right" w:pos="8306" w:leader="none"/>
              </w:tabs>
              <w:overflowPunct w:val="false"/>
              <w:autoSpaceDE w:val="false"/>
              <w:textAlignment w:val="baseline"/>
              <w:rPr>
                <w:rFonts w:ascii="Arial" w:hAnsi="Arial" w:cs="Arial"/>
                <w:b/>
                <w:bCs/>
                <w:kern w:val="2"/>
                <w:sz w:val="28"/>
                <w:szCs w:val="28"/>
              </w:rPr>
            </w:pPr>
            <w:r>
              <w:rPr>
                <w:rFonts w:cs="Arial" w:ascii="Arial" w:hAnsi="Arial"/>
                <w:b/>
                <w:bCs/>
                <w:kern w:val="2"/>
                <w:sz w:val="28"/>
                <w:szCs w:val="28"/>
              </w:rPr>
              <w:t>Pirbright</w:t>
            </w:r>
          </w:p>
          <w:p>
            <w:pPr>
              <w:pStyle w:val="Normal"/>
              <w:tabs>
                <w:tab w:val="clear" w:pos="567"/>
                <w:tab w:val="left" w:pos="1152" w:leader="none"/>
                <w:tab w:val="left" w:pos="3456" w:leader="none"/>
                <w:tab w:val="left" w:pos="5040" w:leader="none"/>
              </w:tabs>
              <w:overflowPunct w:val="false"/>
              <w:autoSpaceDE w:val="false"/>
              <w:spacing w:before="60" w:after="0"/>
              <w:textAlignment w:val="baseline"/>
              <w:rPr>
                <w:rFonts w:ascii="Arial" w:hAnsi="Arial" w:cs="Arial"/>
                <w:sz w:val="20"/>
                <w:szCs w:val="20"/>
              </w:rPr>
            </w:pPr>
            <w:r>
              <w:rPr>
                <w:rFonts w:cs="Arial" w:ascii="Arial" w:hAnsi="Arial"/>
                <w:b/>
                <w:bCs/>
                <w:sz w:val="28"/>
                <w:szCs w:val="28"/>
              </w:rPr>
              <w:t>Woking, Surrey, GU24 0QQ</w:t>
            </w:r>
          </w:p>
        </w:tc>
      </w:tr>
      <w:tr>
        <w:trPr/>
        <w:tc>
          <w:tcPr>
            <w:tcW w:w="2898" w:type="dxa"/>
            <w:tcBorders/>
          </w:tcPr>
          <w:p>
            <w:pPr>
              <w:pStyle w:val="Normal"/>
              <w:tabs>
                <w:tab w:val="clear" w:pos="567"/>
                <w:tab w:val="center" w:pos="4153" w:leader="none"/>
                <w:tab w:val="right" w:pos="8306" w:leader="none"/>
              </w:tabs>
              <w:overflowPunct w:val="false"/>
              <w:autoSpaceDE w:val="false"/>
              <w:snapToGrid w:val="false"/>
              <w:jc w:val="center"/>
              <w:textAlignment w:val="baseline"/>
              <w:rPr>
                <w:rFonts w:ascii="Arial" w:hAnsi="Arial" w:cs="Arial"/>
                <w:kern w:val="2"/>
                <w:sz w:val="20"/>
                <w:szCs w:val="20"/>
              </w:rPr>
            </w:pPr>
            <w:r>
              <w:rPr>
                <w:rFonts w:cs="Arial" w:ascii="Arial" w:hAnsi="Arial"/>
                <w:kern w:val="2"/>
                <w:sz w:val="20"/>
                <w:szCs w:val="20"/>
              </w:rPr>
            </w:r>
          </w:p>
        </w:tc>
        <w:tc>
          <w:tcPr>
            <w:tcW w:w="6570" w:type="dxa"/>
            <w:tcBorders/>
          </w:tcPr>
          <w:p>
            <w:pPr>
              <w:pStyle w:val="Normal"/>
              <w:tabs>
                <w:tab w:val="clear" w:pos="567"/>
                <w:tab w:val="left" w:pos="1152" w:leader="none"/>
                <w:tab w:val="left" w:pos="5646" w:leader="none"/>
                <w:tab w:val="left" w:pos="6213" w:leader="none"/>
              </w:tabs>
              <w:overflowPunct w:val="false"/>
              <w:autoSpaceDE w:val="false"/>
              <w:spacing w:before="60" w:after="0"/>
              <w:textAlignment w:val="baseline"/>
              <w:rPr>
                <w:rFonts w:ascii="Arial" w:hAnsi="Arial" w:cs="Arial"/>
                <w:sz w:val="18"/>
                <w:szCs w:val="18"/>
              </w:rPr>
            </w:pPr>
            <w:r>
              <w:rPr>
                <w:rFonts w:cs="Arial" w:ascii="Arial" w:hAnsi="Arial"/>
                <w:sz w:val="18"/>
                <w:szCs w:val="18"/>
              </w:rPr>
              <w:t>Telephone:</w:t>
              <w:tab/>
              <w:t>(01483)  79 Ext 8074       Military Network: 94211 Ext 8074</w:t>
            </w:r>
          </w:p>
          <w:p>
            <w:pPr>
              <w:pStyle w:val="Normal"/>
              <w:tabs>
                <w:tab w:val="clear" w:pos="567"/>
                <w:tab w:val="left" w:pos="1152" w:leader="none"/>
              </w:tabs>
              <w:overflowPunct w:val="false"/>
              <w:autoSpaceDE w:val="false"/>
              <w:textAlignment w:val="baseline"/>
              <w:rPr>
                <w:rFonts w:ascii="Arial" w:hAnsi="Arial" w:cs="Arial"/>
                <w:b/>
                <w:bCs/>
                <w:kern w:val="2"/>
                <w:sz w:val="28"/>
                <w:szCs w:val="28"/>
              </w:rPr>
            </w:pPr>
            <w:r>
              <w:rPr>
                <w:rFonts w:cs="Arial" w:ascii="Arial" w:hAnsi="Arial"/>
                <w:kern w:val="2"/>
                <w:sz w:val="18"/>
                <w:szCs w:val="18"/>
              </w:rPr>
              <w:t>Facsimile:</w:t>
              <w:tab/>
              <w:t>(01483)  79 Ext 8257       Military Network: 94211 Ext 8257</w:t>
            </w:r>
          </w:p>
        </w:tc>
      </w:tr>
    </w:tbl>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pPr>
      <w:r>
        <w:fldChar w:fldCharType="begin">
          <w:ffData>
            <w:name w:val="Sub_Uni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Sub Unit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Coy/Sqn/Bty</w:t>
        <w:tab/>
        <w:tab/>
        <w:tab/>
        <w:tab/>
        <w:t xml:space="preserve">        Date: </w:t>
      </w:r>
      <w:r>
        <w:fldChar w:fldCharType="begin">
          <w:ffData>
            <w:name w:val="System_Dat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pBdr>
          <w:bottom w:val="single" w:sz="12" w:space="1" w:color="000000"/>
        </w:pBdr>
        <w:rPr>
          <w:rFonts w:ascii="Arial" w:hAnsi="Arial" w:cs="Arial"/>
          <w:sz w:val="10"/>
          <w:szCs w:val="10"/>
        </w:rPr>
      </w:pPr>
      <w:r>
        <w:rPr>
          <w:rFonts w:cs="Arial" w:ascii="Arial" w:hAnsi="Arial"/>
          <w:sz w:val="10"/>
          <w:szCs w:val="1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rPr>
        <w:t xml:space="preserve">No: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tab/>
        <w:tab/>
        <w:t xml:space="preserve">Name: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p>
      <w:pPr>
        <w:pStyle w:val="Normal"/>
        <w:rPr>
          <w:rFonts w:ascii="Arial" w:hAnsi="Arial" w:cs="Arial"/>
        </w:rPr>
      </w:pPr>
      <w:r>
        <w:rPr>
          <w:rFonts w:cs="Arial" w:ascii="Arial" w:hAnsi="Arial"/>
        </w:rPr>
      </w:r>
    </w:p>
    <w:p>
      <w:pPr>
        <w:pStyle w:val="Normal"/>
        <w:rPr/>
      </w:pPr>
      <w:r>
        <w:rPr>
          <w:rFonts w:cs="Arial" w:ascii="Arial" w:hAnsi="Arial"/>
        </w:rPr>
        <w:t xml:space="preserve">1.   The aforementioned Rct has been recommended for discharge under Appx 21 to AGAI 78. They have been downgraded and are now unfit for any form of military training. Subject to ratification this is likely to result in the Rct being barred from re-joining the military </w:t>
      </w:r>
      <w:r>
        <w:fldChar w:fldCharType="begin">
          <w:ffData>
            <w:name w:val="Free_Text_Prompt_8"/>
            <w:enabled/>
            <w:calcOnExit w:val="0"/>
            <w:textInput/>
          </w:ffData>
        </w:fldChar>
      </w:r>
      <w:r>
        <w:rPr>
          <w:rFonts w:cs="Arial" w:ascii="Arial" w:hAnsi="Arial"/>
        </w:rPr>
        <w:instrText xml:space="preserve"> FORMTEXT </w:instrText>
      </w:r>
      <w:bookmarkStart w:id="0" w:name="Free_Text_Prompt_8_Copy_1"/>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bookmarkEnd w:id="0"/>
      <w:r>
        <w:rPr>
          <w:rFonts w:cs="Arial" w:ascii="Arial" w:hAnsi="Arial"/>
        </w:rPr>
        <w:t xml:space="preserve"> .</w:t>
      </w:r>
    </w:p>
    <w:p>
      <w:pPr>
        <w:pStyle w:val="Normal"/>
        <w:rPr>
          <w:rFonts w:ascii="Arial" w:hAnsi="Arial" w:cs="Arial"/>
        </w:rPr>
      </w:pPr>
      <w:r>
        <w:rPr>
          <w:rFonts w:cs="Arial" w:ascii="Arial" w:hAnsi="Arial"/>
        </w:rPr>
      </w:r>
    </w:p>
    <w:p>
      <w:pPr>
        <w:pStyle w:val="Normal"/>
        <w:rPr/>
      </w:pPr>
      <w:r>
        <w:rPr>
          <w:rFonts w:cs="Arial" w:ascii="Arial" w:hAnsi="Arial"/>
        </w:rPr>
        <w:t xml:space="preserve">2. The doctor has recommended that this Rct is not required to remain on the bedding down facility.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3.   Please email Adjt HQ ATC(P) with the details of the individual who will be responsible for completing the App 21 on PAPMIS.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pPr>
      <w:r>
        <w:fldChar w:fldCharType="begin">
          <w:ffData>
            <w:name w:val="User_Titl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Title</w:t>
      </w:r>
      <w:r>
        <w:rPr>
          <w:rFonts w:cs="Arial" w:ascii="Arial" w:hAnsi="Arial"/>
        </w:rPr>
      </w:r>
      <w:r>
        <w:rPr>
          <w:rFonts w:cs="Arial" w:ascii="Arial" w:hAnsi="Arial"/>
        </w:rPr>
        <w:fldChar w:fldCharType="end"/>
      </w:r>
      <w:r>
        <w:rPr>
          <w:rFonts w:cs="Arial" w:ascii="Arial" w:hAnsi="Arial"/>
        </w:rPr>
        <w:t xml:space="preserve"> </w:t>
      </w:r>
      <w:r>
        <w:fldChar w:fldCharType="begin">
          <w:ffData>
            <w:name w:val="User_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User Name</w:t>
      </w:r>
      <w:r>
        <w:rPr>
          <w:rFonts w:cs="Arial" w:ascii="Arial" w:hAnsi="Arial"/>
        </w:rPr>
      </w:r>
      <w:r>
        <w:rPr>
          <w:rFonts w:cs="Arial" w:ascii="Arial" w:hAnsi="Arial"/>
        </w:rPr>
        <w:fldChar w:fldCharType="end"/>
      </w:r>
      <w:r>
        <w:rPr>
          <w:rFonts w:cs="Arial" w:ascii="Arial" w:hAnsi="Arial"/>
        </w:rPr>
        <w:t xml:space="preserve"> </w:t>
      </w:r>
    </w:p>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r>
        <w:br w:type="page"/>
      </w:r>
    </w:p>
    <w:p>
      <w:pPr>
        <w:pStyle w:val="Normal"/>
        <w:jc w:val="end"/>
        <w:rPr/>
      </w:pPr>
      <w:r>
        <w:rPr>
          <w:rFonts w:cs="Arial" w:ascii="Arial" w:hAnsi="Arial"/>
          <w:sz w:val="22"/>
          <w:szCs w:val="22"/>
        </w:rPr>
        <w:t>Annex B to</w:t>
      </w:r>
    </w:p>
    <w:p>
      <w:pPr>
        <w:pStyle w:val="Normal"/>
        <w:jc w:val="end"/>
        <w:rPr>
          <w:rFonts w:ascii="Arial" w:hAnsi="Arial" w:cs="Arial"/>
          <w:bCs/>
          <w:sz w:val="22"/>
          <w:szCs w:val="22"/>
        </w:rPr>
      </w:pPr>
      <w:r>
        <w:rPr>
          <w:rFonts w:cs="Arial" w:ascii="Arial" w:hAnsi="Arial"/>
          <w:bCs/>
          <w:sz w:val="22"/>
          <w:szCs w:val="22"/>
        </w:rPr>
        <w:t>HQ ARTD/OM/Capita/IMADataSharing</w:t>
      </w:r>
    </w:p>
    <w:p>
      <w:pPr>
        <w:pStyle w:val="Normal"/>
        <w:jc w:val="end"/>
        <w:rPr>
          <w:rFonts w:ascii="Arial" w:hAnsi="Arial" w:cs="Arial"/>
          <w:sz w:val="22"/>
          <w:szCs w:val="22"/>
        </w:rPr>
      </w:pPr>
      <w:r>
        <w:rPr>
          <w:rFonts w:cs="Arial" w:ascii="Arial" w:hAnsi="Arial"/>
          <w:sz w:val="22"/>
          <w:szCs w:val="22"/>
        </w:rPr>
        <w:t>Dated 27 Feb 17</w:t>
      </w:r>
    </w:p>
    <w:p>
      <w:pPr>
        <w:pStyle w:val="Normal"/>
        <w:jc w:val="end"/>
        <w:rPr>
          <w:rFonts w:ascii="Arial" w:hAnsi="Arial" w:cs="Arial"/>
          <w:sz w:val="22"/>
          <w:szCs w:val="22"/>
        </w:rPr>
      </w:pPr>
      <w:r>
        <w:rPr>
          <w:rFonts w:cs="Arial" w:ascii="Arial" w:hAnsi="Arial"/>
          <w:sz w:val="22"/>
          <w:szCs w:val="22"/>
        </w:rPr>
      </w:r>
    </w:p>
    <w:p>
      <w:pPr>
        <w:pStyle w:val="Normal"/>
        <w:jc w:val="end"/>
        <w:rPr>
          <w:rFonts w:ascii="Arial" w:hAnsi="Arial" w:cs="Arial"/>
          <w:sz w:val="22"/>
          <w:szCs w:val="22"/>
        </w:rPr>
      </w:pPr>
      <w:r>
        <w:rPr>
          <w:rFonts w:cs="Arial" w:ascii="Arial" w:hAnsi="Arial"/>
          <w:sz w:val="22"/>
          <w:szCs w:val="22"/>
        </w:rPr>
        <w:t>Occupational Medicine Department</w:t>
      </w:r>
      <w:r>
        <mc:AlternateContent>
          <mc:Choice Requires="wps">
            <w:drawing>
              <wp:anchor behindDoc="0" distT="0" distB="0" distL="114935" distR="114935" simplePos="0" locked="0" layoutInCell="1" allowOverlap="1" relativeHeight="3">
                <wp:simplePos x="0" y="0"/>
                <wp:positionH relativeFrom="column">
                  <wp:posOffset>0</wp:posOffset>
                </wp:positionH>
                <wp:positionV relativeFrom="paragraph">
                  <wp:posOffset>-38100</wp:posOffset>
                </wp:positionV>
                <wp:extent cx="1895475" cy="1600200"/>
                <wp:effectExtent l="0" t="0" r="0" b="0"/>
                <wp:wrapNone/>
                <wp:docPr id="2" name="Frame1"/>
                <a:graphic xmlns:a="http://schemas.openxmlformats.org/drawingml/2006/main">
                  <a:graphicData uri="http://schemas.microsoft.com/office/word/2010/wordprocessingShape">
                    <wps:wsp>
                      <wps:cNvSpPr txBox="1"/>
                      <wps:spPr>
                        <a:xfrm>
                          <a:off x="0" y="0"/>
                          <a:ext cx="1895475" cy="1600200"/>
                        </a:xfrm>
                        <a:prstGeom prst="rect"/>
                        <a:solidFill>
                          <a:srgbClr val="FFFFFF"/>
                        </a:solidFill>
                      </wps:spPr>
                      <wps:txbx>
                        <w:txbxContent>
                          <w:p>
                            <w:pPr>
                              <w:pStyle w:val="Normal"/>
                              <w:rPr>
                                <w:sz w:val="20"/>
                              </w:rPr>
                            </w:pPr>
                            <w:r>
                              <w:rPr>
                                <w:sz w:val="20"/>
                              </w:rPr>
                              <w:drawing>
                                <wp:inline distT="0" distB="0" distL="0" distR="0">
                                  <wp:extent cx="1560195" cy="1269365"/>
                                  <wp:effectExtent l="0" t="0" r="0" b="0"/>
                                  <wp:docPr id="3"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descr="" title=""/>
                                          <pic:cNvPicPr>
                                            <a:picLocks noChangeAspect="1" noChangeArrowheads="1"/>
                                          </pic:cNvPicPr>
                                        </pic:nvPicPr>
                                        <pic:blipFill>
                                          <a:blip r:embed="rId3"/>
                                          <a:srcRect l="-8" t="-10" r="-8" b="-10"/>
                                          <a:stretch>
                                            <a:fillRect/>
                                          </a:stretch>
                                        </pic:blipFill>
                                        <pic:spPr bwMode="auto">
                                          <a:xfrm>
                                            <a:off x="0" y="0"/>
                                            <a:ext cx="1560195" cy="1269365"/>
                                          </a:xfrm>
                                          <a:prstGeom prst="rect">
                                            <a:avLst/>
                                          </a:prstGeom>
                                          <a:noFill/>
                                        </pic:spPr>
                                      </pic:pic>
                                    </a:graphicData>
                                  </a:graphic>
                                </wp:inline>
                              </w:drawing>
                            </w:r>
                          </w:p>
                        </w:txbxContent>
                      </wps:txbx>
                      <wps:bodyPr anchor="t" lIns="92075" tIns="46355" rIns="92075" bIns="46355">
                        <a:noAutofit/>
                      </wps:bodyPr>
                    </wps:wsp>
                  </a:graphicData>
                </a:graphic>
              </wp:anchor>
            </w:drawing>
          </mc:Choice>
          <mc:Fallback>
            <w:pict>
              <v:rect fillcolor="#FFFFFF" style="position:absolute;rotation:-0;width:149.25pt;height:126pt;mso-wrap-distance-left:9.05pt;mso-wrap-distance-right:9.05pt;mso-wrap-distance-top:0pt;mso-wrap-distance-bottom:0pt;margin-top:-3pt;mso-position-vertical-relative:text;margin-left:0pt;mso-position-horizontal-relative:text">
                <v:textbox inset="0.100694444444444in,0.0506944444444444in,0.100694444444444in,0.0506944444444444in">
                  <w:txbxContent>
                    <w:p>
                      <w:pPr>
                        <w:pStyle w:val="Normal"/>
                        <w:rPr>
                          <w:sz w:val="20"/>
                        </w:rPr>
                      </w:pPr>
                      <w:r>
                        <w:rPr>
                          <w:sz w:val="20"/>
                        </w:rPr>
                        <w:drawing>
                          <wp:inline distT="0" distB="0" distL="0" distR="0">
                            <wp:extent cx="1560195" cy="1269365"/>
                            <wp:effectExtent l="0" t="0" r="0" b="0"/>
                            <wp:docPr id="4"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6" descr="" title=""/>
                                    <pic:cNvPicPr>
                                      <a:picLocks noChangeAspect="1" noChangeArrowheads="1"/>
                                    </pic:cNvPicPr>
                                  </pic:nvPicPr>
                                  <pic:blipFill>
                                    <a:blip r:embed="rId4"/>
                                    <a:srcRect l="-8" t="-10" r="-8" b="-10"/>
                                    <a:stretch>
                                      <a:fillRect/>
                                    </a:stretch>
                                  </pic:blipFill>
                                  <pic:spPr bwMode="auto">
                                    <a:xfrm>
                                      <a:off x="0" y="0"/>
                                      <a:ext cx="1560195" cy="1269365"/>
                                    </a:xfrm>
                                    <a:prstGeom prst="rect">
                                      <a:avLst/>
                                    </a:prstGeom>
                                    <a:noFill/>
                                  </pic:spPr>
                                </pic:pic>
                              </a:graphicData>
                            </a:graphic>
                          </wp:inline>
                        </w:drawing>
                      </w:r>
                    </w:p>
                  </w:txbxContent>
                </v:textbox>
                <w10:wrap type="none"/>
              </v:rect>
            </w:pict>
          </mc:Fallback>
        </mc:AlternateContent>
      </w:r>
    </w:p>
    <w:p>
      <w:pPr>
        <w:pStyle w:val="Normal"/>
        <w:jc w:val="end"/>
        <w:rPr>
          <w:rFonts w:ascii="Arial" w:hAnsi="Arial" w:cs="Arial"/>
          <w:sz w:val="22"/>
          <w:szCs w:val="22"/>
        </w:rPr>
      </w:pPr>
      <w:r>
        <w:rPr>
          <w:rFonts w:cs="Arial" w:ascii="Arial" w:hAnsi="Arial"/>
          <w:sz w:val="22"/>
          <w:szCs w:val="22"/>
        </w:rPr>
        <w:t>HQ Army Recruiting &amp; Training Division</w:t>
      </w:r>
    </w:p>
    <w:p>
      <w:pPr>
        <w:pStyle w:val="Normal"/>
        <w:jc w:val="end"/>
        <w:rPr>
          <w:rFonts w:ascii="Arial" w:hAnsi="Arial" w:cs="Arial"/>
          <w:sz w:val="22"/>
          <w:szCs w:val="22"/>
        </w:rPr>
      </w:pPr>
      <w:r>
        <w:rPr>
          <w:rFonts w:cs="Arial" w:ascii="Arial" w:hAnsi="Arial"/>
          <w:sz w:val="22"/>
          <w:szCs w:val="22"/>
        </w:rPr>
        <w:t>Trenchard Lines</w:t>
      </w:r>
    </w:p>
    <w:p>
      <w:pPr>
        <w:pStyle w:val="Normal"/>
        <w:jc w:val="end"/>
        <w:rPr>
          <w:rFonts w:ascii="Arial" w:hAnsi="Arial" w:cs="Arial"/>
          <w:sz w:val="22"/>
          <w:szCs w:val="22"/>
        </w:rPr>
      </w:pPr>
      <w:r>
        <w:rPr>
          <w:rFonts w:cs="Arial" w:ascii="Arial" w:hAnsi="Arial"/>
          <w:sz w:val="22"/>
          <w:szCs w:val="22"/>
        </w:rPr>
        <w:t>Upavon</w:t>
      </w:r>
    </w:p>
    <w:p>
      <w:pPr>
        <w:pStyle w:val="Normal"/>
        <w:jc w:val="end"/>
        <w:rPr>
          <w:rFonts w:ascii="Arial" w:hAnsi="Arial" w:cs="Arial"/>
          <w:sz w:val="22"/>
          <w:szCs w:val="22"/>
        </w:rPr>
      </w:pPr>
      <w:r>
        <w:rPr>
          <w:rFonts w:cs="Arial" w:ascii="Arial" w:hAnsi="Arial"/>
          <w:sz w:val="22"/>
          <w:szCs w:val="22"/>
        </w:rPr>
        <w:t>PEWSEY</w:t>
      </w:r>
    </w:p>
    <w:p>
      <w:pPr>
        <w:pStyle w:val="Normal"/>
        <w:jc w:val="end"/>
        <w:rPr>
          <w:rFonts w:ascii="Arial" w:hAnsi="Arial" w:cs="Arial"/>
          <w:sz w:val="22"/>
          <w:szCs w:val="22"/>
        </w:rPr>
      </w:pPr>
      <w:r>
        <w:rPr>
          <w:rFonts w:cs="Arial" w:ascii="Arial" w:hAnsi="Arial"/>
          <w:sz w:val="22"/>
          <w:szCs w:val="22"/>
        </w:rPr>
        <w:t>Wilts</w:t>
      </w:r>
    </w:p>
    <w:p>
      <w:pPr>
        <w:pStyle w:val="Normal"/>
        <w:jc w:val="end"/>
        <w:rPr>
          <w:rFonts w:ascii="Arial" w:hAnsi="Arial" w:cs="Arial"/>
          <w:sz w:val="22"/>
          <w:szCs w:val="22"/>
        </w:rPr>
      </w:pPr>
      <w:r>
        <w:rPr>
          <w:rFonts w:cs="Arial" w:ascii="Arial" w:hAnsi="Arial"/>
          <w:sz w:val="22"/>
          <w:szCs w:val="22"/>
        </w:rPr>
        <w:t>SN9 6BE</w:t>
      </w:r>
    </w:p>
    <w:p>
      <w:pPr>
        <w:pStyle w:val="Normal"/>
        <w:jc w:val="end"/>
        <w:rPr>
          <w:rFonts w:ascii="Arial" w:hAnsi="Arial" w:cs="Arial"/>
          <w:sz w:val="22"/>
          <w:szCs w:val="22"/>
        </w:rPr>
      </w:pPr>
      <w:r>
        <w:rPr>
          <w:rFonts w:cs="Arial" w:ascii="Arial" w:hAnsi="Arial"/>
          <w:sz w:val="22"/>
          <w:szCs w:val="22"/>
        </w:rPr>
        <w:t>Military Network: 94344 8900</w:t>
      </w:r>
    </w:p>
    <w:p>
      <w:pPr>
        <w:pStyle w:val="Normal"/>
        <w:jc w:val="end"/>
        <w:rPr>
          <w:rFonts w:ascii="Arial" w:hAnsi="Arial" w:cs="Arial"/>
          <w:sz w:val="22"/>
          <w:szCs w:val="22"/>
        </w:rPr>
      </w:pPr>
      <w:r>
        <w:rPr>
          <w:rFonts w:cs="Arial" w:ascii="Arial" w:hAnsi="Arial"/>
          <w:sz w:val="22"/>
          <w:szCs w:val="22"/>
        </w:rPr>
        <w:t>PSTN: 01980 618900</w:t>
      </w:r>
    </w:p>
    <w:p>
      <w:pPr>
        <w:pStyle w:val="Normal"/>
        <w:jc w:val="end"/>
        <w:rPr>
          <w:rFonts w:ascii="Arial" w:hAnsi="Arial" w:cs="Arial"/>
          <w:sz w:val="22"/>
          <w:szCs w:val="22"/>
        </w:rPr>
      </w:pPr>
      <w:r>
        <w:rPr>
          <w:rFonts w:cs="Arial" w:ascii="Arial" w:hAnsi="Arial"/>
          <w:sz w:val="22"/>
          <w:szCs w:val="22"/>
        </w:rPr>
        <w:t>Fax: 01980 615718</w:t>
      </w:r>
    </w:p>
    <w:p>
      <w:pPr>
        <w:pStyle w:val="Normal"/>
        <w:jc w:val="both"/>
        <w:rPr>
          <w:rFonts w:ascii="Arial" w:hAnsi="Arial" w:cs="Arial"/>
          <w:b/>
          <w:bCs/>
          <w:sz w:val="22"/>
          <w:szCs w:val="22"/>
        </w:rPr>
      </w:pPr>
      <w:r>
        <w:rPr>
          <w:rFonts w:cs="Arial" w:ascii="Arial" w:hAnsi="Arial"/>
          <w:b/>
          <w:bCs/>
          <w:sz w:val="22"/>
          <w:szCs w:val="22"/>
        </w:rPr>
      </w:r>
    </w:p>
    <w:p>
      <w:pPr>
        <w:pStyle w:val="Normal"/>
        <w:rPr/>
      </w:pPr>
      <w:r>
        <w:rPr>
          <w:rFonts w:cs="Arial" w:ascii="Arial" w:hAnsi="Arial"/>
          <w:b/>
          <w:bCs/>
          <w:sz w:val="22"/>
          <w:szCs w:val="22"/>
        </w:rPr>
        <w:t>Consent to Disclosure of Medical Records Following Appx 21 to AGAI 78 Discharge (Data Protection Act 1998 and Access to Medical Reports Act 1988)</w:t>
      </w:r>
    </w:p>
    <w:p>
      <w:pPr>
        <w:pStyle w:val="Normal"/>
        <w:rPr>
          <w:rFonts w:ascii="Arial" w:hAnsi="Arial" w:cs="Arial"/>
          <w:b/>
          <w:bCs/>
          <w:sz w:val="22"/>
          <w:szCs w:val="22"/>
        </w:rPr>
      </w:pPr>
      <w:r>
        <w:rPr>
          <w:rFonts w:cs="Arial" w:ascii="Arial" w:hAnsi="Arial"/>
          <w:b/>
          <w:bCs/>
          <w:sz w:val="22"/>
          <w:szCs w:val="22"/>
        </w:rPr>
      </w:r>
    </w:p>
    <w:p>
      <w:pPr>
        <w:pStyle w:val="Normal"/>
        <w:rPr/>
      </w:pPr>
      <w:r>
        <w:rPr>
          <w:rFonts w:cs="Arial" w:ascii="Arial" w:hAnsi="Arial"/>
          <w:sz w:val="22"/>
          <w:szCs w:val="22"/>
        </w:rPr>
        <w:t xml:space="preserve">1. </w:t>
        <w:tab/>
        <w:t>Following your discharge under Appx 21 to AGAI 78 your consent is required to access your medical records for purposes stated below. You do not have to consent to the release of this information or access to your records.</w:t>
      </w:r>
    </w:p>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 xml:space="preserve">2. </w:t>
        <w:tab/>
        <w:t>The information requested is confidential and cannot be disclosed without your specific consent. If your records are required for any purpose other than those detailed in the table below, further consent will be required. You may withdraw your consent at any time. The consent that you provide here is not continuous. It only applies to this particular process and the actions that follow as shown in the table below.</w:t>
      </w:r>
    </w:p>
    <w:p>
      <w:pPr>
        <w:pStyle w:val="Normal"/>
        <w:jc w:val="both"/>
        <w:rPr>
          <w:rFonts w:ascii="Arial" w:hAnsi="Arial" w:cs="Arial"/>
          <w:sz w:val="22"/>
          <w:szCs w:val="22"/>
        </w:rPr>
      </w:pPr>
      <w:r>
        <w:rPr>
          <w:rFonts w:cs="Arial" w:ascii="Arial" w:hAnsi="Arial"/>
          <w:sz w:val="22"/>
          <w:szCs w:val="22"/>
        </w:rPr>
      </w:r>
    </w:p>
    <w:tbl>
      <w:tblPr>
        <w:tblW w:w="9747" w:type="dxa"/>
        <w:jc w:val="start"/>
        <w:tblInd w:w="0" w:type="dxa"/>
        <w:tblLayout w:type="fixed"/>
        <w:tblCellMar>
          <w:top w:w="0" w:type="dxa"/>
          <w:start w:w="108" w:type="dxa"/>
          <w:bottom w:w="0" w:type="dxa"/>
          <w:end w:w="108" w:type="dxa"/>
        </w:tblCellMar>
      </w:tblPr>
      <w:tblGrid>
        <w:gridCol w:w="2376"/>
        <w:gridCol w:w="4536"/>
        <w:gridCol w:w="2835"/>
      </w:tblGrid>
      <w:tr>
        <w:trPr>
          <w:trHeight w:val="603" w:hRule="atLeast"/>
        </w:trPr>
        <w:tc>
          <w:tcPr>
            <w:tcW w:w="2376"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rPr>
                <w:rFonts w:ascii="Arial" w:hAnsi="Arial" w:cs="Arial"/>
                <w:kern w:val="2"/>
                <w:sz w:val="22"/>
                <w:szCs w:val="22"/>
              </w:rPr>
            </w:pPr>
            <w:r>
              <w:rPr>
                <w:rFonts w:cs="Arial" w:ascii="Arial" w:hAnsi="Arial"/>
                <w:b/>
                <w:bCs/>
                <w:sz w:val="22"/>
                <w:szCs w:val="22"/>
              </w:rPr>
              <w:t>Agency</w:t>
            </w:r>
          </w:p>
        </w:tc>
        <w:tc>
          <w:tcPr>
            <w:tcW w:w="453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kern w:val="2"/>
                <w:sz w:val="22"/>
                <w:szCs w:val="22"/>
              </w:rPr>
            </w:pPr>
            <w:r>
              <w:rPr>
                <w:rFonts w:cs="Arial" w:ascii="Arial" w:hAnsi="Arial"/>
                <w:b/>
                <w:bCs/>
                <w:sz w:val="22"/>
                <w:szCs w:val="22"/>
              </w:rPr>
              <w:t>Records that may need</w:t>
            </w:r>
          </w:p>
          <w:p>
            <w:pPr>
              <w:pStyle w:val="Normal"/>
              <w:overflowPunct w:val="false"/>
              <w:autoSpaceDE w:val="false"/>
              <w:rPr>
                <w:rFonts w:ascii="Arial" w:hAnsi="Arial" w:cs="Arial"/>
                <w:b/>
                <w:bCs/>
                <w:kern w:val="2"/>
                <w:sz w:val="22"/>
                <w:szCs w:val="22"/>
              </w:rPr>
            </w:pPr>
            <w:r>
              <w:rPr>
                <w:rFonts w:cs="Arial" w:ascii="Arial" w:hAnsi="Arial"/>
                <w:b/>
                <w:bCs/>
                <w:sz w:val="22"/>
                <w:szCs w:val="22"/>
              </w:rPr>
              <w:t>to be disclosed</w:t>
            </w:r>
          </w:p>
        </w:tc>
        <w:tc>
          <w:tcPr>
            <w:tcW w:w="2835"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rPr>
                <w:rFonts w:ascii="Arial" w:hAnsi="Arial" w:cs="Arial"/>
                <w:kern w:val="2"/>
                <w:sz w:val="22"/>
                <w:szCs w:val="22"/>
              </w:rPr>
            </w:pPr>
            <w:r>
              <w:rPr>
                <w:rFonts w:cs="Arial" w:ascii="Arial" w:hAnsi="Arial"/>
                <w:b/>
                <w:bCs/>
                <w:sz w:val="22"/>
                <w:szCs w:val="22"/>
              </w:rPr>
              <w:t>Purpose of Disclosure</w:t>
            </w:r>
          </w:p>
        </w:tc>
      </w:tr>
      <w:tr>
        <w:trPr>
          <w:trHeight w:val="2797" w:hRule="atLeast"/>
        </w:trPr>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kern w:val="2"/>
                <w:sz w:val="22"/>
                <w:szCs w:val="22"/>
              </w:rPr>
            </w:pPr>
            <w:r>
              <w:rPr>
                <w:rFonts w:cs="Arial" w:ascii="Arial" w:hAnsi="Arial"/>
                <w:sz w:val="22"/>
                <w:szCs w:val="22"/>
              </w:rPr>
              <w:t>Recruiting Group Chief Medical Officer, Deputy Chief Medical Officer and Medical Examiners</w:t>
            </w:r>
          </w:p>
          <w:p>
            <w:pPr>
              <w:pStyle w:val="Normal"/>
              <w:rPr>
                <w:rFonts w:ascii="Arial" w:hAnsi="Arial" w:cs="Arial"/>
                <w:kern w:val="2"/>
                <w:sz w:val="22"/>
                <w:szCs w:val="22"/>
              </w:rPr>
            </w:pPr>
            <w:r>
              <w:rPr>
                <w:rFonts w:cs="Arial" w:ascii="Arial" w:hAnsi="Arial"/>
                <w:kern w:val="2"/>
                <w:sz w:val="22"/>
                <w:szCs w:val="22"/>
              </w:rPr>
            </w:r>
          </w:p>
          <w:p>
            <w:pPr>
              <w:pStyle w:val="Normal"/>
              <w:rPr>
                <w:rFonts w:ascii="Arial" w:hAnsi="Arial" w:cs="Arial"/>
                <w:sz w:val="22"/>
                <w:szCs w:val="22"/>
              </w:rPr>
            </w:pPr>
            <w:r>
              <w:rPr>
                <w:rFonts w:cs="Arial" w:ascii="Arial" w:hAnsi="Arial"/>
                <w:sz w:val="22"/>
                <w:szCs w:val="22"/>
              </w:rPr>
              <w:t>via</w:t>
            </w:r>
          </w:p>
          <w:p>
            <w:pPr>
              <w:pStyle w:val="Normal"/>
              <w:rPr>
                <w:rFonts w:ascii="Arial" w:hAnsi="Arial" w:cs="Arial"/>
                <w:sz w:val="22"/>
                <w:szCs w:val="22"/>
              </w:rPr>
            </w:pPr>
            <w:r>
              <w:rPr>
                <w:rFonts w:cs="Arial" w:ascii="Arial" w:hAnsi="Arial"/>
                <w:sz w:val="22"/>
                <w:szCs w:val="22"/>
              </w:rPr>
            </w:r>
          </w:p>
          <w:p>
            <w:pPr>
              <w:pStyle w:val="Normal"/>
              <w:overflowPunct w:val="false"/>
              <w:autoSpaceDE w:val="false"/>
              <w:rPr>
                <w:rFonts w:ascii="Arial" w:hAnsi="Arial" w:cs="Arial"/>
                <w:kern w:val="2"/>
                <w:sz w:val="22"/>
                <w:szCs w:val="22"/>
              </w:rPr>
            </w:pPr>
            <w:r>
              <w:rPr>
                <w:rFonts w:cs="Arial" w:ascii="Arial" w:hAnsi="Arial"/>
                <w:sz w:val="22"/>
                <w:szCs w:val="22"/>
              </w:rPr>
              <w:t>ARITC Col Occupational Medicine</w:t>
            </w:r>
          </w:p>
        </w:tc>
        <w:tc>
          <w:tcPr>
            <w:tcW w:w="4536"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kern w:val="2"/>
                <w:sz w:val="22"/>
                <w:szCs w:val="22"/>
              </w:rPr>
            </w:pPr>
            <w:r>
              <w:rPr>
                <w:rFonts w:cs="Arial" w:ascii="Arial" w:hAnsi="Arial"/>
                <w:sz w:val="22"/>
                <w:szCs w:val="22"/>
              </w:rPr>
              <w:t>URN</w:t>
            </w:r>
          </w:p>
          <w:p>
            <w:pPr>
              <w:pStyle w:val="Normal"/>
              <w:jc w:val="both"/>
              <w:rPr>
                <w:rFonts w:ascii="Arial" w:hAnsi="Arial" w:cs="Arial"/>
                <w:sz w:val="22"/>
                <w:szCs w:val="22"/>
              </w:rPr>
            </w:pPr>
            <w:r>
              <w:rPr>
                <w:rFonts w:cs="Arial" w:ascii="Arial" w:hAnsi="Arial"/>
                <w:sz w:val="22"/>
                <w:szCs w:val="22"/>
              </w:rPr>
              <w:t>Full Name</w:t>
            </w:r>
          </w:p>
          <w:p>
            <w:pPr>
              <w:pStyle w:val="Normal"/>
              <w:jc w:val="both"/>
              <w:rPr>
                <w:rFonts w:ascii="Arial" w:hAnsi="Arial" w:cs="Arial"/>
                <w:sz w:val="22"/>
                <w:szCs w:val="22"/>
              </w:rPr>
            </w:pPr>
            <w:r>
              <w:rPr>
                <w:rFonts w:cs="Arial" w:ascii="Arial" w:hAnsi="Arial"/>
                <w:sz w:val="22"/>
                <w:szCs w:val="22"/>
              </w:rPr>
              <w:t>DOB</w:t>
            </w:r>
          </w:p>
          <w:p>
            <w:pPr>
              <w:pStyle w:val="Normal"/>
              <w:jc w:val="both"/>
              <w:rPr>
                <w:rFonts w:ascii="Arial" w:hAnsi="Arial" w:cs="Arial"/>
                <w:sz w:val="22"/>
                <w:szCs w:val="22"/>
              </w:rPr>
            </w:pPr>
            <w:r>
              <w:rPr>
                <w:rFonts w:cs="Arial" w:ascii="Arial" w:hAnsi="Arial"/>
                <w:sz w:val="22"/>
                <w:szCs w:val="22"/>
              </w:rPr>
              <w:t xml:space="preserve">RGMD </w:t>
            </w:r>
          </w:p>
          <w:p>
            <w:pPr>
              <w:pStyle w:val="Normal"/>
              <w:jc w:val="both"/>
              <w:rPr>
                <w:rFonts w:ascii="Arial" w:hAnsi="Arial" w:cs="Arial"/>
                <w:sz w:val="22"/>
                <w:szCs w:val="22"/>
              </w:rPr>
            </w:pPr>
            <w:r>
              <w:rPr>
                <w:rFonts w:cs="Arial" w:ascii="Arial" w:hAnsi="Arial"/>
                <w:sz w:val="22"/>
                <w:szCs w:val="22"/>
              </w:rPr>
              <w:t>PSMA documentation</w:t>
            </w:r>
          </w:p>
          <w:p>
            <w:pPr>
              <w:pStyle w:val="Normal"/>
              <w:jc w:val="both"/>
              <w:rPr>
                <w:rFonts w:ascii="Arial" w:hAnsi="Arial" w:cs="Arial"/>
                <w:sz w:val="22"/>
                <w:szCs w:val="22"/>
              </w:rPr>
            </w:pPr>
            <w:r>
              <w:rPr>
                <w:rFonts w:cs="Arial" w:ascii="Arial" w:hAnsi="Arial"/>
                <w:sz w:val="22"/>
                <w:szCs w:val="22"/>
              </w:rPr>
              <w:t>Appeal documentation</w:t>
            </w:r>
          </w:p>
          <w:p>
            <w:pPr>
              <w:pStyle w:val="Normal"/>
              <w:jc w:val="both"/>
              <w:rPr>
                <w:rFonts w:ascii="Arial" w:hAnsi="Arial" w:cs="Arial"/>
                <w:sz w:val="22"/>
                <w:szCs w:val="22"/>
              </w:rPr>
            </w:pPr>
            <w:r>
              <w:rPr>
                <w:rFonts w:cs="Arial" w:ascii="Arial" w:hAnsi="Arial"/>
                <w:sz w:val="22"/>
                <w:szCs w:val="22"/>
              </w:rPr>
              <w:t>Specialist letters</w:t>
            </w:r>
          </w:p>
          <w:p>
            <w:pPr>
              <w:pStyle w:val="Normal"/>
              <w:overflowPunct w:val="false"/>
              <w:autoSpaceDE w:val="false"/>
              <w:jc w:val="both"/>
              <w:rPr>
                <w:rFonts w:ascii="Arial" w:hAnsi="Arial" w:cs="Arial"/>
                <w:kern w:val="2"/>
                <w:sz w:val="22"/>
                <w:szCs w:val="22"/>
              </w:rPr>
            </w:pPr>
            <w:r>
              <w:rPr>
                <w:rFonts w:cs="Arial" w:ascii="Arial" w:hAnsi="Arial"/>
                <w:sz w:val="22"/>
                <w:szCs w:val="22"/>
              </w:rPr>
              <w:t xml:space="preserve">Other relevant medical correspondence or FME </w:t>
            </w:r>
          </w:p>
        </w:tc>
        <w:tc>
          <w:tcPr>
            <w:tcW w:w="28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kern w:val="2"/>
                <w:sz w:val="22"/>
                <w:szCs w:val="22"/>
              </w:rPr>
            </w:pPr>
            <w:r>
              <w:rPr>
                <w:rFonts w:cs="Arial" w:ascii="Arial" w:hAnsi="Arial"/>
                <w:sz w:val="22"/>
                <w:szCs w:val="22"/>
              </w:rPr>
              <w:t>To identify areas for potential improvement in the recruiting medical processes.</w:t>
            </w:r>
          </w:p>
          <w:p>
            <w:pPr>
              <w:pStyle w:val="Normal"/>
              <w:overflowPunct w:val="false"/>
              <w:autoSpaceDE w:val="false"/>
              <w:jc w:val="both"/>
              <w:rPr>
                <w:rFonts w:ascii="Arial" w:hAnsi="Arial" w:cs="Arial"/>
                <w:kern w:val="2"/>
                <w:sz w:val="22"/>
                <w:szCs w:val="22"/>
              </w:rPr>
            </w:pPr>
            <w:r>
              <w:rPr>
                <w:rFonts w:cs="Arial" w:ascii="Arial" w:hAnsi="Arial"/>
                <w:kern w:val="2"/>
                <w:sz w:val="22"/>
                <w:szCs w:val="22"/>
              </w:rPr>
            </w:r>
          </w:p>
        </w:tc>
      </w:tr>
    </w:tbl>
    <w:p>
      <w:pPr>
        <w:pStyle w:val="Normal"/>
        <w:jc w:val="both"/>
        <w:rPr>
          <w:rFonts w:ascii="Arial" w:hAnsi="Arial" w:cs="Arial"/>
          <w:b/>
          <w:bCs/>
          <w:kern w:val="2"/>
          <w:sz w:val="22"/>
          <w:szCs w:val="22"/>
        </w:rPr>
      </w:pPr>
      <w:r>
        <w:rPr>
          <w:rFonts w:cs="Arial" w:ascii="Arial" w:hAnsi="Arial"/>
          <w:b/>
          <w:bCs/>
          <w:kern w:val="2"/>
          <w:sz w:val="22"/>
          <w:szCs w:val="22"/>
        </w:rPr>
      </w:r>
    </w:p>
    <w:p>
      <w:pPr>
        <w:pStyle w:val="Normal"/>
        <w:jc w:val="both"/>
        <w:rPr/>
      </w:pPr>
      <w:r>
        <w:rPr>
          <w:rFonts w:cs="Arial" w:ascii="Arial" w:hAnsi="Arial"/>
          <w:bCs/>
          <w:sz w:val="22"/>
          <w:szCs w:val="22"/>
        </w:rPr>
        <w:t xml:space="preserve">I Rct </w:t>
      </w:r>
      <w:r>
        <w:fldChar w:fldCharType="begin">
          <w:ffData>
            <w:name w:val="Forenames_1 Copy 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Forenames</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w:t>
      </w:r>
      <w:r>
        <w:fldChar w:fldCharType="begin">
          <w:ffData>
            <w:name w:val="Surname_1 Copy 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Surname</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consent to the agency listed above accessing the specified documents for the stated purposes.</w:t>
      </w:r>
    </w:p>
    <w:p>
      <w:pPr>
        <w:pStyle w:val="Normal"/>
        <w:jc w:val="both"/>
        <w:rPr>
          <w:rFonts w:ascii="Arial" w:hAnsi="Arial" w:cs="Arial"/>
          <w:bCs/>
          <w:sz w:val="22"/>
          <w:szCs w:val="22"/>
        </w:rPr>
      </w:pPr>
      <w:r>
        <w:rPr>
          <w:rFonts w:cs="Arial" w:ascii="Arial" w:hAnsi="Arial"/>
          <w:bCs/>
          <w:sz w:val="22"/>
          <w:szCs w:val="22"/>
        </w:rPr>
      </w:r>
    </w:p>
    <w:tbl>
      <w:tblPr>
        <w:tblW w:w="9747" w:type="dxa"/>
        <w:jc w:val="start"/>
        <w:tblInd w:w="0" w:type="dxa"/>
        <w:tblLayout w:type="fixed"/>
        <w:tblCellMar>
          <w:top w:w="0" w:type="dxa"/>
          <w:start w:w="108" w:type="dxa"/>
          <w:bottom w:w="0" w:type="dxa"/>
          <w:end w:w="108" w:type="dxa"/>
        </w:tblCellMar>
      </w:tblPr>
      <w:tblGrid>
        <w:gridCol w:w="4621"/>
        <w:gridCol w:w="5126"/>
      </w:tblGrid>
      <w:tr>
        <w:trPr>
          <w:trHeight w:val="403" w:hRule="atLeast"/>
        </w:trPr>
        <w:tc>
          <w:tcPr>
            <w:tcW w:w="4621"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rPr>
                <w:rFonts w:ascii="Arial" w:hAnsi="Arial" w:cs="Arial"/>
                <w:bCs/>
                <w:i/>
                <w:i/>
                <w:sz w:val="22"/>
                <w:szCs w:val="22"/>
              </w:rPr>
            </w:pPr>
            <w:r>
              <w:rPr>
                <w:rFonts w:cs="Arial" w:ascii="Arial" w:hAnsi="Arial"/>
                <w:bCs/>
                <w:sz w:val="22"/>
                <w:szCs w:val="22"/>
              </w:rPr>
              <w:t xml:space="preserve">Signature of individual </w:t>
            </w:r>
            <w:r>
              <w:rPr>
                <w:rFonts w:cs="Arial" w:ascii="Arial" w:hAnsi="Arial"/>
                <w:bCs/>
                <w:i/>
                <w:sz w:val="22"/>
                <w:szCs w:val="22"/>
              </w:rPr>
              <w:t>signed in person</w:t>
            </w:r>
          </w:p>
          <w:p>
            <w:pPr>
              <w:pStyle w:val="Normal"/>
              <w:overflowPunct w:val="false"/>
              <w:autoSpaceDE w:val="false"/>
              <w:rPr>
                <w:rFonts w:ascii="Arial" w:hAnsi="Arial" w:cs="Arial"/>
                <w:bCs/>
                <w:i/>
                <w:i/>
                <w:sz w:val="22"/>
                <w:szCs w:val="22"/>
              </w:rPr>
            </w:pPr>
            <w:r>
              <w:rPr>
                <w:rFonts w:cs="Arial" w:ascii="Arial" w:hAnsi="Arial"/>
                <w:bCs/>
                <w:i/>
                <w:sz w:val="22"/>
                <w:szCs w:val="22"/>
              </w:rPr>
            </w:r>
          </w:p>
          <w:p>
            <w:pPr>
              <w:pStyle w:val="Normal"/>
              <w:overflowPunct w:val="false"/>
              <w:autoSpaceDE w:val="false"/>
              <w:rPr>
                <w:rFonts w:ascii="Arial" w:hAnsi="Arial" w:cs="Arial"/>
                <w:bCs/>
                <w:i/>
                <w:i/>
                <w:kern w:val="2"/>
                <w:sz w:val="22"/>
                <w:szCs w:val="22"/>
              </w:rPr>
            </w:pPr>
            <w:r>
              <w:rPr>
                <w:rFonts w:cs="Arial" w:ascii="Arial" w:hAnsi="Arial"/>
                <w:bCs/>
                <w:i/>
                <w:kern w:val="2"/>
                <w:sz w:val="22"/>
                <w:szCs w:val="22"/>
              </w:rPr>
            </w:r>
          </w:p>
        </w:tc>
        <w:tc>
          <w:tcPr>
            <w:tcW w:w="5126"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rPr>
                <w:rFonts w:ascii="Arial" w:hAnsi="Arial" w:cs="Arial"/>
                <w:bCs/>
                <w:kern w:val="2"/>
                <w:sz w:val="22"/>
                <w:szCs w:val="22"/>
              </w:rPr>
            </w:pPr>
            <w:r>
              <w:rPr>
                <w:rFonts w:cs="Arial" w:ascii="Arial" w:hAnsi="Arial"/>
                <w:bCs/>
                <w:sz w:val="22"/>
                <w:szCs w:val="22"/>
              </w:rPr>
              <w:t xml:space="preserve">Date: </w:t>
            </w:r>
            <w:r>
              <w:fldChar w:fldCharType="begin">
                <w:ffData>
                  <w:name w:val="System_Date_1 Copy 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System Date</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w:t>
            </w:r>
          </w:p>
        </w:tc>
      </w:tr>
      <w:tr>
        <w:trPr>
          <w:trHeight w:val="551" w:hRule="atLeast"/>
        </w:trPr>
        <w:tc>
          <w:tcPr>
            <w:tcW w:w="4621"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rPr>
                <w:rFonts w:ascii="Arial" w:hAnsi="Arial" w:cs="Arial"/>
                <w:bCs/>
                <w:sz w:val="22"/>
                <w:szCs w:val="22"/>
              </w:rPr>
            </w:pPr>
            <w:r>
              <w:rPr>
                <w:rFonts w:cs="Arial" w:ascii="Arial" w:hAnsi="Arial"/>
                <w:bCs/>
                <w:sz w:val="22"/>
                <w:szCs w:val="22"/>
              </w:rPr>
              <w:t xml:space="preserve">Signature of witness </w:t>
            </w:r>
          </w:p>
          <w:p>
            <w:pPr>
              <w:pStyle w:val="Normal"/>
              <w:overflowPunct w:val="false"/>
              <w:autoSpaceDE w:val="false"/>
              <w:rPr>
                <w:rFonts w:ascii="Arial" w:hAnsi="Arial" w:cs="Arial"/>
                <w:bCs/>
                <w:kern w:val="2"/>
                <w:sz w:val="22"/>
                <w:szCs w:val="22"/>
              </w:rPr>
            </w:pPr>
            <w:r>
              <w:fldChar w:fldCharType="begin">
                <w:ffData>
                  <w:name w:val="Free_Text_Prompt_9"/>
                  <w:enabled/>
                  <w:calcOnExit w:val="0"/>
                  <w:textInput/>
                </w:ffData>
              </w:fldChar>
            </w:r>
            <w:r>
              <w:rPr>
                <w:sz w:val="22"/>
                <w:kern w:val="2"/>
                <w:szCs w:val="22"/>
                <w:bCs/>
                <w:rFonts w:cs="Arial" w:ascii="Arial" w:hAnsi="Arial"/>
              </w:rPr>
              <w:instrText xml:space="preserve"> FORMTEXT </w:instrText>
            </w:r>
            <w:r>
              <w:rPr>
                <w:rFonts w:cs="Arial" w:ascii="Arial" w:hAnsi="Arial"/>
                <w:bCs/>
                <w:kern w:val="2"/>
                <w:sz w:val="22"/>
                <w:szCs w:val="22"/>
              </w:rPr>
            </w:r>
            <w:r>
              <w:rPr>
                <w:sz w:val="22"/>
                <w:kern w:val="2"/>
                <w:szCs w:val="22"/>
                <w:bCs/>
                <w:rFonts w:cs="Arial" w:ascii="Arial" w:hAnsi="Arial"/>
              </w:rPr>
              <w:fldChar w:fldCharType="separate"/>
            </w:r>
            <w:r>
              <w:rPr>
                <w:rFonts w:cs="Arial" w:ascii="Arial" w:hAnsi="Arial"/>
                <w:bCs/>
                <w:kern w:val="2"/>
                <w:sz w:val="22"/>
                <w:szCs w:val="22"/>
              </w:rPr>
              <w:t>Free Text Prompt</w:t>
            </w:r>
            <w:r>
              <w:rPr>
                <w:rFonts w:cs="Arial" w:ascii="Arial" w:hAnsi="Arial"/>
                <w:bCs/>
                <w:kern w:val="2"/>
                <w:sz w:val="22"/>
                <w:szCs w:val="22"/>
              </w:rPr>
            </w:r>
            <w:r>
              <w:rPr>
                <w:sz w:val="22"/>
                <w:kern w:val="2"/>
                <w:szCs w:val="22"/>
                <w:bCs/>
                <w:rFonts w:cs="Arial" w:ascii="Arial" w:hAnsi="Arial"/>
              </w:rPr>
              <w:fldChar w:fldCharType="end"/>
            </w:r>
            <w:r>
              <w:rPr>
                <w:rFonts w:cs="Arial" w:ascii="Arial" w:hAnsi="Arial"/>
                <w:bCs/>
                <w:kern w:val="2"/>
                <w:sz w:val="22"/>
                <w:szCs w:val="22"/>
              </w:rPr>
              <w:t xml:space="preserve"> (signed electronically)</w:t>
            </w:r>
          </w:p>
        </w:tc>
        <w:tc>
          <w:tcPr>
            <w:tcW w:w="51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kern w:val="2"/>
                <w:sz w:val="22"/>
                <w:szCs w:val="22"/>
              </w:rPr>
            </w:pPr>
            <w:r>
              <w:rPr>
                <w:rFonts w:cs="Arial" w:ascii="Arial" w:hAnsi="Arial"/>
                <w:bCs/>
                <w:sz w:val="22"/>
                <w:szCs w:val="22"/>
              </w:rPr>
              <w:t xml:space="preserve">Name, Rank and appointment of witness </w:t>
            </w:r>
          </w:p>
          <w:p>
            <w:pPr>
              <w:pStyle w:val="Normal"/>
              <w:overflowPunct w:val="false"/>
              <w:autoSpaceDE w:val="false"/>
              <w:rPr>
                <w:rFonts w:ascii="Arial" w:hAnsi="Arial" w:cs="Arial"/>
                <w:bCs/>
                <w:kern w:val="2"/>
                <w:sz w:val="22"/>
                <w:szCs w:val="22"/>
              </w:rPr>
            </w:pPr>
            <w:r>
              <w:fldChar w:fldCharType="begin">
                <w:ffData>
                  <w:name w:val="User_Title_1 Copy 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User Title</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w:t>
            </w:r>
            <w:r>
              <w:fldChar w:fldCharType="begin">
                <w:ffData>
                  <w:name w:val="User_Name_1 Copy 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User Name</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w:t>
            </w:r>
          </w:p>
        </w:tc>
      </w:tr>
    </w:tbl>
    <w:p>
      <w:pPr>
        <w:sectPr>
          <w:headerReference w:type="default" r:id="rId5"/>
          <w:footerReference w:type="default" r:id="rId6"/>
          <w:type w:val="nextPage"/>
          <w:pgSz w:w="11906" w:h="16838"/>
          <w:pgMar w:left="1080" w:right="1080" w:gutter="0" w:header="567" w:top="1440" w:footer="567" w:bottom="1440"/>
          <w:pgNumType w:fmt="decimal"/>
          <w:formProt w:val="false"/>
          <w:textDirection w:val="lrTb"/>
          <w:docGrid w:type="default" w:linePitch="360" w:charSpace="0"/>
        </w:sectPr>
        <w:pStyle w:val="Normal"/>
        <w:rPr>
          <w:rFonts w:ascii="Arial" w:hAnsi="Arial" w:cs="Arial"/>
          <w:sz w:val="22"/>
          <w:szCs w:val="22"/>
        </w:rPr>
      </w:pPr>
      <w:r>
        <w:rPr>
          <w:rFonts w:cs="Arial" w:ascii="Arial" w:hAnsi="Arial"/>
          <w:sz w:val="22"/>
          <w:szCs w:val="22"/>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sz w:val="22"/>
          <w:szCs w:val="22"/>
        </w:rPr>
      </w:pPr>
      <w:r>
        <w:rPr>
          <w:rFonts w:cs="Arial" w:ascii="Arial" w:hAnsi="Arial"/>
          <w:b/>
          <w:sz w:val="22"/>
          <w:szCs w:val="22"/>
        </w:rPr>
      </w:r>
    </w:p>
    <w:sectPr>
      <w:headerReference w:type="default" r:id="rId7"/>
      <w:headerReference w:type="first" r:id="rId8"/>
      <w:footerReference w:type="default" r:id="rId9"/>
      <w:footerReference w:type="first" r:id="rId10"/>
      <w:type w:val="nextPage"/>
      <w:pgSz w:orient="landscape" w:w="16838" w:h="11906"/>
      <w:pgMar w:left="567" w:right="567" w:gutter="0" w:header="284" w:top="1134" w:footer="284" w:bottom="11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sz w:val="20"/>
        <w:szCs w:val="20"/>
      </w:rPr>
    </w:pPr>
    <w:r>
      <w:rPr>
        <w:rFonts w:cs="Arial" w:ascii="Arial" w:hAnsi="Arial"/>
        <w:sz w:val="20"/>
        <w:szCs w:val="20"/>
      </w:rPr>
      <w:t>OFFICIAL SENSITIVE PERSONAL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FMed 23 -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March 2019                                      </w:t>
    </w:r>
    <w:r>
      <w:rPr>
        <w:rStyle w:val="PageNumber"/>
        <w:rFonts w:cs="Arial" w:ascii="Arial" w:hAnsi="Arial"/>
        <w:sz w:val="18"/>
        <w:szCs w:val="18"/>
      </w:rPr>
      <w:t xml:space="preserve">DMICP Version 1.0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sz w:val="20"/>
        <w:szCs w:val="20"/>
      </w:rPr>
    </w:pPr>
    <w:r>
      <w:rPr>
        <w:rFonts w:cs="Arial" w:ascii="Arial" w:hAnsi="Arial"/>
        <w:sz w:val="20"/>
        <w:szCs w:val="20"/>
      </w:rPr>
      <w:t>OFFICIAL SENSITIVE PERSONAL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March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Audiometry_T_1" w:val="1|1"/>
    <w:docVar w:name="Blood_Pressure_T_1" w:val="1|1"/>
    <w:docVar w:name="Consultation_T_1" w:val="2|1M"/>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the date they joined the Army"/>
    <w:docVar w:name="Free_Text_Prompt_2" w:val="Enter their last date of service (or tbc if not known)"/>
    <w:docVar w:name="Free_Text_Prompt_3" w:val="FMed 23: Enter the date and location of their Pre Service Medical (eg 23 Feb 19, Lichfield)"/>
    <w:docVar w:name="Free_Text_Prompt_4" w:val="enter your puid"/>
    <w:docVar w:name="Free_Text_Prompt_5" w:val="PUID"/>
    <w:docVar w:name="Free_Text_Prompt_6" w:val="FMed 133: enter their residential address on leaving the service."/>
    <w:docVar w:name="Free_Text_Prompt_7" w:val="FMed 133: enter their national insurance number (if known)."/>
    <w:docVar w:name="Free_Text_Prompt_8" w:val="How long is the bar from rejoining? (eg &quot;permanently&quot;, &quot;for 6 months&quot;, &quot;for a duration tbc&quot;"/>
    <w:docVar w:name="Free_Text_Prompt_9" w:val="enter your puid (eg johnstonet191)"/>
    <w:docVar w:name="Height_T_1" w:val="1|1"/>
    <w:docVar w:name="Height_T_2" w:val="1|1"/>
    <w:docVar w:name="Medication_T_1" w:val="C,A|3|ALL"/>
    <w:docVar w:name="PCS_DOCUMENT_NAME" w:val="App21_Set_v1_3.dot"/>
    <w:docVar w:name="PCS_HANDLE" w:val="1901004"/>
    <w:docVar w:name="PCS_MSG" w:val="49637"/>
    <w:docVar w:name="Peak_Flow_T_1" w:val="1|1"/>
    <w:docVar w:name="Problem_T_1" w:val="SA,MA,SP|3|ALL"/>
    <w:docVar w:name="Read_Code_F_1" w:val="DMS4607|FMed23 - Principal condition 1 date of origin|1|A,H"/>
    <w:docVar w:name="Read_Code_F_10" w:val="DMS4604|FMed23 - Other condition 1|1|A,H"/>
    <w:docVar w:name="Read_Code_F_100" w:val="DMS4320|Walk 3.2km carrying 15kg|1|U,H"/>
    <w:docVar w:name="Read_Code_F_101" w:val="DMS4321|Wear body armour (ECBA 4.5kg)|1|U,H"/>
    <w:docVar w:name="Read_Code_F_102" w:val="DMS4322|Wear body armour (OSPREY 10.5kg)|1|U,H"/>
    <w:docVar w:name="Read_Code_F_103" w:val="DMS4323|Stand 2 hours in PPE with weapon|1|U,H"/>
    <w:docVar w:name="Read_Code_F_104" w:val="DMS4374|Trade restrictions - User entered|1|A,H"/>
    <w:docVar w:name="Read_Code_F_105" w:val="DMS4375|Noise Restrictions|1|U,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U,H"/>
    <w:docVar w:name="Read_Code_F_11" w:val="PCS15089IN2|Initial Medical Assessment - Phase 1 Start (IMA)|1|T,H"/>
    <w:docVar w:name="Read_Code_F_110" w:val="DMS4388|Other Restrictions - User entered|1|A,H"/>
    <w:docVar w:name="Read_Code_F_111" w:val="DMS4389|Ongoing primary health care|1|U,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U,H"/>
    <w:docVar w:name="Read_Code_F_119" w:val="DMS4401|Physical training restriction - has a rehabilitation programme|1|U,H"/>
    <w:docVar w:name="Read_Code_F_12" w:val="229|O/E - height|2|T,U,H"/>
    <w:docVar w:name="Read_Code_F_120" w:val="DMS4402|Physical training restriction - risk of prolonged recovery if rehab interrupted|1|U,H"/>
    <w:docVar w:name="Read_Code_F_121" w:val="DMS4403|PFA|1|U,H"/>
    <w:docVar w:name="Read_Code_F_122" w:val="DMS4409|AFT|1|U,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PCS15089JM2|JMES Anticipated Timeline / Stability|1|A,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PCS15089JM2|JMES Anticipated Timeline / Stability|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U,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4641|FMed23 - Soldier's concerns and questions|1|V,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U,H"/>
    <w:docVar w:name="Read_Code_F_159" w:val="DMS4520|Workplace Assessment - User entered|1|A,H"/>
    <w:docVar w:name="Read_Code_F_16" w:val="22A|O/E - weight|2|U,T,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3395|Peak exp. flow rate: PEFR/PFR|3|T,V,U,H"/>
    <w:docVar w:name="Read_Code_F_18" w:val="TRIQQNLA1|Land MES Values|1|U,H"/>
    <w:docVar w:name="Read_Code_F_19" w:val="DMS4602|FMed23 - Principal condition 2|1|A,H"/>
    <w:docVar w:name="Read_Code_F_2" w:val="DMS4608|FMed23 - Principal condition 2 date of origin|1|A,H"/>
    <w:docVar w:name="Read_Code_F_20" w:val="DMS4603|FMed23 - Principal condition 3|1|A,H"/>
    <w:docVar w:name="Read_Code_F_21" w:val="DMS4605|FMed23 - Other condition 2|1|A,H"/>
    <w:docVar w:name="Read_Code_F_22" w:val="DMS4606|FMed23 - Other condition 3|1|A,H"/>
    <w:docVar w:name="Read_Code_F_23" w:val="TRIQQNMA1|Maritime MES Values|1|U,H"/>
    <w:docVar w:name="Read_Code_F_24" w:val="DMS4613|FMed23 - Principal condition 1 place of origin|1|A,H"/>
    <w:docVar w:name="Read_Code_F_25" w:val="DMS4614|FMed23 - Principal condition 2 place of origin|1|A,H"/>
    <w:docVar w:name="Read_Code_F_26" w:val="DMS4615|FMed23 - Principal condition 3 place of origin|1|A,H"/>
    <w:docVar w:name="Read_Code_F_27" w:val="TRIQQNEN1|Environment MES Values|1|U,H"/>
    <w:docVar w:name="Read_Code_F_28" w:val="22N0|Waist circumference|3|T,V,U,H"/>
    <w:docVar w:name="Read_Code_F_29" w:val="TRIQQNME2|Medical deployability status|1|U,H"/>
    <w:docVar w:name="Read_Code_F_3" w:val="DMS4609|FMed23 - Principal condition 3 date of origin|1|A,H"/>
    <w:docVar w:name="Read_Code_F_30" w:val="DMS4616|FMed23 - Other condition 1 place of origin|1|A,H"/>
    <w:docVar w:name="Read_Code_F_31" w:val="DMS4617|FMed23 - Other condition 2 place of origin|1|A,H"/>
    <w:docVar w:name="Read_Code_F_32" w:val="DMS4618|FMed23 - Other condition 3 place of origin|1|A,H"/>
    <w:docVar w:name="Read_Code_F_33" w:val="DMS4619|FMed23 - Medical limitations|1|A,H"/>
    <w:docVar w:name="Read_Code_F_34" w:val="DMS4621|FMed23 - Documents available from the medical board|1|A,H"/>
    <w:docVar w:name="Read_Code_F_35" w:val="DMS4622|FMed23 - Reason for medical board|1|A,H"/>
    <w:docVar w:name="Read_Code_F_36" w:val="DMS4620|FMed23 - Present at the medical board|1|A,H"/>
    <w:docVar w:name="Read_Code_F_37" w:val="DMS4623|FMed23 - Brief overview of presenting complaint|1|A,H"/>
    <w:docVar w:name="Read_Code_F_38" w:val="DMS4624|FMed23 - Relevant past medical history|1|A,H"/>
    <w:docVar w:name="Read_Code_F_39" w:val="DMS4625|FMed23 - Relevant current medications|1|A,H"/>
    <w:docVar w:name="Read_Code_F_4" w:val="DMS4610|FMed23 - Other condition 1 date of origin|1|A,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DMS4611|FMed23 - Other condition 2 date of origin|1|A,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DMS4612|FMed23 - Other condition 3 date of origin|1|A,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RAFMEME1|Permanent/temporary MES/PES|1|U,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U,H"/>
    <w:docVar w:name="Read_Code_F_76" w:val="DMS4326|Deployment risk - Worsening condition (Low Risk,Medium Risk,High Risk)|1|U,H"/>
    <w:docVar w:name="Read_Code_F_77" w:val="DMS4327|Deployment risk - Primary care requirement (Low Risk,Medium Risk,High Risk)|1|U,H"/>
    <w:docVar w:name="Read_Code_F_78" w:val="DMS4328|Deployment risk - Rehabilitation requirement (Low Risk,Medium Risk,High Risk)|1|U,H"/>
    <w:docVar w:name="Read_Code_F_79" w:val="DMS4329|Deployment risk - Secondary care requirement (Low Risk,Medium Risk,High Risk)|1|U,H"/>
    <w:docVar w:name="Read_Code_F_8" w:val="DMS4601|FMed23 - Principal condition 1|1|A,H"/>
    <w:docVar w:name="Read_Code_F_80" w:val="DMS4330|Deployment risk - Emergency aeromed (Low Risk,Medium Risk,High Risk)|1|U,H"/>
    <w:docVar w:name="Read_Code_F_81" w:val="DMS4331|Deployment risk - Interference with treatment (Low Risk,Medium Risk,High Risk)|1|U,H"/>
    <w:docVar w:name="Read_Code_F_82" w:val="DMS4332|Deployment risk - Overall risk assessment for deployment (Low Risk,Medium Risk,High Risk)|1|U,H"/>
    <w:docVar w:name="Read_Code_F_83" w:val="DMS4355|Deployability/Employability on Operations - User comments|1|A,H"/>
    <w:docVar w:name="Read_Code_F_84" w:val="DMS4334|Weight - personal kit &amp; equipment|1|U,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TRIQQNAI1|Air MES Values|1|U,H"/>
    <w:docVar w:name="Read_Code_F_90" w:val="DMS4356|Full trade exercise activities|1|U,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U,H"/>
    <w:docVar w:name="Read_Code_F_98" w:val="DMS4318|Run a short distance (100m)|1|U,H"/>
    <w:docVar w:name="Read_Code_F_99" w:val="DMS4319|Carry own bergan to transport|1|U,H"/>
    <w:docVar w:name="Urinalysis_T_1" w:val="2|1M"/>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style>
  <w:style w:type="character" w:styleId="WW8Num7z0">
    <w:name w:val="WW8Num7z0"/>
    <w:qFormat/>
    <w:rPr/>
  </w:style>
  <w:style w:type="character" w:styleId="WW8Num8z0">
    <w:name w:val="WW8Num8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0">
    <w:name w:val="WW8Num9z0"/>
    <w:qFormat/>
    <w:rPr>
      <w:rFonts w:ascii="Symbol" w:hAnsi="Symbol" w:cs="Symbol"/>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0z5">
    <w:name w:val="WW8Num10z5"/>
    <w:qFormat/>
    <w:rPr/>
  </w:style>
  <w:style w:type="character" w:styleId="WW8Num11z0">
    <w:name w:val="WW8Num11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1z5">
    <w:name w:val="WW8Num11z5"/>
    <w:qFormat/>
    <w:rPr>
      <w:b w:val="false"/>
      <w:i w:val="false"/>
      <w:sz w:val="24"/>
    </w:rPr>
  </w:style>
  <w:style w:type="character" w:styleId="WW8Num11z7">
    <w:name w:val="WW8Num11z7"/>
    <w:qFormat/>
    <w:rPr/>
  </w:style>
  <w:style w:type="character" w:styleId="WW8Num12z0">
    <w:name w:val="WW8Num12z0"/>
    <w:qFormat/>
    <w:rPr/>
  </w:style>
  <w:style w:type="character" w:styleId="WW8Num13z0">
    <w:name w:val="WW8Num13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FooterChar">
    <w:name w:val="Footer Char"/>
    <w:qFormat/>
    <w:rPr>
      <w:sz w:val="24"/>
      <w:szCs w:val="24"/>
    </w:rPr>
  </w:style>
  <w:style w:type="character" w:styleId="HeaderChar">
    <w:name w:val="Header Char"/>
    <w:qFormat/>
    <w:rPr>
      <w:sz w:val="24"/>
      <w:szCs w:val="24"/>
    </w:rPr>
  </w:style>
  <w:style w:type="character" w:styleId="FootnoteTextChar">
    <w:name w:val="Footnote Text Char"/>
    <w:qFormat/>
    <w:rPr>
      <w:sz w:val="16"/>
      <w:szCs w:val="24"/>
    </w:rPr>
  </w:style>
  <w:style w:type="character" w:styleId="Hyperlink">
    <w:name w:val="Hyperlink"/>
    <w:rPr>
      <w:rFonts w:ascii="Times New Roman" w:hAnsi="Times New Roman" w:cs="Times New Roman"/>
      <w:color w:val="0000FF"/>
      <w:u w:val="single"/>
    </w:rPr>
  </w:style>
  <w:style w:type="character" w:styleId="TitleChar">
    <w:name w:val="Title Char"/>
    <w:qFormat/>
    <w:rPr>
      <w:b/>
      <w:sz w:val="40"/>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App21_Set_v1_3.dot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2020-02-19T14:38:00Z</dcterms:created>
  <dc:creator>rileyn364</dc:creator>
  <dc:description/>
  <cp:keywords/>
  <dc:language>en-GB</dc:language>
  <cp:lastModifiedBy>Johnstone, Thomas Maj</cp:lastModifiedBy>
  <cp:lastPrinted>2011-07-27T08:22:00Z</cp:lastPrinted>
  <dcterms:modified xsi:type="dcterms:W3CDTF">2022-06-30T17:31:00Z</dcterms:modified>
  <cp:revision>3</cp:revision>
  <dc:subject/>
  <dc:title>APPENDIX 9</dc:title>
</cp:coreProperties>
</file>