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6"/>
          <w:szCs w:val="26"/>
          <w:lang w:val="en-US"/>
        </w:rPr>
      </w:pPr>
      <w:r>
        <w:rPr>
          <w:rFonts w:cs="Arial" w:ascii="Arial" w:hAnsi="Arial"/>
          <w:b/>
          <w:bCs/>
          <w:sz w:val="26"/>
          <w:szCs w:val="26"/>
          <w:lang w:val="en-US"/>
        </w:rPr>
        <w:t>APPENDIX 17B TO CHAPTER 78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2"/>
          <w:szCs w:val="22"/>
          <w:lang w:val="en-US"/>
        </w:rPr>
      </w:pPr>
      <w:r>
        <w:rPr>
          <w:rFonts w:cs="Arial" w:ascii="Arial" w:hAnsi="Arial"/>
          <w:b/>
          <w:bCs/>
          <w:sz w:val="22"/>
          <w:szCs w:val="22"/>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Bold;Arial" w:hAnsi="Arial Bold;Arial" w:cs="Arial"/>
          <w:b/>
          <w:bCs/>
          <w:caps/>
          <w:sz w:val="26"/>
          <w:szCs w:val="26"/>
          <w:lang w:val="en-US"/>
        </w:rPr>
      </w:pPr>
      <w:r>
        <w:rPr>
          <w:rFonts w:cs="Arial" w:ascii="Arial Bold;Arial" w:hAnsi="Arial Bold;Arial"/>
          <w:b/>
          <w:bCs/>
          <w:caps/>
          <w:sz w:val="26"/>
          <w:szCs w:val="26"/>
          <w:lang w:val="en-US"/>
        </w:rPr>
        <w:t>Consent to Disclosure of Medical Records Following a Medical Assessment Board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rPr>
          <w:rFonts w:cs="Arial" w:ascii="Arial" w:hAnsi="Arial"/>
          <w:bCs/>
          <w:sz w:val="16"/>
          <w:szCs w:val="16"/>
          <w:lang w:val="en-US"/>
        </w:rPr>
        <w:t xml:space="preserve">In accordance with GMC Guidance, the Access to Medical Records Act 1988, </w:t>
      </w:r>
      <w:r>
        <w:rPr>
          <w:rFonts w:cs="Arial" w:ascii="Arial" w:hAnsi="Arial"/>
          <w:sz w:val="16"/>
          <w:szCs w:val="16"/>
          <w:lang w:val="en-US"/>
        </w:rPr>
        <w:t>Regulation (EU) 2016/679 (General Data Protection Regulation) and the Data Protection Act 2018.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Cs/>
          <w:sz w:val="16"/>
          <w:szCs w:val="16"/>
          <w:lang w:val="en-US"/>
        </w:rPr>
      </w:pPr>
      <w:r>
        <w:rPr>
          <w:rFonts w:cs="Arial" w:ascii="Arial" w:hAnsi="Arial"/>
          <w:bCs/>
          <w:sz w:val="16"/>
          <w:szCs w:val="16"/>
          <w:lang w:val="en-US"/>
        </w:rPr>
      </w:r>
    </w:p>
    <w:tbl>
      <w:tblPr>
        <w:tblW w:w="5000" w:type="pct"/>
        <w:jc w:val="start"/>
        <w:tblInd w:w="0" w:type="dxa"/>
        <w:tblLayout w:type="fixed"/>
        <w:tblCellMar>
          <w:top w:w="0" w:type="dxa"/>
          <w:start w:w="108" w:type="dxa"/>
          <w:bottom w:w="0" w:type="dxa"/>
          <w:end w:w="108" w:type="dxa"/>
        </w:tblCellMar>
      </w:tblPr>
      <w:tblGrid>
        <w:gridCol w:w="2831"/>
        <w:gridCol w:w="1606"/>
        <w:gridCol w:w="8037"/>
        <w:gridCol w:w="994"/>
        <w:gridCol w:w="1102"/>
      </w:tblGrid>
      <w:tr>
        <w:trPr>
          <w:trHeight w:val="334" w:hRule="atLeast"/>
        </w:trPr>
        <w:tc>
          <w:tcPr>
            <w:tcW w:w="283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Agency</w:t>
            </w:r>
          </w:p>
        </w:tc>
        <w:tc>
          <w:tcPr>
            <w:tcW w:w="160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TimesNewRomanPSMT;Times New Roman" w:hAnsi="TimesNewRomanPSMT;Times New Roman" w:cs="TimesNewRomanPSMT;Times New Roman"/>
                <w:b/>
                <w:bCs/>
                <w:sz w:val="16"/>
                <w:szCs w:val="16"/>
                <w:lang w:val="en-US"/>
              </w:rPr>
            </w:pPr>
            <w:r>
              <w:rPr>
                <w:rFonts w:cs="Arial" w:ascii="Arial" w:hAnsi="Arial"/>
                <w:b/>
                <w:bCs/>
                <w:sz w:val="16"/>
                <w:szCs w:val="16"/>
                <w:lang w:val="en-US"/>
              </w:rPr>
              <w:t>Records to be disclosed</w:t>
            </w:r>
          </w:p>
        </w:tc>
        <w:tc>
          <w:tcPr>
            <w:tcW w:w="803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rPr>
                <w:rFonts w:cs="Arial" w:ascii="Arial" w:hAnsi="Arial"/>
                <w:b/>
                <w:bCs/>
                <w:sz w:val="16"/>
                <w:szCs w:val="16"/>
                <w:lang w:val="en-US"/>
              </w:rPr>
              <w:t>Purpose of disclosure</w:t>
            </w:r>
          </w:p>
        </w:tc>
        <w:tc>
          <w:tcPr>
            <w:tcW w:w="994" w:type="dxa"/>
            <w:tcBorders>
              <w:top w:val="single" w:sz="4" w:space="0" w:color="000000"/>
              <w:start w:val="single" w:sz="4" w:space="0" w:color="000000"/>
              <w:bottom w:val="single" w:sz="4" w:space="0" w:color="000000"/>
              <w:end w:val="single" w:sz="4" w:space="0" w:color="000000"/>
            </w:tcBorders>
            <w:shd w:fill="D9D9D9" w:val="clea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 xml:space="preserve">Consent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Given</w:t>
            </w:r>
          </w:p>
        </w:tc>
        <w:tc>
          <w:tcPr>
            <w:tcW w:w="110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Consent Withheld</w:t>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rPr>
              <w:t>MEDICAL TEAMS – YOUR MEDICAL INFORMATION WILL BE MANAGED CONFIDENTIALLY</w:t>
            </w:r>
          </w:p>
        </w:tc>
      </w:tr>
      <w:tr>
        <w:trPr>
          <w:trHeight w:val="447"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Regional Occupational Health Team (ROHT)</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 xml:space="preserve">ROHT provide advice to UMOs on grading decisions and you may be referred to them for a medical board. In order to make a decision on your employability or deployability, access to your medical records is required.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0" w:name="Check18"/>
            <w:bookmarkStart w:id="1" w:name="Check18"/>
            <w:bookmarkEnd w:id="1"/>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 w:name="Check18_Copy_1"/>
            <w:bookmarkStart w:id="3" w:name="Check18_Copy_1"/>
            <w:bookmarkEnd w:id="3"/>
            <w:r/>
            <w:r>
              <w:rPr>
                <w:sz w:val="16"/>
                <w:szCs w:val="16"/>
                <w:rFonts w:cs="Arial" w:ascii="Arial" w:hAnsi="Arial"/>
                <w:color w:val="000000"/>
              </w:rPr>
              <w:fldChar w:fldCharType="end"/>
            </w:r>
            <w:r>
              <w:rPr>
                <w:rFonts w:cs="Arial" w:ascii="Arial" w:hAnsi="Arial"/>
                <w:color w:val="000000"/>
                <w:sz w:val="16"/>
                <w:szCs w:val="16"/>
              </w:rPr>
            </w:r>
          </w:p>
        </w:tc>
      </w:tr>
      <w:tr>
        <w:trPr>
          <w:trHeight w:val="381"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 xml:space="preserve">APC Occupational Health Branch </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 xml:space="preserve">APC OH are a medical team who may use your medical information to advise Career Managers and Personnel Policy (Army) on your employability and deployability. Medical information will not be shared with anyone outside of their team.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2"/>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4" w:name="Check18_Copy_2"/>
            <w:bookmarkStart w:id="5" w:name="Check18_Copy_2"/>
            <w:bookmarkEnd w:id="5"/>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3"/>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6" w:name="Check18_Copy_3"/>
            <w:bookmarkStart w:id="7" w:name="Check18_Copy_3"/>
            <w:bookmarkEnd w:id="7"/>
            <w:r/>
            <w:r>
              <w:rPr>
                <w:sz w:val="16"/>
                <w:szCs w:val="16"/>
                <w:rFonts w:cs="Arial" w:ascii="Arial" w:hAnsi="Arial"/>
                <w:color w:val="000000"/>
              </w:rPr>
              <w:fldChar w:fldCharType="end"/>
            </w:r>
            <w:r>
              <w:rPr>
                <w:rFonts w:cs="Arial" w:ascii="Arial" w:hAnsi="Arial"/>
                <w:color w:val="000000"/>
                <w:sz w:val="16"/>
                <w:szCs w:val="16"/>
              </w:rPr>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rPr>
              <w:t>AGENCIES WHO RECEIVE MANAGEMENT INFORMATION ONLY IN ORDER TO SAFELY EMPLOY YOU. THEY DO NOT RECEIVE ANY CONFIDENTIAL MEDICAL INFORMATION</w:t>
            </w:r>
          </w:p>
        </w:tc>
      </w:tr>
      <w:tr>
        <w:trPr>
          <w:trHeight w:val="454"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Unit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18"/>
                <w:szCs w:val="18"/>
                <w:lang w:val="en-US"/>
              </w:rPr>
              <w:t xml:space="preserve">(including CMCR) </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JMES, LDP and Appendices (All)</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To enable assessment of your employability using non-medical information relating to what you can and cannot safely do at work.</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4"/>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8" w:name="Check18_Copy_4"/>
            <w:bookmarkStart w:id="9" w:name="Check18_Copy_4"/>
            <w:bookmarkEnd w:id="9"/>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5"/>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0" w:name="Check18_Copy_5"/>
            <w:bookmarkStart w:id="11" w:name="Check18_Copy_5"/>
            <w:bookmarkEnd w:id="11"/>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SP Education &amp; Resettlement Officer (IERO)</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sz w:val="18"/>
                <w:szCs w:val="18"/>
                <w:lang w:val="en-US"/>
              </w:rPr>
              <w:t>JMES, LDP and Appendices (All)</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sz w:val="18"/>
                <w:szCs w:val="18"/>
                <w:lang w:val="en-US"/>
              </w:rPr>
              <w:t>To enable provision of adequate resettlement advice.</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6"/>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2" w:name="Check18_Copy_6"/>
            <w:bookmarkStart w:id="13" w:name="Check18_Copy_6"/>
            <w:bookmarkEnd w:id="13"/>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7"/>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4" w:name="Check18_Copy_7"/>
            <w:bookmarkStart w:id="15" w:name="Check18_Copy_7"/>
            <w:bookmarkEnd w:id="15"/>
            <w:r/>
            <w:r>
              <w:rPr>
                <w:sz w:val="16"/>
                <w:szCs w:val="16"/>
                <w:rFonts w:cs="Arial" w:ascii="Arial" w:hAnsi="Arial"/>
                <w:color w:val="000000"/>
              </w:rPr>
              <w:fldChar w:fldCharType="end"/>
            </w:r>
            <w:r>
              <w:rPr>
                <w:rFonts w:cs="Arial" w:ascii="Arial" w:hAnsi="Arial"/>
                <w:color w:val="000000"/>
                <w:sz w:val="16"/>
                <w:szCs w:val="16"/>
              </w:rPr>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rPr>
              <w:t>AGENCIES INVOLVED IF YOU ARE MEDICALLY DISCHARGED</w:t>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 xml:space="preserve">Defence Business Service: Veterans UK-Pensions </w:t>
            </w:r>
          </w:p>
        </w:tc>
        <w:tc>
          <w:tcPr>
            <w:tcW w:w="1606"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To enable assessment of your eligibility for War pension/ AFPS (75, 05, 15 &amp; RFPS) Invaliding &amp; Service Attributable benefits, Armed Forces Compensation Scheme benefits to be determined.</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8"/>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6" w:name="Check18_Copy_8"/>
            <w:bookmarkStart w:id="17" w:name="Check18_Copy_8"/>
            <w:bookmarkEnd w:id="17"/>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9"/>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8" w:name="Check18_Copy_9"/>
            <w:bookmarkStart w:id="19" w:name="Check18_Copy_9"/>
            <w:bookmarkEnd w:id="19"/>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18"/>
                <w:szCs w:val="18"/>
                <w:lang w:val="en-US"/>
              </w:rPr>
              <w:t>Discretionary Awards Review (DAR) Appeals Review (DAAR)</w:t>
            </w:r>
          </w:p>
        </w:tc>
        <w:tc>
          <w:tcPr>
            <w:tcW w:w="1606"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 xml:space="preserve">To enable assessment of your eligibility for AFPS (75,05, 15 &amp; RFPS) Invaliding &amp; Service Attributable benefits if further scrutiny is required in the case of an appeal against a DBS decision.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0"/>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0" w:name="Check18_Copy_10"/>
            <w:bookmarkStart w:id="21" w:name="Check18_Copy_10"/>
            <w:bookmarkEnd w:id="21"/>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1"/>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2" w:name="Check18_Copy_11"/>
            <w:bookmarkStart w:id="23" w:name="Check18_Copy_11"/>
            <w:bookmarkEnd w:id="23"/>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Defence Statistics (Health)</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FMed 23</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For statistical recording and analysis of anonymised information.</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2"/>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4" w:name="Check18_Copy_12"/>
            <w:bookmarkStart w:id="25" w:name="Check18_Copy_12"/>
            <w:bookmarkEnd w:id="25"/>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3"/>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6" w:name="Check18_Copy_13"/>
            <w:bookmarkStart w:id="27" w:name="Check18_Copy_13"/>
            <w:bookmarkEnd w:id="27"/>
            <w:r/>
            <w:r>
              <w:rPr>
                <w:sz w:val="16"/>
                <w:szCs w:val="16"/>
                <w:rFonts w:cs="Arial" w:ascii="Arial" w:hAnsi="Arial"/>
                <w:color w:val="000000"/>
              </w:rPr>
              <w:fldChar w:fldCharType="end"/>
            </w:r>
            <w:r>
              <w:rPr>
                <w:rFonts w:cs="Arial" w:ascii="Arial" w:hAnsi="Arial"/>
                <w:color w:val="000000"/>
                <w:sz w:val="16"/>
                <w:szCs w:val="16"/>
              </w:rPr>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lang w:val="en-US"/>
              </w:rPr>
              <w:t>AGENCIES INVOLVED IF YOU ARE A RECRUIT OR SERVICE PERSON IN TRAINING</w:t>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Army Recruiting and Initial Training Command (ARITC) MO &amp; Support Staff</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Required to ratify medical board proceedings and enable discharge process (where required) for the SP.  Also conduct medical reviews and provide employment advice to ARITC, the CoC, the Army Employment Board and the Directorate of Manning (Army).</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4"/>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8" w:name="Check18_Copy_14"/>
            <w:bookmarkStart w:id="29" w:name="Check18_Copy_14"/>
            <w:bookmarkEnd w:id="29"/>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5"/>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30" w:name="Check18_Copy_15"/>
            <w:bookmarkStart w:id="31" w:name="Check18_Copy_15"/>
            <w:bookmarkEnd w:id="31"/>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Capita and Recruiting Group CMOs &amp; Support Staff</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rPr>
              <w:t>To enable a full and proper assessment of the employability and deployability. This may lead to permanent change of medical grade and /or medical or admin discharge. To enable recycling of IMA failures and identify areas for improvement in the recruiting medical process.</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6"/>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32" w:name="Check18_Copy_16"/>
            <w:bookmarkStart w:id="33" w:name="Check18_Copy_16"/>
            <w:bookmarkEnd w:id="33"/>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7"/>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34" w:name="Check18_Copy_17"/>
            <w:bookmarkStart w:id="35" w:name="Check18_Copy_17"/>
            <w:bookmarkEnd w:id="35"/>
            <w:r/>
            <w:r>
              <w:rPr>
                <w:sz w:val="16"/>
                <w:szCs w:val="16"/>
                <w:rFonts w:cs="Arial" w:ascii="Arial" w:hAnsi="Arial"/>
                <w:color w:val="000000"/>
              </w:rPr>
              <w:fldChar w:fldCharType="end"/>
            </w:r>
            <w:r>
              <w:rPr>
                <w:rFonts w:cs="Arial" w:ascii="Arial" w:hAnsi="Arial"/>
                <w:color w:val="000000"/>
                <w:sz w:val="16"/>
                <w:szCs w:val="16"/>
              </w:rPr>
            </w:r>
          </w:p>
        </w:tc>
      </w:tr>
    </w:tbl>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8"/>
          <w:szCs w:val="8"/>
          <w:lang w:val="en-US"/>
        </w:rPr>
      </w:pPr>
      <w:r>
        <w:rPr>
          <w:rFonts w:cs="Arial" w:ascii="Arial" w:hAnsi="Arial"/>
          <w:b/>
          <w:bCs/>
          <w:sz w:val="8"/>
          <w:szCs w:val="8"/>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20"/>
          <w:lang w:val="en-US" w:bidi="en-US"/>
        </w:rPr>
        <w:t xml:space="preserve">I </w:t>
      </w:r>
      <w:r>
        <w:fldChar w:fldCharType="begin">
          <w:ffData>
            <w:name w:val="Service_No_1"/>
            <w:enabled/>
            <w:calcOnExit w:val="0"/>
            <w:textInput/>
          </w:ffData>
        </w:fldChar>
      </w:r>
      <w:r>
        <w:rPr>
          <w:sz w:val="20"/>
          <w:b/>
          <w:bCs/>
          <w:rFonts w:cs="Arial" w:ascii="Arial" w:hAnsi="Arial"/>
          <w:lang w:val="en-US" w:bidi="en-US"/>
        </w:rPr>
        <w:instrText xml:space="preserve"> FORMTEXT </w:instrText>
      </w:r>
      <w:r>
        <w:rPr>
          <w:rFonts w:cs="Arial" w:ascii="Arial" w:hAnsi="Arial"/>
          <w:b/>
          <w:bCs/>
          <w:sz w:val="20"/>
          <w:lang w:val="en-US" w:bidi="en-US"/>
        </w:rPr>
      </w:r>
      <w:r>
        <w:rPr>
          <w:sz w:val="20"/>
          <w:b/>
          <w:bCs/>
          <w:rFonts w:cs="Arial" w:ascii="Arial" w:hAnsi="Arial"/>
          <w:lang w:val="en-US" w:bidi="en-US"/>
        </w:rPr>
        <w:fldChar w:fldCharType="separate"/>
      </w:r>
      <w:r>
        <w:rPr>
          <w:rFonts w:cs="Arial" w:ascii="Arial" w:hAnsi="Arial"/>
          <w:b/>
          <w:bCs/>
          <w:sz w:val="20"/>
          <w:lang w:val="en-US" w:bidi="en-US"/>
        </w:rPr>
        <w:t>Service Number</w:t>
      </w:r>
      <w:r>
        <w:rPr>
          <w:rFonts w:cs="Arial" w:ascii="Arial" w:hAnsi="Arial"/>
          <w:b/>
          <w:bCs/>
          <w:sz w:val="20"/>
          <w:lang w:val="en-US" w:bidi="en-US"/>
        </w:rPr>
      </w:r>
      <w:r>
        <w:rPr>
          <w:sz w:val="20"/>
          <w:b/>
          <w:bCs/>
          <w:rFonts w:cs="Arial" w:ascii="Arial" w:hAnsi="Arial"/>
          <w:lang w:val="en-US" w:bidi="en-US"/>
        </w:rPr>
        <w:fldChar w:fldCharType="end"/>
      </w:r>
      <w:r>
        <w:rPr>
          <w:rFonts w:cs="Arial" w:ascii="Arial" w:hAnsi="Arial"/>
          <w:b/>
          <w:bCs/>
          <w:sz w:val="20"/>
          <w:lang w:val="en-US" w:bidi="en-US"/>
        </w:rPr>
        <w:t xml:space="preserve"> </w:t>
      </w:r>
      <w:r>
        <w:fldChar w:fldCharType="begin">
          <w:ffData>
            <w:name w:val="Name_1"/>
            <w:enabled/>
            <w:calcOnExit w:val="0"/>
            <w:textInput/>
          </w:ffData>
        </w:fldChar>
      </w:r>
      <w:r>
        <w:rPr>
          <w:sz w:val="20"/>
          <w:b/>
          <w:bCs/>
          <w:rFonts w:cs="Arial" w:ascii="Arial" w:hAnsi="Arial"/>
          <w:lang w:val="en-US" w:bidi="en-US"/>
        </w:rPr>
        <w:instrText xml:space="preserve"> FORMTEXT </w:instrText>
      </w:r>
      <w:r>
        <w:rPr>
          <w:rFonts w:cs="Arial" w:ascii="Arial" w:hAnsi="Arial"/>
          <w:b/>
          <w:bCs/>
          <w:sz w:val="20"/>
          <w:lang w:val="en-US" w:bidi="en-US"/>
        </w:rPr>
      </w:r>
      <w:r>
        <w:rPr>
          <w:sz w:val="20"/>
          <w:b/>
          <w:bCs/>
          <w:rFonts w:cs="Arial" w:ascii="Arial" w:hAnsi="Arial"/>
          <w:lang w:val="en-US" w:bidi="en-US"/>
        </w:rPr>
        <w:fldChar w:fldCharType="separate"/>
      </w:r>
      <w:r>
        <w:rPr>
          <w:rFonts w:cs="Arial" w:ascii="Arial" w:hAnsi="Arial"/>
          <w:b/>
          <w:bCs/>
          <w:sz w:val="20"/>
          <w:lang w:val="en-US" w:bidi="en-US"/>
        </w:rPr>
        <w:t>Name</w:t>
      </w:r>
      <w:r>
        <w:rPr>
          <w:rFonts w:cs="Arial" w:ascii="Arial" w:hAnsi="Arial"/>
          <w:b/>
          <w:bCs/>
          <w:sz w:val="20"/>
          <w:lang w:val="en-US" w:bidi="en-US"/>
        </w:rPr>
      </w:r>
      <w:r>
        <w:rPr>
          <w:sz w:val="20"/>
          <w:b/>
          <w:bCs/>
          <w:rFonts w:cs="Arial" w:ascii="Arial" w:hAnsi="Arial"/>
          <w:lang w:val="en-US" w:bidi="en-US"/>
        </w:rPr>
        <w:fldChar w:fldCharType="end"/>
      </w:r>
      <w:r>
        <w:rPr>
          <w:rFonts w:cs="Arial" w:ascii="Arial" w:hAnsi="Arial"/>
          <w:b/>
          <w:bCs/>
          <w:sz w:val="20"/>
          <w:lang w:val="en-US" w:bidi="en-US"/>
        </w:rPr>
        <w:t xml:space="preserve"> consent </w:t>
      </w:r>
      <w:r>
        <w:rPr>
          <w:rFonts w:cs="Arial" w:ascii="Arial" w:hAnsi="Arial"/>
          <w:sz w:val="20"/>
          <w:lang w:val="en-US" w:bidi="en-US"/>
        </w:rPr>
        <w:t>to the agencies listed and ticked above accessing the specified documents for the stated purposes.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20"/>
          <w:lang w:val="en-US" w:bidi="en-US"/>
        </w:rPr>
      </w:pPr>
      <w:r>
        <w:rPr>
          <w:rFonts w:cs="Arial" w:ascii="Arial" w:hAnsi="Arial"/>
          <w:sz w:val="20"/>
          <w:lang w:val="en-US" w:bidi="en-US"/>
        </w:rPr>
        <w:t xml:space="preserve">All SP will be offered a copy of their completed FMed 23 following the board, once generated.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sz w:val="20"/>
          <w:szCs w:val="22"/>
          <w:lang w:val="en-US" w:bidi="en-US"/>
        </w:rPr>
        <w:tab/>
        <w:tab/>
        <w:tab/>
        <w:tab/>
        <w:tab/>
        <w:tab/>
      </w:r>
      <w:r>
        <w:rPr/>
        <w:t xml:space="preserve"> </w:t>
      </w:r>
    </w:p>
    <w:tbl>
      <w:tblPr>
        <w:tblW w:w="13539" w:type="dxa"/>
        <w:jc w:val="center"/>
        <w:tblInd w:w="0" w:type="dxa"/>
        <w:tblLayout w:type="fixed"/>
        <w:tblCellMar>
          <w:top w:w="0" w:type="dxa"/>
          <w:start w:w="108" w:type="dxa"/>
          <w:bottom w:w="0" w:type="dxa"/>
          <w:end w:w="108" w:type="dxa"/>
        </w:tblCellMar>
      </w:tblPr>
      <w:tblGrid>
        <w:gridCol w:w="6224"/>
        <w:gridCol w:w="7315"/>
      </w:tblGrid>
      <w:tr>
        <w:trPr>
          <w:trHeight w:val="510" w:hRule="atLeast"/>
        </w:trPr>
        <w:tc>
          <w:tcPr>
            <w:tcW w:w="6224"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rPr>
            </w:pPr>
            <w:r>
              <w:rPr>
                <w:rFonts w:cs="Arial" w:ascii="Arial" w:hAnsi="Arial"/>
                <w:b/>
                <w:bCs/>
                <w:sz w:val="20"/>
              </w:rPr>
              <w:t>Signature of SP: (Can be sent by email)</w:t>
            </w:r>
          </w:p>
        </w:tc>
        <w:tc>
          <w:tcPr>
            <w:tcW w:w="7315"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Cs/>
                <w:sz w:val="20"/>
              </w:rPr>
            </w:pPr>
            <w:r>
              <w:rPr>
                <w:rFonts w:cs="Arial" w:ascii="Arial" w:hAnsi="Arial"/>
                <w:b/>
                <w:bCs/>
                <w:sz w:val="20"/>
              </w:rPr>
              <w:t xml:space="preserve">Date:  </w:t>
            </w:r>
            <w:r>
              <w:fldChar w:fldCharType="begin">
                <w:ffData>
                  <w:name w:val="System_Date_1"/>
                  <w:enabled/>
                  <w:calcOnExit w:val="0"/>
                  <w:textInput/>
                </w:ffData>
              </w:fldChar>
            </w:r>
            <w:r>
              <w:rPr>
                <w:sz w:val="20"/>
                <w:bCs/>
                <w:rFonts w:cs="Arial" w:ascii="Arial" w:hAnsi="Arial"/>
              </w:rPr>
              <w:instrText xml:space="preserve"> FORMTEXT </w:instrText>
            </w:r>
            <w:r>
              <w:rPr>
                <w:rFonts w:cs="Arial" w:ascii="Arial" w:hAnsi="Arial"/>
                <w:bCs/>
                <w:sz w:val="20"/>
              </w:rPr>
            </w:r>
            <w:r>
              <w:rPr>
                <w:sz w:val="20"/>
                <w:bCs/>
                <w:rFonts w:cs="Arial" w:ascii="Arial" w:hAnsi="Arial"/>
              </w:rPr>
              <w:fldChar w:fldCharType="separate"/>
            </w:r>
            <w:r>
              <w:rPr>
                <w:rFonts w:cs="Arial" w:ascii="Arial" w:hAnsi="Arial"/>
                <w:bCs/>
                <w:sz w:val="20"/>
              </w:rPr>
              <w:t>System Date</w:t>
            </w:r>
            <w:r>
              <w:rPr>
                <w:rFonts w:cs="Arial" w:ascii="Arial" w:hAnsi="Arial"/>
                <w:bCs/>
                <w:sz w:val="20"/>
              </w:rPr>
            </w:r>
            <w:r>
              <w:rPr>
                <w:sz w:val="20"/>
                <w:bCs/>
                <w:rFonts w:cs="Arial" w:ascii="Arial" w:hAnsi="Arial"/>
              </w:rPr>
              <w:fldChar w:fldCharType="end"/>
            </w:r>
            <w:r>
              <w:rPr>
                <w:rFonts w:cs="Arial" w:ascii="Arial" w:hAnsi="Arial"/>
                <w:bCs/>
                <w:sz w:val="20"/>
              </w:rPr>
              <w:t xml:space="preserve"> </w:t>
            </w:r>
          </w:p>
        </w:tc>
      </w:tr>
      <w:tr>
        <w:trPr>
          <w:trHeight w:val="510" w:hRule="atLeast"/>
        </w:trPr>
        <w:tc>
          <w:tcPr>
            <w:tcW w:w="6224"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rPr>
            </w:pPr>
            <w:r>
              <w:rPr>
                <w:rFonts w:cs="Arial" w:ascii="Arial" w:hAnsi="Arial"/>
                <w:b/>
                <w:bCs/>
                <w:sz w:val="20"/>
              </w:rPr>
              <w:t>Signature of Witness:</w:t>
            </w:r>
          </w:p>
        </w:tc>
        <w:tc>
          <w:tcPr>
            <w:tcW w:w="7315"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rPr>
            </w:pPr>
            <w:r>
              <w:rPr>
                <w:rFonts w:cs="Arial" w:ascii="Arial" w:hAnsi="Arial"/>
                <w:b/>
                <w:bCs/>
                <w:sz w:val="20"/>
              </w:rPr>
              <w:t xml:space="preserve">Name, Rank and Appointment of Witness: </w:t>
            </w:r>
            <w:r>
              <w:fldChar w:fldCharType="begin">
                <w:ffData>
                  <w:name w:val="User_Titl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User Title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r>
              <w:fldChar w:fldCharType="begin">
                <w:ffData>
                  <w:name w:val="User_Nam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User Name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bl>
    <w:p>
      <w:pPr>
        <w:pStyle w:val="Normal"/>
        <w:jc w:val="center"/>
        <w:rPr>
          <w:rFonts w:ascii="Arial" w:hAnsi="Arial" w:cs="Arial"/>
          <w:b/>
          <w:sz w:val="12"/>
          <w:szCs w:val="12"/>
        </w:rPr>
      </w:pPr>
      <w:r>
        <w:rPr>
          <w:rFonts w:cs="Arial" w:ascii="Arial" w:hAnsi="Arial"/>
          <w:b/>
          <w:sz w:val="12"/>
          <w:szCs w:val="12"/>
        </w:rPr>
      </w:r>
    </w:p>
    <w:p>
      <w:pPr>
        <w:pStyle w:val="Normal"/>
        <w:rPr/>
      </w:pPr>
      <w:r>
        <w:rPr>
          <w:rFonts w:cs="Arial" w:ascii="Arial" w:hAnsi="Arial"/>
          <w:b/>
          <w:sz w:val="20"/>
        </w:rPr>
        <w:t>ONCE COMPLETED THIS DOCUMENT MUST BE UPLOADED TO BOTH PAPMIS AND THE e-HR</w:t>
      </w:r>
    </w:p>
    <w:sectPr>
      <w:headerReference w:type="default" r:id="rId2"/>
      <w:footerReference w:type="default" r:id="rId3"/>
      <w:type w:val="nextPage"/>
      <w:pgSz w:orient="landscape" w:w="16838" w:h="11906"/>
      <w:pgMar w:left="1134" w:right="1134" w:gutter="0" w:header="454" w:top="1134" w:footer="284" w:bottom="1134"/>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imes New Roman Bold">
    <w:charset w:val="00" w:characterSet="windows-1252"/>
    <w:family w:val="roman"/>
    <w:pitch w:val="default"/>
  </w:font>
  <w:font w:name="Tahoma">
    <w:charset w:val="00" w:characterSet="windows-1252"/>
    <w:family w:val="swiss"/>
    <w:pitch w:val="variable"/>
  </w:font>
  <w:font w:name="Garamond">
    <w:charset w:val="00" w:characterSet="windows-1252"/>
    <w:family w:val="roman"/>
    <w:pitch w:val="variable"/>
  </w:font>
  <w:font w:name="Arial Bold">
    <w:altName w:val="Arial"/>
    <w:charset w:val="00" w:characterSet="windows-1252"/>
    <w:family w:val="swiss"/>
    <w:pitch w:val="variable"/>
  </w:font>
  <w:font w:name="TimesNewRomanPS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426" w:end="-426"/>
      <w:jc w:val="center"/>
      <w:rPr>
        <w:rFonts w:ascii="Arial" w:hAnsi="Arial" w:cs="Arial"/>
        <w:b/>
        <w:sz w:val="20"/>
      </w:rPr>
    </w:pPr>
    <w:r>
      <w:rPr>
        <w:rFonts w:cs="Arial" w:ascii="Arial" w:hAnsi="Arial"/>
        <w:b/>
        <w:sz w:val="20"/>
      </w:rPr>
      <w:t>OFFICIAL SENSITIVE – PERSONAL</w:t>
    </w:r>
  </w:p>
  <w:p>
    <w:pPr>
      <w:pStyle w:val="Header"/>
      <w:ind w:hanging="426" w:end="-426"/>
      <w:jc w:val="center"/>
      <w:rPr/>
    </w:pPr>
    <w:r>
      <w:rPr>
        <w:rFonts w:cs="Arial" w:ascii="Arial" w:hAnsi="Arial"/>
        <w:sz w:val="20"/>
      </w:rPr>
      <w:t xml:space="preserve">AEL 180                            </w:t>
    </w:r>
    <w:r>
      <w:rPr>
        <w:rStyle w:val="PageNumber"/>
        <w:rFonts w:cs="Arial" w:ascii="Arial" w:hAnsi="Arial"/>
        <w:sz w:val="20"/>
      </w:rPr>
      <w:t xml:space="preserve">                                           </w:t>
    </w:r>
    <w:r>
      <w:rPr>
        <w:rFonts w:cs="Arial" w:ascii="Arial" w:hAnsi="Arial"/>
        <w:sz w:val="20"/>
      </w:rPr>
      <w:t xml:space="preserve">                                            78/A17B-</w:t>
    </w:r>
    <w:r>
      <w:rPr>
        <w:rStyle w:val="PageNumber"/>
        <w:rFonts w:cs="Arial" w:ascii="Arial" w:hAnsi="Arial"/>
        <w:sz w:val="20"/>
      </w:rPr>
      <w:fldChar w:fldCharType="begin"/>
    </w:r>
    <w:r>
      <w:rPr>
        <w:rStyle w:val="PageNumber"/>
        <w:sz w:val="20"/>
        <w:rFonts w:cs="Arial" w:ascii="Arial" w:hAnsi="Arial"/>
      </w:rPr>
      <w:instrText xml:space="preserve"> PAGE </w:instrText>
    </w:r>
    <w:r>
      <w:rPr>
        <w:rStyle w:val="PageNumber"/>
        <w:sz w:val="20"/>
        <w:rFonts w:cs="Arial" w:ascii="Arial" w:hAnsi="Arial"/>
      </w:rPr>
      <w:fldChar w:fldCharType="separate"/>
    </w:r>
    <w:r>
      <w:rPr>
        <w:rStyle w:val="PageNumber"/>
        <w:sz w:val="20"/>
        <w:rFonts w:cs="Arial" w:ascii="Arial" w:hAnsi="Arial"/>
      </w:rPr>
      <w:t>1</w:t>
    </w:r>
    <w:r>
      <w:rPr>
        <w:rStyle w:val="PageNumber"/>
        <w:sz w:val="20"/>
        <w:rFonts w:cs="Arial" w:ascii="Arial" w:hAnsi="Arial"/>
      </w:rPr>
      <w:fldChar w:fldCharType="end"/>
    </w:r>
    <w:r>
      <w:rPr>
        <w:rStyle w:val="PageNumber"/>
        <w:rFonts w:cs="Arial" w:ascii="Arial" w:hAnsi="Arial"/>
        <w:sz w:val="20"/>
      </w:rPr>
      <w:t xml:space="preserve">                                                                                                                </w:t>
    </w:r>
    <w:r>
      <w:rPr>
        <w:rFonts w:cs="Arial" w:ascii="Arial" w:hAnsi="Arial"/>
        <w:sz w:val="20"/>
      </w:rPr>
      <w:t>AC 60974/2</w:t>
    </w:r>
  </w:p>
  <w:p>
    <w:pPr>
      <w:pStyle w:val="Header"/>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start="-426" w:end="-426"/>
      <w:jc w:val="center"/>
      <w:rPr>
        <w:rFonts w:ascii="Arial" w:hAnsi="Arial" w:cs="Arial"/>
        <w:sz w:val="20"/>
      </w:rPr>
    </w:pPr>
    <w:r>
      <w:rPr>
        <w:rFonts w:cs="Arial" w:ascii="Arial" w:hAnsi="Arial"/>
        <w:sz w:val="20"/>
      </w:rPr>
      <w:t>AGAI Vol 2 Ch 78                                                                          ARMY MEDICAL EMPLOYMENT POLICY                                                                     January 2025</w:t>
    </w:r>
  </w:p>
  <w:p>
    <w:pPr>
      <w:pStyle w:val="Normal"/>
      <w:jc w:val="center"/>
      <w:rPr/>
    </w:pPr>
    <w:r>
      <w:rPr>
        <w:rFonts w:eastAsia="Arial" w:cs="Arial" w:ascii="Arial" w:hAnsi="Arial"/>
        <w:b/>
        <w:sz w:val="20"/>
      </w:rPr>
      <w:t xml:space="preserve">                                                                                                          </w:t>
    </w:r>
    <w:r>
      <w:rPr>
        <w:rFonts w:cs="Arial" w:ascii="Arial" w:hAnsi="Arial"/>
        <w:b/>
        <w:sz w:val="20"/>
      </w:rPr>
      <w:t xml:space="preserve">OFFICIAL SENSITIVE – PERSONAL                                         </w:t>
    </w:r>
    <w:r>
      <w:rPr>
        <w:rFonts w:cs="Arial" w:ascii="Arial" w:hAnsi="Arial"/>
        <w:sz w:val="20"/>
      </w:rPr>
      <w:t xml:space="preserve">(Replaces AEL 170 dated Mar 24)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301"/>
      <w:numFmt w:val="decimalZero"/>
      <w:lvlText w:val="%1."/>
      <w:lvlJc w:val="start"/>
      <w:pPr>
        <w:tabs>
          <w:tab w:val="num" w:pos="0"/>
        </w:tabs>
        <w:ind w:start="900" w:hanging="54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docVars>
    <w:docVar w:name="PCS_DOCUMENT_NAME" w:val="Appendix_17B_TMMB_AGAI_78_V1.dot"/>
    <w:docVar w:name="PCS_HANDLE" w:val="65756"/>
    <w:docVar w:name="PCS_MSG" w:val="495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en-GB" w:bidi="ar-SA" w:eastAsia="zh-CN"/>
    </w:rPr>
  </w:style>
  <w:style w:type="paragraph" w:styleId="Heading1">
    <w:name w:val="heading 1"/>
    <w:basedOn w:val="Normal"/>
    <w:next w:val="Normal"/>
    <w:qFormat/>
    <w:pPr>
      <w:keepNext w:val="true"/>
      <w:widowControl w:val="false"/>
      <w:numPr>
        <w:ilvl w:val="0"/>
        <w:numId w:val="1"/>
      </w:numPr>
      <w:jc w:val="both"/>
      <w:outlineLvl w:val="0"/>
    </w:pPr>
    <w:rPr>
      <w:sz w:val="36"/>
    </w:rPr>
  </w:style>
  <w:style w:type="paragraph" w:styleId="Heading2">
    <w:name w:val="heading 2"/>
    <w:basedOn w:val="Normal"/>
    <w:next w:val="Normal"/>
    <w:qFormat/>
    <w:pPr>
      <w:keepNext w:val="true"/>
      <w:widowControl w:val="false"/>
      <w:numPr>
        <w:ilvl w:val="1"/>
        <w:numId w:val="1"/>
      </w:numPr>
      <w:outlineLvl w:val="1"/>
    </w:pPr>
    <w:rPr>
      <w:b/>
      <w:i/>
    </w:rPr>
  </w:style>
  <w:style w:type="paragraph" w:styleId="Heading3">
    <w:name w:val="heading 3"/>
    <w:basedOn w:val="Normal"/>
    <w:next w:val="Normal"/>
    <w:qFormat/>
    <w:pPr>
      <w:keepNext w:val="true"/>
      <w:widowControl w:val="false"/>
      <w:numPr>
        <w:ilvl w:val="2"/>
        <w:numId w:val="1"/>
      </w:numPr>
      <w:jc w:val="both"/>
      <w:outlineLvl w:val="2"/>
    </w:pPr>
    <w:rPr>
      <w:b/>
    </w:rPr>
  </w:style>
  <w:style w:type="paragraph" w:styleId="Heading4">
    <w:name w:val="heading 4"/>
    <w:basedOn w:val="Normal"/>
    <w:next w:val="Normal"/>
    <w:qFormat/>
    <w:pPr>
      <w:keepNext w:val="true"/>
      <w:numPr>
        <w:ilvl w:val="3"/>
        <w:numId w:val="1"/>
      </w:numPr>
      <w:outlineLvl w:val="3"/>
    </w:pPr>
    <w:rPr>
      <w:b/>
      <w:caps/>
    </w:rPr>
  </w:style>
  <w:style w:type="paragraph" w:styleId="Heading5">
    <w:name w:val="heading 5"/>
    <w:basedOn w:val="Normal"/>
    <w:next w:val="Normal"/>
    <w:qFormat/>
    <w:pPr>
      <w:keepNext w:val="true"/>
      <w:numPr>
        <w:ilvl w:val="4"/>
        <w:numId w:val="1"/>
      </w:numPr>
      <w:jc w:val="center"/>
      <w:outlineLvl w:val="4"/>
    </w:pPr>
    <w:rPr>
      <w:b/>
      <w:sz w:val="40"/>
    </w:rPr>
  </w:style>
  <w:style w:type="paragraph" w:styleId="Heading6">
    <w:name w:val="heading 6"/>
    <w:basedOn w:val="Normal"/>
    <w:next w:val="Normal"/>
    <w:qFormat/>
    <w:pPr>
      <w:keepNext w:val="true"/>
      <w:numPr>
        <w:ilvl w:val="5"/>
        <w:numId w:val="1"/>
      </w:numPr>
      <w:ind w:hanging="426" w:start="426" w:end="0"/>
      <w:jc w:val="center"/>
      <w:outlineLvl w:val="5"/>
    </w:pPr>
    <w:rPr>
      <w:b/>
    </w:rPr>
  </w:style>
  <w:style w:type="paragraph" w:styleId="Heading7">
    <w:name w:val="heading 7"/>
    <w:basedOn w:val="Normal"/>
    <w:next w:val="Normal"/>
    <w:qFormat/>
    <w:pPr>
      <w:keepNext w:val="true"/>
      <w:numPr>
        <w:ilvl w:val="6"/>
        <w:numId w:val="1"/>
      </w:numPr>
      <w:jc w:val="center"/>
      <w:outlineLvl w:val="6"/>
    </w:pPr>
    <w:rPr>
      <w:b/>
    </w:rPr>
  </w:style>
  <w:style w:type="paragraph" w:styleId="Heading8">
    <w:name w:val="heading 8"/>
    <w:basedOn w:val="Normal"/>
    <w:next w:val="Normal"/>
    <w:qFormat/>
    <w:pPr>
      <w:keepNext w:val="true"/>
      <w:numPr>
        <w:ilvl w:val="7"/>
        <w:numId w:val="1"/>
      </w:numPr>
      <w:jc w:val="center"/>
      <w:outlineLvl w:val="7"/>
    </w:pPr>
    <w:rPr>
      <w:b/>
      <w:sz w:val="28"/>
    </w:rPr>
  </w:style>
  <w:style w:type="paragraph" w:styleId="Heading9">
    <w:name w:val="heading 9"/>
    <w:basedOn w:val="Normal"/>
    <w:next w:val="Normal"/>
    <w:qFormat/>
    <w:pPr>
      <w:keepNext w:val="true"/>
      <w:numPr>
        <w:ilvl w:val="8"/>
        <w:numId w:val="1"/>
      </w:numPr>
      <w:outlineLvl w:val="8"/>
    </w:pPr>
    <w:rPr>
      <w:sz w:val="28"/>
    </w:rPr>
  </w:style>
  <w:style w:type="character" w:styleId="WW8Num1z0">
    <w:name w:val="WW8Num1z0"/>
    <w:qFormat/>
    <w:rPr>
      <w:b w:val="false"/>
    </w:rPr>
  </w:style>
  <w:style w:type="character" w:styleId="WW8Num2z0">
    <w:name w:val="WW8Num2z0"/>
    <w:qFormat/>
    <w:rPr>
      <w:b w:val="false"/>
      <w:color w:val="000000"/>
    </w:rPr>
  </w:style>
  <w:style w:type="character" w:styleId="WW8Num3z0">
    <w:name w:val="WW8Num3z0"/>
    <w:qFormat/>
    <w:rPr>
      <w:b w:val="false"/>
      <w:color w:val="000000"/>
    </w:rPr>
  </w:style>
  <w:style w:type="character" w:styleId="WW8Num4z0">
    <w:name w:val="WW8Num4z0"/>
    <w:qFormat/>
    <w:rPr/>
  </w:style>
  <w:style w:type="character" w:styleId="WW8Num5z0">
    <w:name w:val="WW8Num5z0"/>
    <w:qFormat/>
    <w:rPr>
      <w:color w:val="000000"/>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0">
    <w:name w:val="WW8Num8z0"/>
    <w:qFormat/>
    <w:rPr>
      <w:b w:val="false"/>
    </w:rPr>
  </w:style>
  <w:style w:type="character" w:styleId="WW8Num9z0">
    <w:name w:val="WW8Num9z0"/>
    <w:qFormat/>
    <w:rPr/>
  </w:style>
  <w:style w:type="character" w:styleId="WW8Num10z0">
    <w:name w:val="WW8Num10z0"/>
    <w:qFormat/>
    <w:rPr>
      <w:b w:val="false"/>
      <w:i w:val="false"/>
    </w:rPr>
  </w:style>
  <w:style w:type="character" w:styleId="WW8Num12z0">
    <w:name w:val="WW8Num12z0"/>
    <w:qFormat/>
    <w:rPr>
      <w:rFonts w:ascii="Arial" w:hAnsi="Arial" w:cs="Arial"/>
      <w:b/>
      <w:i w:val="false"/>
      <w:sz w:val="18"/>
      <w:szCs w:val="18"/>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5z0">
    <w:name w:val="WW8Num15z0"/>
    <w:qFormat/>
    <w:rPr>
      <w:b w:val="false"/>
      <w:i w:val="false"/>
    </w:rPr>
  </w:style>
  <w:style w:type="character" w:styleId="WW8Num16z0">
    <w:name w:val="WW8Num16z0"/>
    <w:qFormat/>
    <w:rPr>
      <w:rFonts w:cs="Times New Roman"/>
      <w:b w:val="false"/>
    </w:rPr>
  </w:style>
  <w:style w:type="character" w:styleId="WW8Num17z0">
    <w:name w:val="WW8Num17z0"/>
    <w:qFormat/>
    <w:rPr>
      <w:b w:val="false"/>
    </w:rPr>
  </w:style>
  <w:style w:type="character" w:styleId="WW8Num17z1">
    <w:name w:val="WW8Num17z1"/>
    <w:qFormat/>
    <w:rPr>
      <w:color w:val="FF0000"/>
    </w:rPr>
  </w:style>
  <w:style w:type="character" w:styleId="WW8Num17z2">
    <w:name w:val="WW8Num17z2"/>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b w:val="false"/>
      <w:color w:val="000000"/>
    </w:rPr>
  </w:style>
  <w:style w:type="character" w:styleId="WW8Num24z0">
    <w:name w:val="WW8Num24z0"/>
    <w:qFormat/>
    <w:rPr/>
  </w:style>
  <w:style w:type="character" w:styleId="WW8Num25z0">
    <w:name w:val="WW8Num25z0"/>
    <w:qFormat/>
    <w:rPr/>
  </w:style>
  <w:style w:type="character" w:styleId="WW8Num27z0">
    <w:name w:val="WW8Num27z0"/>
    <w:qFormat/>
    <w:rPr>
      <w:b w:val="false"/>
    </w:rPr>
  </w:style>
  <w:style w:type="character" w:styleId="WW8Num28z0">
    <w:name w:val="WW8Num28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b w:val="false"/>
      <w:color w:val="000000"/>
    </w:rPr>
  </w:style>
  <w:style w:type="character" w:styleId="WW8Num37z0">
    <w:name w:val="WW8Num37z0"/>
    <w:qFormat/>
    <w:rPr/>
  </w:style>
  <w:style w:type="character" w:styleId="WW8Num38z0">
    <w:name w:val="WW8Num38z0"/>
    <w:qFormat/>
    <w:rPr>
      <w:b w:val="false"/>
      <w:i w:val="false"/>
    </w:rPr>
  </w:style>
  <w:style w:type="character" w:styleId="WW8Num39z0">
    <w:name w:val="WW8Num39z0"/>
    <w:qFormat/>
    <w:rPr/>
  </w:style>
  <w:style w:type="character" w:styleId="WW8Num40z0">
    <w:name w:val="WW8Num40z0"/>
    <w:qFormat/>
    <w:rPr>
      <w:b w:val="false"/>
      <w:i w:val="false"/>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b w:val="false"/>
    </w:rPr>
  </w:style>
  <w:style w:type="character" w:styleId="WW8Num46z0">
    <w:name w:val="WW8Num46z0"/>
    <w:qFormat/>
    <w:rPr/>
  </w:style>
  <w:style w:type="character" w:styleId="WW8Num47z0">
    <w:name w:val="WW8Num47z0"/>
    <w:qFormat/>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Arial" w:hAnsi="Arial" w:cs="Arial"/>
      <w:b/>
    </w:rPr>
  </w:style>
  <w:style w:type="character" w:styleId="WW8Num49z1">
    <w:name w:val="WW8Num49z1"/>
    <w:qFormat/>
    <w:rPr>
      <w:b w:val="false"/>
      <w:i w:val="false"/>
    </w:rPr>
  </w:style>
  <w:style w:type="character" w:styleId="WW8Num50z0">
    <w:name w:val="WW8Num50z0"/>
    <w:qFormat/>
    <w:rPr/>
  </w:style>
  <w:style w:type="character" w:styleId="WW8Num51z0">
    <w:name w:val="WW8Num51z0"/>
    <w:qFormat/>
    <w:rPr/>
  </w:style>
  <w:style w:type="character" w:styleId="WW8Num52z0">
    <w:name w:val="WW8Num52z0"/>
    <w:qFormat/>
    <w:rPr/>
  </w:style>
  <w:style w:type="character" w:styleId="WW8Num53z0">
    <w:name w:val="WW8Num53z0"/>
    <w:qFormat/>
    <w:rPr/>
  </w:style>
  <w:style w:type="character" w:styleId="WW8Num54z0">
    <w:name w:val="WW8Num54z0"/>
    <w:qFormat/>
    <w:rPr/>
  </w:style>
  <w:style w:type="character" w:styleId="WW8Num55z0">
    <w:name w:val="WW8Num55z0"/>
    <w:qFormat/>
    <w:rPr>
      <w:b w:val="false"/>
    </w:rPr>
  </w:style>
  <w:style w:type="character" w:styleId="WW8Num55z1">
    <w:name w:val="WW8Num55z1"/>
    <w:qFormat/>
    <w:rPr>
      <w:color w:val="FF0000"/>
    </w:rPr>
  </w:style>
  <w:style w:type="character" w:styleId="WW8Num55z2">
    <w:name w:val="WW8Num55z2"/>
    <w:qFormat/>
    <w:rPr/>
  </w:style>
  <w:style w:type="character" w:styleId="WW8Num56z0">
    <w:name w:val="WW8Num56z0"/>
    <w:qFormat/>
    <w:rPr/>
  </w:style>
  <w:style w:type="character" w:styleId="WW8Num57z0">
    <w:name w:val="WW8Num57z0"/>
    <w:qFormat/>
    <w:rPr>
      <w:color w:val="000000"/>
    </w:rPr>
  </w:style>
  <w:style w:type="character" w:styleId="WW8Num58z0">
    <w:name w:val="WW8Num58z0"/>
    <w:qFormat/>
    <w:rPr/>
  </w:style>
  <w:style w:type="character" w:styleId="WW8Num59z0">
    <w:name w:val="WW8Num59z0"/>
    <w:qFormat/>
    <w:rPr>
      <w:b w:val="false"/>
    </w:rPr>
  </w:style>
  <w:style w:type="character" w:styleId="WW8Num61z0">
    <w:name w:val="WW8Num61z0"/>
    <w:qFormat/>
    <w:rPr/>
  </w:style>
  <w:style w:type="character" w:styleId="WW8Num62z0">
    <w:name w:val="WW8Num62z0"/>
    <w:qFormat/>
    <w:rPr>
      <w:rFonts w:ascii="Arial" w:hAnsi="Arial" w:cs="Times New Roman"/>
      <w:b/>
      <w:i w:val="false"/>
      <w:kern w:val="0"/>
    </w:rPr>
  </w:style>
  <w:style w:type="character" w:styleId="WW8Num62z1">
    <w:name w:val="WW8Num62z1"/>
    <w:qFormat/>
    <w:rPr>
      <w:rFonts w:cs="Times New Roman"/>
      <w:b w:val="false"/>
    </w:rPr>
  </w:style>
  <w:style w:type="character" w:styleId="WW8Num62z2">
    <w:name w:val="WW8Num62z2"/>
    <w:qFormat/>
    <w:rPr>
      <w:rFonts w:cs="Times New Roman"/>
    </w:rPr>
  </w:style>
  <w:style w:type="character" w:styleId="WW8Num64z0">
    <w:name w:val="WW8Num64z0"/>
    <w:qFormat/>
    <w:rPr>
      <w:rFonts w:ascii="Symbol" w:hAnsi="Symbol" w:cs="Symbol"/>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5z0">
    <w:name w:val="WW8Num65z0"/>
    <w:qFormat/>
    <w:rPr>
      <w:b w:val="false"/>
    </w:rPr>
  </w:style>
  <w:style w:type="character" w:styleId="WW8Num65z1">
    <w:name w:val="WW8Num65z1"/>
    <w:qFormat/>
    <w:rPr>
      <w:color w:val="000000"/>
    </w:rPr>
  </w:style>
  <w:style w:type="character" w:styleId="WW8Num65z2">
    <w:name w:val="WW8Num65z2"/>
    <w:qFormat/>
    <w:rPr/>
  </w:style>
  <w:style w:type="character" w:styleId="WW8Num66z0">
    <w:name w:val="WW8Num66z0"/>
    <w:qFormat/>
    <w:rPr>
      <w:rFonts w:ascii="Symbol" w:hAnsi="Symbol" w:cs="Symbol"/>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7z0">
    <w:name w:val="WW8Num67z0"/>
    <w:qFormat/>
    <w:rPr>
      <w:b w:val="false"/>
    </w:rPr>
  </w:style>
  <w:style w:type="character" w:styleId="WW8Num68z0">
    <w:name w:val="WW8Num68z0"/>
    <w:qFormat/>
    <w:rPr/>
  </w:style>
  <w:style w:type="character" w:styleId="WW8Num69z0">
    <w:name w:val="WW8Num69z0"/>
    <w:qFormat/>
    <w:rPr/>
  </w:style>
  <w:style w:type="character" w:styleId="WW8Num71z0">
    <w:name w:val="WW8Num71z0"/>
    <w:qFormat/>
    <w:rPr>
      <w:b w:val="false"/>
    </w:rPr>
  </w:style>
  <w:style w:type="character" w:styleId="WW8Num72z0">
    <w:name w:val="WW8Num72z0"/>
    <w:qFormat/>
    <w:rPr>
      <w:rFonts w:ascii="Symbol" w:hAnsi="Symbol" w:cs="Symbol"/>
    </w:rPr>
  </w:style>
  <w:style w:type="character" w:styleId="WW8Num72z1">
    <w:name w:val="WW8Num72z1"/>
    <w:qFormat/>
    <w:rPr>
      <w:rFonts w:ascii="Courier New" w:hAnsi="Courier New" w:cs="Courier New"/>
    </w:rPr>
  </w:style>
  <w:style w:type="character" w:styleId="WW8Num72z2">
    <w:name w:val="WW8Num72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ParaHeading">
    <w:name w:val="Para Heading"/>
    <w:qFormat/>
    <w:rPr>
      <w:rFonts w:ascii="Times New Roman Bold" w:hAnsi="Times New Roman Bold" w:cs="Times New Roman Bold"/>
      <w:b/>
      <w:sz w:val="20"/>
    </w:rPr>
  </w:style>
  <w:style w:type="character" w:styleId="FollowedHyperlink">
    <w:name w:val="FollowedHyperlink"/>
    <w:rPr>
      <w:color w:val="800080"/>
      <w:u w:val="single"/>
    </w:rPr>
  </w:style>
  <w:style w:type="character" w:styleId="Hyperlink">
    <w:name w:val="Hyperlink"/>
    <w:rPr>
      <w:color w:val="0000FF"/>
      <w:u w:val="single"/>
    </w:rPr>
  </w:style>
  <w:style w:type="character" w:styleId="FootnoteTextChar">
    <w:name w:val="Footnote Text Char"/>
    <w:basedOn w:val="DefaultParagraphFont"/>
    <w:qFormat/>
    <w:rPr/>
  </w:style>
  <w:style w:type="character" w:styleId="HeaderChar">
    <w:name w:val="Header Char"/>
    <w:qFormat/>
    <w:rPr>
      <w:sz w:val="24"/>
    </w:rPr>
  </w:style>
  <w:style w:type="character" w:styleId="FootnoteCharacters">
    <w:name w:val="Footnote Characters"/>
    <w:qFormat/>
    <w:rPr>
      <w:vertAlign w:val="superscript"/>
    </w:rPr>
  </w:style>
  <w:style w:type="character" w:styleId="SubtitleChar">
    <w:name w:val="Subtitle Char"/>
    <w:qFormat/>
    <w:rPr>
      <w:b/>
      <w:sz w:val="40"/>
    </w:rPr>
  </w:style>
  <w:style w:type="character" w:styleId="sub-paraheadings">
    <w:name w:val="sub-para headings"/>
    <w:qFormat/>
    <w:rPr>
      <w:rFonts w:ascii="Times New Roman" w:hAnsi="Times New Roman" w:cs="Times New Roman"/>
      <w:i/>
      <w:sz w:val="20"/>
    </w:rPr>
  </w:style>
  <w:style w:type="character" w:styleId="paraheading1">
    <w:name w:val="paraheading"/>
    <w:qFormat/>
    <w:rPr>
      <w:rFonts w:ascii="Times New Roman Bold" w:hAnsi="Times New Roman Bold" w:cs="Times New Roman Bold"/>
      <w:b/>
      <w:bCs/>
    </w:rPr>
  </w:style>
  <w:style w:type="character" w:styleId="BodyTextIndent3Char">
    <w:name w:val="Body Text Indent 3 Char"/>
    <w:qFormat/>
    <w:rPr>
      <w:sz w:val="16"/>
      <w:szCs w:val="16"/>
    </w:rPr>
  </w:style>
  <w:style w:type="character" w:styleId="FooterChar">
    <w:name w:val="Footer Char"/>
    <w:qFormat/>
    <w:rPr>
      <w:sz w:val="24"/>
    </w:rPr>
  </w:style>
  <w:style w:type="character" w:styleId="TitleChar">
    <w:name w:val="Title Char"/>
    <w:qFormat/>
    <w:rPr>
      <w:b/>
      <w:sz w:val="28"/>
      <w:u w:val="single"/>
    </w:rPr>
  </w:style>
  <w:style w:type="character" w:styleId="Heading1Char">
    <w:name w:val="Heading 1 Char"/>
    <w:qFormat/>
    <w:rPr>
      <w:sz w:val="36"/>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paragraph" w:styleId="Heading">
    <w:name w:val="Heading"/>
    <w:basedOn w:val="Normal"/>
    <w:next w:val="BodyText"/>
    <w:qFormat/>
    <w:pPr>
      <w:jc w:val="center"/>
    </w:pPr>
    <w:rPr>
      <w:b/>
      <w:sz w:val="28"/>
      <w:u w:val="single"/>
    </w:rPr>
  </w:style>
  <w:style w:type="paragraph" w:styleId="BodyText">
    <w:name w:val="Body Text"/>
    <w:basedOn w:val="Normal"/>
    <w:pPr>
      <w:widowControl w:val="false"/>
      <w:ind w:hanging="0" w:start="0" w:end="-43"/>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odyTextIndent">
    <w:name w:val="Body Text Indent"/>
    <w:basedOn w:val="Normal"/>
    <w:pPr>
      <w:ind w:hanging="426" w:start="426" w:end="0"/>
    </w:pPr>
    <w:rPr>
      <w:b/>
    </w:rPr>
  </w:style>
  <w:style w:type="paragraph" w:styleId="BodyText2">
    <w:name w:val="Body Text 2"/>
    <w:basedOn w:val="Normal"/>
    <w:qFormat/>
    <w:pPr/>
    <w:rPr>
      <w:b/>
    </w:rPr>
  </w:style>
  <w:style w:type="paragraph" w:styleId="BodyTextIndent2">
    <w:name w:val="Body Text Indent 2"/>
    <w:basedOn w:val="Normal"/>
    <w:qFormat/>
    <w:pPr>
      <w:ind w:hanging="426" w:start="426" w:end="0"/>
      <w:jc w:val="center"/>
    </w:pPr>
    <w:rPr>
      <w:b/>
    </w:rPr>
  </w:style>
  <w:style w:type="paragraph" w:styleId="BodyText3">
    <w:name w:val="Body Text 3"/>
    <w:basedOn w:val="Normal"/>
    <w:qFormat/>
    <w:pPr>
      <w:jc w:val="center"/>
    </w:pPr>
    <w:rPr>
      <w:b/>
      <w:sz w:val="28"/>
    </w:rPr>
  </w:style>
  <w:style w:type="paragraph" w:styleId="HEADING1CHAPTER">
    <w:name w:val="HEADING 1 (CHAPTER)"/>
    <w:basedOn w:val="Heading1"/>
    <w:qFormat/>
    <w:pPr>
      <w:widowControl/>
      <w:numPr>
        <w:ilvl w:val="0"/>
        <w:numId w:val="0"/>
      </w:numPr>
      <w:tabs>
        <w:tab w:val="clear" w:pos="720"/>
        <w:tab w:val="left" w:pos="425" w:leader="none"/>
      </w:tabs>
      <w:spacing w:before="240" w:after="60"/>
      <w:jc w:val="center"/>
      <w:outlineLvl w:val="9"/>
    </w:pPr>
    <w:rPr>
      <w:kern w:val="2"/>
      <w:sz w:val="24"/>
    </w:rPr>
  </w:style>
  <w:style w:type="paragraph" w:styleId="BalloonText">
    <w:name w:val="Balloon Text"/>
    <w:basedOn w:val="Normal"/>
    <w:qFormat/>
    <w:pPr/>
    <w:rPr>
      <w:rFonts w:ascii="Tahoma" w:hAnsi="Tahoma" w:cs="Tahoma"/>
      <w:sz w:val="16"/>
      <w:szCs w:val="16"/>
    </w:rPr>
  </w:style>
  <w:style w:type="paragraph" w:styleId="FootnoteText">
    <w:name w:val="footnote text"/>
    <w:basedOn w:val="Normal"/>
    <w:pPr/>
    <w:rPr>
      <w:sz w:val="20"/>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DWNormal">
    <w:name w:val="DW Normal"/>
    <w:basedOn w:val="Normal"/>
    <w:qFormat/>
    <w:pPr/>
    <w:rPr/>
  </w:style>
  <w:style w:type="paragraph" w:styleId="Subtitle">
    <w:name w:val="Subtitle"/>
    <w:basedOn w:val="Normal"/>
    <w:next w:val="BodyText"/>
    <w:qFormat/>
    <w:pPr>
      <w:jc w:val="center"/>
    </w:pPr>
    <w:rPr>
      <w:b/>
      <w:sz w:val="40"/>
    </w:rPr>
  </w:style>
  <w:style w:type="paragraph" w:styleId="Style11">
    <w:name w:val="Style1"/>
    <w:basedOn w:val="Heading1"/>
    <w:next w:val="Heading1"/>
    <w:qFormat/>
    <w:pPr>
      <w:keepNext w:val="false"/>
      <w:widowControl/>
      <w:numPr>
        <w:ilvl w:val="0"/>
        <w:numId w:val="0"/>
      </w:numPr>
      <w:tabs>
        <w:tab w:val="left" w:pos="720" w:leader="none"/>
      </w:tabs>
      <w:spacing w:before="0" w:after="240"/>
      <w:jc w:val="start"/>
      <w:outlineLvl w:val="9"/>
    </w:pPr>
    <w:rPr>
      <w:rFonts w:ascii="Arial" w:hAnsi="Arial" w:cs="Arial"/>
      <w:kern w:val="2"/>
      <w:sz w:val="24"/>
    </w:rPr>
  </w:style>
  <w:style w:type="paragraph" w:styleId="ListParagraph">
    <w:name w:val="List Paragraph"/>
    <w:basedOn w:val="Normal"/>
    <w:qFormat/>
    <w:pPr>
      <w:ind w:hanging="0" w:start="720" w:end="0"/>
    </w:pPr>
    <w:rPr>
      <w:sz w:val="20"/>
    </w:rPr>
  </w:style>
  <w:style w:type="paragraph" w:styleId="TOAHeading">
    <w:name w:val="TOA Heading"/>
    <w:basedOn w:val="Normal"/>
    <w:next w:val="Normal"/>
    <w:qFormat/>
    <w:pPr>
      <w:tabs>
        <w:tab w:val="clear" w:pos="720"/>
        <w:tab w:val="left" w:pos="9000" w:leader="none"/>
        <w:tab w:val="right" w:pos="9360" w:leader="none"/>
      </w:tabs>
      <w:suppressAutoHyphens w:val="true"/>
    </w:pPr>
    <w:rPr/>
  </w:style>
  <w:style w:type="paragraph" w:styleId="Sub-sub-sub-sub-para">
    <w:name w:val="Sub-sub-sub-sub-para"/>
    <w:basedOn w:val="Normal"/>
    <w:qFormat/>
    <w:pPr>
      <w:tabs>
        <w:tab w:val="clear" w:pos="720"/>
        <w:tab w:val="left" w:pos="425" w:leader="none"/>
      </w:tabs>
      <w:spacing w:before="0" w:after="60"/>
      <w:ind w:hanging="284" w:start="1418" w:end="0"/>
      <w:jc w:val="both"/>
    </w:pPr>
    <w:rPr>
      <w:sz w:val="20"/>
    </w:rPr>
  </w:style>
  <w:style w:type="paragraph" w:styleId="sub-sub-sub-sub-para1">
    <w:name w:val="sub-sub-sub-sub-para1"/>
    <w:basedOn w:val="Normal"/>
    <w:qFormat/>
    <w:pPr>
      <w:spacing w:before="0" w:after="60"/>
      <w:ind w:hanging="284" w:start="1418" w:end="0"/>
      <w:jc w:val="both"/>
    </w:pPr>
    <w:rPr>
      <w:sz w:val="20"/>
    </w:rPr>
  </w:style>
  <w:style w:type="paragraph" w:styleId="StyleHeading1Left">
    <w:name w:val="Style Heading 1 + Left"/>
    <w:basedOn w:val="Heading1"/>
    <w:qFormat/>
    <w:pPr>
      <w:keepNext w:val="false"/>
      <w:widowControl/>
      <w:numPr>
        <w:ilvl w:val="0"/>
        <w:numId w:val="2"/>
      </w:numPr>
      <w:spacing w:before="0" w:after="240"/>
      <w:jc w:val="start"/>
      <w:outlineLvl w:val="9"/>
    </w:pPr>
    <w:rPr>
      <w:rFonts w:ascii="Arial" w:hAnsi="Arial" w:cs="Arial"/>
      <w:kern w:val="2"/>
      <w:sz w:val="24"/>
    </w:rPr>
  </w:style>
  <w:style w:type="paragraph" w:styleId="BodyTextIndent3">
    <w:name w:val="Body Text Indent 3"/>
    <w:basedOn w:val="Normal"/>
    <w:qFormat/>
    <w:pPr>
      <w:spacing w:before="0" w:after="120"/>
      <w:ind w:hanging="0" w:start="283" w:end="0"/>
    </w:pPr>
    <w:rPr>
      <w:sz w:val="16"/>
      <w:szCs w:val="16"/>
    </w:rPr>
  </w:style>
  <w:style w:type="paragraph" w:styleId="Author">
    <w:name w:val="Author"/>
    <w:basedOn w:val="BodyText"/>
    <w:qFormat/>
    <w:pPr>
      <w:widowControl/>
      <w:tabs>
        <w:tab w:val="clear" w:pos="720"/>
        <w:tab w:val="right" w:pos="8309" w:leader="none"/>
      </w:tabs>
      <w:spacing w:lineRule="auto" w:line="480"/>
      <w:ind w:hanging="0" w:start="0" w:end="0"/>
      <w:jc w:val="center"/>
    </w:pPr>
    <w:rPr>
      <w:rFonts w:ascii="Garamond" w:hAnsi="Garamond" w:cs="Garamond"/>
      <w:spacing w:val="-2"/>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0"/>
      <w:lang w:val="en-GB" w:bidi="ar-SA" w:eastAsia="zh-CN"/>
    </w:rPr>
  </w:style>
  <w:style w:type="paragraph" w:styleId="NormalWeb">
    <w:name w:val="Normal (Web)"/>
    <w:basedOn w:val="Normal"/>
    <w:qFormat/>
    <w:pPr>
      <w:spacing w:before="100" w:after="100"/>
    </w:pPr>
    <w:rPr>
      <w:rFonts w:eastAsia="Times New Roman"/>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Appendix_17B_TMMB_AGAI_78_V1.dot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2023-07-26T00:47:00Z</dcterms:created>
  <dc:creator>CSV8</dc:creator>
  <dc:description/>
  <cp:keywords/>
  <dc:language>en-GB</dc:language>
  <cp:lastModifiedBy>Johnstone, Thomas Maj</cp:lastModifiedBy>
  <cp:lastPrinted>2017-07-24T11:23:00Z</cp:lastPrinted>
  <dcterms:modified xsi:type="dcterms:W3CDTF">2025-02-03T03:06:00Z</dcterms:modified>
  <cp:revision>5</cp:revision>
  <dc:subject/>
  <dc:title>20170711-PAP_Final_Draft_v1-SO3EmplPol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Originator">
    <vt:lpwstr>Spraggett, Matthew Capt</vt:lpwstr>
  </property>
  <property fmtid="{D5CDD505-2E9C-101B-9397-08002B2CF9AE}" pid="3" name="Business OwnerOOB">
    <vt:lpwstr>Army Headquarters</vt:lpwstr>
  </property>
  <property fmtid="{D5CDD505-2E9C-101B-9397-08002B2CF9AE}" pid="4" name="BusinessOwner">
    <vt:lpwstr/>
  </property>
  <property fmtid="{D5CDD505-2E9C-101B-9397-08002B2CF9AE}" pid="5" name="Cc">
    <vt:lpwstr/>
  </property>
  <property fmtid="{D5CDD505-2E9C-101B-9397-08002B2CF9AE}" pid="6" name="ContentType">
    <vt:lpwstr>MOD Document</vt:lpwstr>
  </property>
  <property fmtid="{D5CDD505-2E9C-101B-9397-08002B2CF9AE}" pid="7" name="ContentTypeId">
    <vt:lpwstr>0x0101002817DCC3B91A4B7EA656B27E1AE952E3007B66859A0186594C8B4AA24E1A7C0BEC</vt:lpwstr>
  </property>
  <property fmtid="{D5CDD505-2E9C-101B-9397-08002B2CF9AE}" pid="8" name="Copyright">
    <vt:lpwstr/>
  </property>
  <property fmtid="{D5CDD505-2E9C-101B-9397-08002B2CF9AE}" pid="9" name="CreatedOriginated">
    <vt:lpwstr>2015-11-19T00:00:00Z</vt:lpwstr>
  </property>
  <property fmtid="{D5CDD505-2E9C-101B-9397-08002B2CF9AE}" pid="10" name="DPADisclosabilityIndicator">
    <vt:lpwstr/>
  </property>
  <property fmtid="{D5CDD505-2E9C-101B-9397-08002B2CF9AE}" pid="11" name="DPAExemption">
    <vt:lpwstr/>
  </property>
  <property fmtid="{D5CDD505-2E9C-101B-9397-08002B2CF9AE}" pid="12" name="DateScanned">
    <vt:lpwstr/>
  </property>
  <property fmtid="{D5CDD505-2E9C-101B-9397-08002B2CF9AE}" pid="13" name="Declared">
    <vt:lpwstr>0</vt:lpwstr>
  </property>
  <property fmtid="{D5CDD505-2E9C-101B-9397-08002B2CF9AE}" pid="14" name="Description0">
    <vt:lpwstr/>
  </property>
  <property fmtid="{D5CDD505-2E9C-101B-9397-08002B2CF9AE}" pid="15" name="DocId">
    <vt:lpwstr/>
  </property>
  <property fmtid="{D5CDD505-2E9C-101B-9397-08002B2CF9AE}" pid="16" name="DocumentVersion">
    <vt:lpwstr/>
  </property>
  <property fmtid="{D5CDD505-2E9C-101B-9397-08002B2CF9AE}" pid="17" name="EIRDisclosabilityIndicator">
    <vt:lpwstr/>
  </property>
  <property fmtid="{D5CDD505-2E9C-101B-9397-08002B2CF9AE}" pid="18" name="EIRException">
    <vt:lpwstr/>
  </property>
  <property fmtid="{D5CDD505-2E9C-101B-9397-08002B2CF9AE}" pid="19" name="FOIExemption">
    <vt:lpwstr>No</vt:lpwstr>
  </property>
  <property fmtid="{D5CDD505-2E9C-101B-9397-08002B2CF9AE}" pid="20" name="FOIPublicationDate">
    <vt:lpwstr/>
  </property>
  <property fmtid="{D5CDD505-2E9C-101B-9397-08002B2CF9AE}" pid="21" name="FOIReleasedOnRequest">
    <vt:lpwstr/>
  </property>
  <property fmtid="{D5CDD505-2E9C-101B-9397-08002B2CF9AE}" pid="22" name="Filter">
    <vt:lpwstr>PAP 17</vt:lpwstr>
  </property>
  <property fmtid="{D5CDD505-2E9C-101B-9397-08002B2CF9AE}" pid="23" name="From">
    <vt:lpwstr/>
  </property>
  <property fmtid="{D5CDD505-2E9C-101B-9397-08002B2CF9AE}" pid="24" name="Local KeywordsOOB">
    <vt:lpwstr>;#Andover;#PAP10;#PAP17;#</vt:lpwstr>
  </property>
  <property fmtid="{D5CDD505-2E9C-101B-9397-08002B2CF9AE}" pid="25" name="LocalKeywords">
    <vt:lpwstr/>
  </property>
  <property fmtid="{D5CDD505-2E9C-101B-9397-08002B2CF9AE}" pid="26" name="MODImageCleaning">
    <vt:lpwstr/>
  </property>
  <property fmtid="{D5CDD505-2E9C-101B-9397-08002B2CF9AE}" pid="27" name="MODNumberOfPagesScanned">
    <vt:lpwstr/>
  </property>
  <property fmtid="{D5CDD505-2E9C-101B-9397-08002B2CF9AE}" pid="28" name="MODScanStandard">
    <vt:lpwstr/>
  </property>
  <property fmtid="{D5CDD505-2E9C-101B-9397-08002B2CF9AE}" pid="29" name="MODScanVerified">
    <vt:lpwstr/>
  </property>
  <property fmtid="{D5CDD505-2E9C-101B-9397-08002B2CF9AE}" pid="30" name="MODSubject">
    <vt:lpwstr/>
  </property>
  <property fmtid="{D5CDD505-2E9C-101B-9397-08002B2CF9AE}" pid="31" name="MeridioEDCData">
    <vt:lpwstr>Fri, 04 Aug 2017 15:52:38 GMT</vt:lpwstr>
  </property>
  <property fmtid="{D5CDD505-2E9C-101B-9397-08002B2CF9AE}" pid="32" name="MeridioEDCStatus">
    <vt:lpwstr>transferpending</vt:lpwstr>
  </property>
  <property fmtid="{D5CDD505-2E9C-101B-9397-08002B2CF9AE}" pid="33" name="MeridioUrl">
    <vt:lpwstr/>
  </property>
  <property fmtid="{D5CDD505-2E9C-101B-9397-08002B2CF9AE}" pid="34" name="Order">
    <vt:lpwstr>6200.00000000000</vt:lpwstr>
  </property>
  <property fmtid="{D5CDD505-2E9C-101B-9397-08002B2CF9AE}" pid="35" name="PolicyIdentifier">
    <vt:lpwstr>UK</vt:lpwstr>
  </property>
  <property fmtid="{D5CDD505-2E9C-101B-9397-08002B2CF9AE}" pid="36" name="RetentionCategory">
    <vt:lpwstr>None</vt:lpwstr>
  </property>
  <property fmtid="{D5CDD505-2E9C-101B-9397-08002B2CF9AE}" pid="37" name="ScannerOperator">
    <vt:lpwstr/>
  </property>
  <property fmtid="{D5CDD505-2E9C-101B-9397-08002B2CF9AE}" pid="38" name="SecurityDescriptors">
    <vt:lpwstr>None</vt:lpwstr>
  </property>
  <property fmtid="{D5CDD505-2E9C-101B-9397-08002B2CF9AE}" pid="39" name="SecurityNonUKConstraints">
    <vt:lpwstr/>
  </property>
  <property fmtid="{D5CDD505-2E9C-101B-9397-08002B2CF9AE}" pid="40" name="Sent">
    <vt:lpwstr/>
  </property>
  <property fmtid="{D5CDD505-2E9C-101B-9397-08002B2CF9AE}" pid="41" name="Status">
    <vt:lpwstr>Final</vt:lpwstr>
  </property>
  <property fmtid="{D5CDD505-2E9C-101B-9397-08002B2CF9AE}" pid="42" name="Subject CategoryOOB">
    <vt:lpwstr>;#ELECTRONIC WAYS OF WORKING;#</vt:lpwstr>
  </property>
  <property fmtid="{D5CDD505-2E9C-101B-9397-08002B2CF9AE}" pid="43" name="Subject KeywordsOOB">
    <vt:lpwstr>;#Army Headquarters;#</vt:lpwstr>
  </property>
  <property fmtid="{D5CDD505-2E9C-101B-9397-08002B2CF9AE}" pid="44" name="SubjectCategory">
    <vt:lpwstr/>
  </property>
  <property fmtid="{D5CDD505-2E9C-101B-9397-08002B2CF9AE}" pid="45" name="SubjectKeywords">
    <vt:lpwstr/>
  </property>
  <property fmtid="{D5CDD505-2E9C-101B-9397-08002B2CF9AE}" pid="46" name="To">
    <vt:lpwstr/>
  </property>
  <property fmtid="{D5CDD505-2E9C-101B-9397-08002B2CF9AE}" pid="47" name="UKProtectiveMarking">
    <vt:lpwstr>OFFICIAL</vt:lpwstr>
  </property>
  <property fmtid="{D5CDD505-2E9C-101B-9397-08002B2CF9AE}" pid="48" name="URL">
    <vt:lpwstr/>
  </property>
  <property fmtid="{D5CDD505-2E9C-101B-9397-08002B2CF9AE}" pid="49" name="fileplanID">
    <vt:lpwstr/>
  </property>
  <property fmtid="{D5CDD505-2E9C-101B-9397-08002B2CF9AE}" pid="50" name="fileplanIDOOB">
    <vt:lpwstr>04_Deliver</vt:lpwstr>
  </property>
  <property fmtid="{D5CDD505-2E9C-101B-9397-08002B2CF9AE}" pid="51" name="fileplanIDPTH">
    <vt:lpwstr>04_Deliver</vt:lpwstr>
  </property>
  <property fmtid="{D5CDD505-2E9C-101B-9397-08002B2CF9AE}" pid="52" name="originalmeridioedcdata">
    <vt:lpwstr/>
  </property>
  <property fmtid="{D5CDD505-2E9C-101B-9397-08002B2CF9AE}" pid="53" name="originalmeridioedcstatus">
    <vt:lpwstr/>
  </property>
</Properties>
</file>