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5"/>
        <w:ind w:hanging="0" w:start="0"/>
        <w:rPr>
          <w:rFonts w:ascii="Arial" w:hAnsi="Arial" w:cs="Arial"/>
          <w:b/>
          <w:bCs/>
          <w:sz w:val="10"/>
          <w:szCs w:val="22"/>
          <w:u w:val="none"/>
        </w:rPr>
      </w:pPr>
      <w:r>
        <w:rPr>
          <w:rFonts w:cs="Arial" w:ascii="Arial" w:hAnsi="Arial"/>
          <w:b/>
          <w:bCs/>
          <w:sz w:val="10"/>
          <w:szCs w:val="22"/>
          <w:u w:val="none"/>
        </w:rPr>
      </w:r>
    </w:p>
    <w:p>
      <w:pPr>
        <w:pStyle w:val="Heading5"/>
        <w:ind w:hanging="0" w:start="0"/>
        <w:rPr>
          <w:rFonts w:ascii="Arial" w:hAnsi="Arial" w:cs="Arial"/>
          <w:b/>
          <w:bCs/>
          <w:sz w:val="22"/>
          <w:szCs w:val="22"/>
          <w:u w:val="none"/>
        </w:rPr>
      </w:pPr>
      <w:r>
        <w:rPr>
          <w:rFonts w:cs="Arial" w:ascii="Arial" w:hAnsi="Arial"/>
          <w:b/>
          <w:bCs/>
          <w:sz w:val="22"/>
          <w:szCs w:val="22"/>
          <w:u w:val="none"/>
        </w:rPr>
        <w:t>AUTOPOPULATED MALARIA HEALTH QUESTIONNAIRE</w:t>
      </w:r>
    </w:p>
    <w:p>
      <w:pPr>
        <w:pStyle w:val="BodyText"/>
        <w:rPr>
          <w:rFonts w:ascii="Arial" w:hAnsi="Arial" w:cs="Arial"/>
          <w:b/>
          <w:bCs/>
          <w:sz w:val="10"/>
          <w:szCs w:val="22"/>
          <w:u w:val="none"/>
        </w:rPr>
      </w:pPr>
      <w:r>
        <w:rPr>
          <w:rFonts w:cs="Arial" w:ascii="Arial" w:hAnsi="Arial"/>
          <w:b/>
          <w:bCs/>
          <w:sz w:val="10"/>
          <w:szCs w:val="22"/>
          <w:u w:val="none"/>
        </w:rPr>
      </w:r>
    </w:p>
    <w:p>
      <w:pPr>
        <w:pStyle w:val="BodyText"/>
        <w:spacing w:before="0" w:after="40"/>
        <w:rPr>
          <w:rFonts w:ascii="Arial" w:hAnsi="Arial" w:cs="Arial"/>
          <w:b/>
          <w:sz w:val="22"/>
          <w:szCs w:val="22"/>
        </w:rPr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Service Number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Rank/Title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spacing w:before="0" w:after="4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Unit: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Organisation 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spacing w:before="0" w:after="4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Mobile number: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Mobile Telephone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spacing w:before="0" w:after="4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Antimalarial Contraindication Template completed on: </w:t>
      </w:r>
      <w:r>
        <w:fldChar w:fldCharType="begin">
          <w:ffData>
            <w:name w:val="Read_Code_F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Read Code Fields - PCS15089MA1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BodyText"/>
        <w:spacing w:before="0" w:after="4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This proforma was generated on: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/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10"/>
          <w:szCs w:val="22"/>
        </w:rPr>
      </w:pPr>
      <w:r>
        <w:rPr>
          <w:rFonts w:cs="Arial" w:ascii="Arial" w:hAnsi="Arial"/>
          <w:sz w:val="10"/>
          <w:szCs w:val="22"/>
        </w:rPr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4111"/>
        <w:gridCol w:w="6060"/>
      </w:tblGrid>
      <w:tr>
        <w:trPr>
          <w:trHeight w:val="510" w:hRule="atLeast"/>
        </w:trPr>
        <w:tc>
          <w:tcPr>
            <w:tcW w:w="817" w:type="dxa"/>
            <w:tcBorders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01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color w:val="808080"/>
                <w:szCs w:val="22"/>
                <w:highlight w:val="lightGray"/>
              </w:rPr>
              <w:t>Normal responses are shaded in grey.</w:t>
            </w:r>
            <w:r>
              <w:rPr>
                <w:rFonts w:cs="Arial" w:ascii="Arial" w:hAnsi="Arial"/>
                <w:szCs w:val="22"/>
              </w:rPr>
              <w:t xml:space="preserve"> Responses which may indicate a contraindication are unshaded, with date the corresponding Read code was entered displayed.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Applicable to </w:t>
            </w:r>
            <w:r>
              <w:rPr>
                <w:rFonts w:cs="Arial" w:ascii="Arial" w:hAnsi="Arial"/>
                <w:b/>
                <w:sz w:val="22"/>
                <w:szCs w:val="22"/>
              </w:rPr>
              <w:t>ALL</w:t>
            </w:r>
            <w:r>
              <w:rPr>
                <w:rFonts w:cs="Arial" w:ascii="Arial" w:hAnsi="Arial"/>
                <w:sz w:val="22"/>
                <w:szCs w:val="22"/>
              </w:rPr>
              <w:t xml:space="preserve"> antimalarials</w:t>
            </w:r>
          </w:p>
        </w:tc>
        <w:tc>
          <w:tcPr>
            <w:tcW w:w="4111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malaria?</w:t>
            </w:r>
          </w:p>
        </w:tc>
        <w:tc>
          <w:tcPr>
            <w:tcW w:w="606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  <w:szCs w:val="22"/>
              </w:rPr>
              <w:t>Read Code Fields - NEGATION-1413</w: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  <w:szCs w:val="22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- 1413</w:t>
            </w:r>
            <w:r/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problems with your kidneys?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  <w:szCs w:val="22"/>
              </w:rPr>
              <w:t>Read Code Fields - NEGATION-14D-2</w: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  <w:szCs w:val="22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- 14D-2</w:t>
            </w:r>
            <w:r/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had your spleen removed?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NEGATION-7840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- 7840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heart problems?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NEGATION-14A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- 14A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liver problems?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8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NEGATION-14C5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- 14C5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quinine?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1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NEGATION-TJ144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TJ144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Doxycycline</w:t>
            </w:r>
          </w:p>
        </w:tc>
        <w:tc>
          <w:tcPr>
            <w:tcW w:w="4111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rash caused by sunlight?</w:t>
            </w:r>
          </w:p>
        </w:tc>
        <w:tc>
          <w:tcPr>
            <w:tcW w:w="606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NEGATION-M1274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M1274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Do you suffer from intestinal disaccharidase deficiency or fructose intolerance? 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PCS15089TH16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PCS15089TH15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doxycycline?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PCS15089TH18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PCS15089TH17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following: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Antacids, dietary supplements (zinc, magnesium or calcium), isotretinoin (Roaccutane), tetracyclines,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Chloroquine, Proguanil and Atovaquone</w:t>
            </w:r>
          </w:p>
        </w:tc>
        <w:tc>
          <w:tcPr>
            <w:tcW w:w="4111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Glucose 6 Phosphate Dehydrogenase (G6PD) deficiency?</w:t>
            </w:r>
          </w:p>
        </w:tc>
        <w:tc>
          <w:tcPr>
            <w:tcW w:w="606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NEGATION-C310-2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C310-2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psoriasis?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NEGATION-14F2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- 14F2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convulsion, fit, seizure or epilepsy?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NEGATION-1473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- 1473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chloroquine or proguanil?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PCS15089TH21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amiodarone?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PCS15089TH20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PCS15089TH19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atovaquone or proguanil (Malarone)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PCS15089TH23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 (Chloroquine and Proguanil only):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b/>
              </w:rPr>
              <w:t>Chloroquine and Proguanil</w:t>
            </w:r>
            <w:r>
              <w:rPr>
                <w:rFonts w:cs="Arial" w:ascii="Arial" w:hAnsi="Arial"/>
              </w:rPr>
              <w:t xml:space="preserve">: antacids, dietary supplements (zinc, magnesium or calcium), fluvoxamine, warfarin, </w:t>
            </w:r>
            <w:r>
              <w:rPr>
                <w:rFonts w:cs="Arial" w:ascii="Arial" w:hAnsi="Arial"/>
                <w:szCs w:val="22"/>
              </w:rPr>
              <w:t>pyrimethamine, lymecycline or doxycycline.</w:t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4111"/>
        <w:gridCol w:w="6060"/>
      </w:tblGrid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Mefloquine</w:t>
            </w:r>
          </w:p>
        </w:tc>
        <w:tc>
          <w:tcPr>
            <w:tcW w:w="4111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mental health problems?</w:t>
            </w:r>
          </w:p>
        </w:tc>
        <w:tc>
          <w:tcPr>
            <w:tcW w:w="606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- 1I4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ZV11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depression?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NEGATION-1465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- 1465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aircrew?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  <w:t>N/A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RAFTBAI5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mefloquine (Lariam)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PCS15089TH4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halofantrine?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PCS15089TH13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mental illness and/or convulsions?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PCS15089TH7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PCS15089TH6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>
          <w:trHeight w:val="35" w:hRule="atLeast"/>
        </w:trPr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severely impaired liver function?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PCS15089TH10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Blackwater Fever?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PCS15089TH9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PCS15089TH8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following: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</w:tc>
      </w:tr>
      <w:tr>
        <w:trPr>
          <w:trHeight w:val="2705" w:hRule="atLeast"/>
        </w:trPr>
        <w:tc>
          <w:tcPr>
            <w:tcW w:w="81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Medication</w:t>
            </w:r>
          </w:p>
        </w:tc>
        <w:tc>
          <w:tcPr>
            <w:tcW w:w="10171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before="0" w:after="14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Doxycycline</w:t>
            </w:r>
            <w:r>
              <w:rPr>
                <w:rFonts w:cs="Arial" w:ascii="Arial" w:hAnsi="Arial"/>
              </w:rPr>
              <w:t xml:space="preserve">: Antacids, dietary supplements (zinc, magnesium or calcium), isotretinoin (Roaccutane), tetracyclines,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  <w:p>
            <w:pPr>
              <w:pStyle w:val="Normal"/>
              <w:spacing w:before="0" w:after="140"/>
              <w:rPr/>
            </w:pPr>
            <w:r>
              <w:rPr>
                <w:rFonts w:cs="Arial" w:ascii="Arial" w:hAnsi="Arial"/>
                <w:b/>
              </w:rPr>
              <w:t>Chloroquine and Proguanil</w:t>
            </w:r>
            <w:r>
              <w:rPr>
                <w:rFonts w:cs="Arial" w:ascii="Arial" w:hAnsi="Arial"/>
              </w:rPr>
              <w:t xml:space="preserve">: antacids, dietary supplements (zinc, magnesium or calcium), fluvoxamine, warfarin or </w:t>
            </w:r>
            <w:r>
              <w:rPr>
                <w:rFonts w:cs="Arial" w:ascii="Arial" w:hAnsi="Arial"/>
                <w:szCs w:val="22"/>
              </w:rPr>
              <w:t>pyrimethamine lymecycline or doxycycline.</w:t>
            </w:r>
          </w:p>
          <w:p>
            <w:pPr>
              <w:pStyle w:val="Normal"/>
              <w:spacing w:before="0" w:after="140"/>
              <w:rPr/>
            </w:pPr>
            <w:r>
              <w:rPr>
                <w:rFonts w:cs="Arial" w:ascii="Arial" w:hAnsi="Arial"/>
                <w:b/>
              </w:rPr>
              <w:t>Atovaquone</w:t>
            </w:r>
            <w:r>
              <w:rPr>
                <w:rFonts w:cs="Arial" w:ascii="Arial" w:hAnsi="Arial"/>
              </w:rPr>
              <w:t>: N/A.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cs="Arial" w:ascii="Arial" w:hAnsi="Arial"/>
                <w:b/>
              </w:rPr>
              <w:t>Mefloquine</w:t>
            </w:r>
            <w:r>
              <w:rPr>
                <w:rFonts w:cs="Arial" w:ascii="Arial" w:hAnsi="Arial"/>
              </w:rPr>
              <w:t xml:space="preserve">: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  <w:p>
            <w:pPr>
              <w:pStyle w:val="Normal"/>
              <w:rPr>
                <w:rFonts w:ascii="Arial" w:hAnsi="Arial" w:cs="Arial"/>
                <w:b/>
                <w:szCs w:val="22"/>
              </w:rPr>
            </w:pPr>
            <w:r>
              <w:rPr>
                <w:rFonts w:cs="Arial" w:ascii="Arial" w:hAnsi="Arial"/>
                <w:b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Cs w:val="22"/>
              </w:rPr>
            </w:pPr>
            <w:r>
              <w:rPr>
                <w:rFonts w:cs="Arial" w:ascii="Arial" w:hAnsi="Arial"/>
                <w:b/>
                <w:szCs w:val="22"/>
              </w:rPr>
              <w:t>Current Medication:</w:t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Medication Table</w:t>
            </w:r>
            <w:r/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</w:rPr>
              <w:t>Comments from the Medication Review field</w:t>
            </w:r>
            <w:r>
              <w:rPr>
                <w:rFonts w:cs="Arial" w:ascii="Arial" w:hAnsi="Arial"/>
              </w:rPr>
              <w:t xml:space="preserve">: </w:t>
            </w: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- 8B3V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- 8B3V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OTC medication inputted into the Antimalarial Contraindication Questionnaire</w:t>
            </w:r>
            <w:r>
              <w:rPr>
                <w:rFonts w:cs="Arial" w:ascii="Arial" w:hAnsi="Arial"/>
              </w:rPr>
              <w:t xml:space="preserve">: </w:t>
            </w: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- 8B3L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- 8B3L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you pregnant?</w:t>
            </w:r>
          </w:p>
        </w:tc>
        <w:tc>
          <w:tcPr>
            <w:tcW w:w="606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EMISNQNO14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EMISNQNO14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- 621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restart"/>
            <w:tcBorders>
              <w:top w:val="single" w:sz="12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breastfeeding?</w:t>
            </w:r>
          </w:p>
        </w:tc>
        <w:tc>
          <w:tcPr>
            <w:tcW w:w="60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4111" w:type="dxa"/>
            <w:vMerge w:val="continue"/>
            <w:tcBorders>
              <w:top w:val="single" w:sz="12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06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DMS4570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567" w:right="567" w:gutter="0" w:header="567" w:top="623" w:footer="567" w:bottom="6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5"/>
      <w:ind w:hanging="0" w:start="0"/>
      <w:rPr>
        <w:rFonts w:ascii="Arial" w:hAnsi="Arial" w:cs="Arial"/>
        <w:bCs/>
        <w:sz w:val="18"/>
        <w:szCs w:val="18"/>
        <w:u w:val="none"/>
      </w:rPr>
    </w:pPr>
    <w:r>
      <w:rPr>
        <w:rFonts w:cs="Arial" w:ascii="Arial" w:hAnsi="Arial"/>
        <w:bCs/>
        <w:sz w:val="18"/>
        <w:szCs w:val="18"/>
        <w:u w:val="none"/>
      </w:rPr>
      <w:t xml:space="preserve">Autopopulated Malaria Health Questionnaire </w:t>
      <w:tab/>
      <w:tab/>
      <w:tab/>
      <w:tab/>
      <w:tab/>
      <w:tab/>
      <w:tab/>
      <w:tab/>
      <w:tab/>
      <w:t xml:space="preserve">        August 2016</w:t>
    </w:r>
  </w:p>
  <w:p>
    <w:pPr>
      <w:pStyle w:val="Normal"/>
      <w:rPr>
        <w:rFonts w:ascii="Arial" w:hAnsi="Arial" w:cs="Arial"/>
      </w:rPr>
    </w:pPr>
    <w:r>
      <w:rPr>
        <w:rFonts w:cs="Arial" w:ascii="Arial" w:hAnsi="Arial"/>
      </w:rPr>
      <w:t>Version 1.1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3772535</wp:posOffset>
              </wp:positionH>
              <wp:positionV relativeFrom="paragraph">
                <wp:posOffset>93980</wp:posOffset>
              </wp:positionV>
              <wp:extent cx="71120" cy="14605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7.4pt;mso-position-vertical-relative:text;margin-left:297.0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</w:rPr>
                    </w:pPr>
                    <w:r>
                      <w:rPr>
                        <w:rStyle w:val="PageNumber"/>
                        <w:rFonts w:cs="Arial" w:ascii="Arial" w:hAnsi="Arial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18"/>
      </w:rPr>
      <w:t>OFFICIAL SENSITIVE PERSONAL - MEDICAL IN CONFIDENCE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edication_T_1" w:val="C,A|3|ALL"/>
    <w:docVar w:name="PCS_DOCUMENT_NAME" w:val="Malaria_Questionnaire_Autopopulated_v1_0.dot"/>
    <w:docVar w:name="PCS_HANDLE" w:val="131268"/>
    <w:docVar w:name="PCS_MSG" w:val="49533"/>
    <w:docVar w:name="Read_Code_F_1" w:val="PCS15089MA1|Malarial Health Questionnaire Completed|1|T,H"/>
    <w:docVar w:name="Read_Code_F_10" w:val="7840|Total excision of spleen|1|T,H"/>
    <w:docVar w:name="Read_Code_F_11" w:val="NEGATION-14A|Not - H/O: cardiovascular disease|1|D,H"/>
    <w:docVar w:name="Read_Code_F_12" w:val="14A|H/O: cardiovascular disease|2|D,T,H"/>
    <w:docVar w:name="Read_Code_F_13" w:val="14A|H/O: cardiovascular disease|1|T,H"/>
    <w:docVar w:name="Read_Code_F_14" w:val="PCS15089TH12|The patient has no impairment of liver function|1|D,H"/>
    <w:docVar w:name="Read_Code_F_15" w:val="PCS15089TH10|The patient has severe impairment of liver function|2|D,T,H"/>
    <w:docVar w:name="Read_Code_F_16" w:val="PCS15089TH10|The patient has severe impairment of liver function|1|T,H"/>
    <w:docVar w:name="Read_Code_F_17" w:val="NEGATION-TJ144|Not - Adverse reaction to quinine|1|D,H"/>
    <w:docVar w:name="Read_Code_F_18" w:val="TJ144|Adverse reaction to quinine|2|D,T,H"/>
    <w:docVar w:name="Read_Code_F_19" w:val="TJ144|Adverse reaction to quinine|1|T,H"/>
    <w:docVar w:name="Read_Code_F_2" w:val="1413|H/O: malaria|2|D,T,H"/>
    <w:docVar w:name="Read_Code_F_20" w:val="NEGATION-M1274|Not - Photosensitiveness|1|D,H"/>
    <w:docVar w:name="Read_Code_F_21" w:val="M1274|Photosensitiveness|2|D,T,H"/>
    <w:docVar w:name="Read_Code_F_22" w:val="M1274|Photosensitiveness|1|T,H"/>
    <w:docVar w:name="Read_Code_F_23" w:val="PCS15089TH16|The patient is not known to suffer from intestinal disaccharidase deficiency and or fructose intolerance|1|D,H"/>
    <w:docVar w:name="Read_Code_F_24" w:val="PCS15089TH15|The patient is known to suffer from intestinal disaccharidase deficiency and or fructose intolerance|2|D,T,H"/>
    <w:docVar w:name="Read_Code_F_25" w:val="PCS15089TH15|The patient is known to suffer from intestinal disaccharidase deficiency and or fructose intolerance|1|T,H"/>
    <w:docVar w:name="Read_Code_F_26" w:val="PCS15089TH18|The patient has no known hypersensitivity to Doxycycline or any of its ingredients |1|D,H"/>
    <w:docVar w:name="Read_Code_F_27" w:val="PCS15089TH17|The patient has a history of hypersensitivity to Doxycycline and or its ingredients|2|D,T,H"/>
    <w:docVar w:name="Read_Code_F_28" w:val="PCS15089TH17|The patient has a history of hypersensitivity to Doxycycline and or its ingredients|1|T,H"/>
    <w:docVar w:name="Read_Code_F_29" w:val="NEGATION-C310-2|Not - Glucose-6-phosphate deficiency|1|D,H"/>
    <w:docVar w:name="Read_Code_F_3" w:val="1413|H/O: malaria|1|T,H"/>
    <w:docVar w:name="Read_Code_F_30" w:val="C310-2|Glucose-6-phosphate deficiency|2|D,T,H"/>
    <w:docVar w:name="Read_Code_F_31" w:val="C310-2|Glucose-6-phosphate deficiency|1|T,H"/>
    <w:docVar w:name="Read_Code_F_32" w:val="NEGATION-14F2|Not - H/O: psoriasis|1|D,H"/>
    <w:docVar w:name="Read_Code_F_33" w:val="14F2|H/O: psoriasis|2|D,T,H"/>
    <w:docVar w:name="Read_Code_F_34" w:val="14F2|H/O: psoriasis|1|T,H"/>
    <w:docVar w:name="Read_Code_F_35" w:val="PCS15089TH7|The patient has no history of mental illness and or convulsions|1|D,H"/>
    <w:docVar w:name="Read_Code_F_36" w:val="PCS15089TH6|The patient has a history mental illness and or convulsions|2|D,T,H"/>
    <w:docVar w:name="Read_Code_F_37" w:val="PCS15089TH6|The patient has a history mental illness and or convulsions|1|T,H"/>
    <w:docVar w:name="Read_Code_F_38" w:val="NEGATION-1473|Not - H/O: epilepsy|1|D,H"/>
    <w:docVar w:name="Read_Code_F_39" w:val="1473|H/O: epilepsy|2|D,T,H"/>
    <w:docVar w:name="Read_Code_F_4" w:val="NEGATION-1413|Not - H/O: malaria|1|D,H"/>
    <w:docVar w:name="Read_Code_F_40" w:val="1473|H/O: epilepsy|1|T,H"/>
    <w:docVar w:name="Read_Code_F_41" w:val="PCS15089TH22|The patient has no known hypersensitivity to Chloroquine and or Proguanil and or its ingredients|1|D,H"/>
    <w:docVar w:name="Read_Code_F_42" w:val="PCS15089TH21|The patient has a history of hypersensitivity to Chloroquine and or Proguanil and or its ingredients|2|D,T,H"/>
    <w:docVar w:name="Read_Code_F_43" w:val="PCS15089TH21|The patient has a history of hypersensitivity to Chloroquine and or Proguanil and or its ingredients|1|T,H"/>
    <w:docVar w:name="Read_Code_F_44" w:val="PCS15089TH20|The patient is not taking amiodarone|1|D,H"/>
    <w:docVar w:name="Read_Code_F_45" w:val="PCS15089TH19|The patient is currently taking amiodarone|2|D,T,H"/>
    <w:docVar w:name="Read_Code_F_46" w:val="PCS15089TH19|The patient is currently taking amiodarone|1|T,H"/>
    <w:docVar w:name="Read_Code_F_47" w:val="PCS15089TH24|The patient has no known hypersensitivity to Atovaquone or Proguanil and or its ingredients|1|D,H"/>
    <w:docVar w:name="Read_Code_F_48" w:val="PCS15089TH23|The patient has a known hypersensitivity to Atovaquone or Proguanil and or its ingredients|2|D,T,H"/>
    <w:docVar w:name="Read_Code_F_49" w:val="PCS15089TH23|The patient has a known hypersensitivity to Atovaquone or Proguanil and or its ingredients|1|T,H"/>
    <w:docVar w:name="Read_Code_F_5" w:val="NEGATION-14D-2|Not - H/O: renal disease|1|D,H"/>
    <w:docVar w:name="Read_Code_F_50" w:val="PCS15089TH14|The patient is not receiving halofantrine|1|D,H"/>
    <w:docVar w:name="Read_Code_F_51" w:val="PCS15089TH13|The patient is currently receiving halofantrine|2|D,T,H"/>
    <w:docVar w:name="Read_Code_F_52" w:val="PCS15089TH13|The patient is currently receiving halofantrine|1|T,H"/>
    <w:docVar w:name="Read_Code_F_53" w:val="PCS15089TH9|The patient has no history of Blackwater fever|1|D,H"/>
    <w:docVar w:name="Read_Code_F_54" w:val="PCS15089TH8|The patient has a history of Blackwater fever|2|D,T,H"/>
    <w:docVar w:name="Read_Code_F_55" w:val="PCS15089TH8|The patient has a history of Blackwater fever|1|T,H"/>
    <w:docVar w:name="Read_Code_F_56" w:val="PCS15089TH5|The patient has no known hypersensitivity to mefloquine or related compounds|1|D,H"/>
    <w:docVar w:name="Read_Code_F_57" w:val="PCS15089TH4|The patient is known to be hypersensitive to mefloquine or related compounds|2|D,T,H"/>
    <w:docVar w:name="Read_Code_F_58" w:val="PCS15089TH4|The patient is known to be hypersensitive to mefloquine or related compounds|1|T,H"/>
    <w:docVar w:name="Read_Code_F_59" w:val="RAFTBAI5|Airmen (Aircrew)|2|D,T,H"/>
    <w:docVar w:name="Read_Code_F_6" w:val="14D-2|H/O: renal disease|2|D,T,H"/>
    <w:docVar w:name="Read_Code_F_60" w:val="RAFTBAI5|Airmen (Aircrew)|1|T,H"/>
    <w:docVar w:name="Read_Code_F_61" w:val="NEGATION-1465|Not - H/O: depression|1|D,H"/>
    <w:docVar w:name="Read_Code_F_62" w:val="1465|H/O: depression|2|D,T,H"/>
    <w:docVar w:name="Read_Code_F_63" w:val="1465|H/O: depression|1|T,H"/>
    <w:docVar w:name="Read_Code_F_64" w:val="1I4|No evidence of mental illness|1|D,H"/>
    <w:docVar w:name="Read_Code_F_65" w:val="ZV11|[V]Personal history of mental disorder|2|D,T,H"/>
    <w:docVar w:name="Read_Code_F_66" w:val="ZV11|[V]Personal history of mental disorder|1|T,H"/>
    <w:docVar w:name="Read_Code_F_67" w:val="8B3V|Medication review done|1|A,H"/>
    <w:docVar w:name="Read_Code_F_68" w:val="8B3V|Medication review done|1|T,H"/>
    <w:docVar w:name="Read_Code_F_69" w:val="8B3L|Patient treated with OTC (over the counter) medication|1|A,H"/>
    <w:docVar w:name="Read_Code_F_7" w:val="14D-2|H/O: renal disease|1|T,H"/>
    <w:docVar w:name="Read_Code_F_70" w:val="8B3L|Patient treated with OTC (over the counter) medication|1|T,H"/>
    <w:docVar w:name="Read_Code_F_71" w:val="EMISNQNO14|Not pregnant|1|D,H"/>
    <w:docVar w:name="Read_Code_F_72" w:val="EMISNQNO14|Not pregnant|1|T,H"/>
    <w:docVar w:name="Read_Code_F_73" w:val="621|Patient currently pregnant|2|D,T,H"/>
    <w:docVar w:name="Read_Code_F_74" w:val="621|Patient currently pregnant|1|T,H"/>
    <w:docVar w:name="Read_Code_F_75" w:val="DMS4571|Patient states they are not breastfeeding|1|D,H"/>
    <w:docVar w:name="Read_Code_F_76" w:val="DMS4571|Patient states they are not breastfeeding|1|T,H"/>
    <w:docVar w:name="Read_Code_F_77" w:val="DMS4570|Patient states they are breastfeeding|2|D,T,H"/>
    <w:docVar w:name="Read_Code_F_78" w:val="DMS4570|Patient states they are breastfeeding|1|T,H"/>
    <w:docVar w:name="Read_Code_F_79" w:val="14C5|H/O: liver disease|2|D,T,H"/>
    <w:docVar w:name="Read_Code_F_8" w:val="NEGATION-7840|Not - Total excision of spleen|1|D,H"/>
    <w:docVar w:name="Read_Code_F_80" w:val="NEGATION-14C5|Not - H/O: liver disease|1|D,H"/>
    <w:docVar w:name="Read_Code_F_9" w:val="7840|Total excision of spleen|2|D,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outlineLvl w:val="0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  <w:u w:val="single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Malaria_Questionnaire_Autopopulated_v1_0.dot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2016-09-01T22:45:00Z</dcterms:created>
  <dc:creator>smithd391</dc:creator>
  <dc:description/>
  <cp:keywords/>
  <dc:language>en-GB</dc:language>
  <cp:lastModifiedBy>Johnstone, Thomas Maj</cp:lastModifiedBy>
  <cp:lastPrinted>2011-12-07T15:52:00Z</cp:lastPrinted>
  <dcterms:modified xsi:type="dcterms:W3CDTF">2016-09-01T22:45:00Z</dcterms:modified>
  <cp:revision>2</cp:revision>
  <dc:subject/>
  <dc:title>HEALTH QUESTIONNAIRE FOR MALARIAL CHEMOPROPHYLAXIS</dc:title>
</cp:coreProperties>
</file>