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5"/>
        <w:ind w:hanging="0" w:start="0"/>
        <w:rPr>
          <w:rFonts w:ascii="Arial" w:hAnsi="Arial" w:cs="Arial"/>
          <w:b/>
          <w:bCs/>
          <w:sz w:val="10"/>
          <w:szCs w:val="22"/>
          <w:u w:val="none"/>
        </w:rPr>
      </w:pPr>
      <w:r>
        <w:rPr>
          <w:rFonts w:cs="Arial" w:ascii="Arial" w:hAnsi="Arial"/>
          <w:b/>
          <w:bCs/>
          <w:sz w:val="10"/>
          <w:szCs w:val="22"/>
          <w:u w:val="none"/>
        </w:rPr>
      </w:r>
    </w:p>
    <w:p>
      <w:pPr>
        <w:pStyle w:val="Heading5"/>
        <w:ind w:hanging="0" w:start="0"/>
        <w:rPr>
          <w:rFonts w:ascii="Arial" w:hAnsi="Arial" w:cs="Arial"/>
          <w:b/>
          <w:bCs/>
          <w:sz w:val="22"/>
          <w:szCs w:val="22"/>
          <w:u w:val="none"/>
        </w:rPr>
      </w:pPr>
      <w:r>
        <w:rPr>
          <w:rFonts w:cs="Arial" w:ascii="Arial" w:hAnsi="Arial"/>
          <w:b/>
          <w:bCs/>
          <w:sz w:val="22"/>
          <w:szCs w:val="22"/>
          <w:u w:val="none"/>
        </w:rPr>
        <w:t>MALARIA HEALTH QUESTIONNAIRE</w:t>
      </w:r>
    </w:p>
    <w:p>
      <w:pPr>
        <w:pStyle w:val="Normal"/>
        <w:rPr>
          <w:rFonts w:ascii="Arial" w:hAnsi="Arial" w:cs="Arial"/>
          <w:b/>
          <w:bCs/>
          <w:sz w:val="10"/>
          <w:szCs w:val="22"/>
          <w:u w:val="single"/>
        </w:rPr>
      </w:pPr>
      <w:r>
        <w:rPr>
          <w:rFonts w:cs="Arial" w:ascii="Arial" w:hAnsi="Arial"/>
          <w:b/>
          <w:bCs/>
          <w:sz w:val="10"/>
          <w:szCs w:val="22"/>
          <w:u w:val="single"/>
        </w:rPr>
      </w:r>
    </w:p>
    <w:p>
      <w:pPr>
        <w:pStyle w:val="BodyText"/>
        <w:rPr>
          <w:rFonts w:ascii="Arial" w:hAnsi="Arial" w:cs="Arial"/>
          <w:b/>
          <w:sz w:val="22"/>
          <w:szCs w:val="22"/>
        </w:rPr>
      </w:pP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22"/>
          <w:b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szCs w:val="22"/>
        </w:rPr>
      </w:r>
      <w:r>
        <w:rPr>
          <w:sz w:val="22"/>
          <w:b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szCs w:val="22"/>
        </w:rPr>
        <w:t>Service Number</w:t>
      </w:r>
      <w:r>
        <w:rPr>
          <w:rFonts w:cs="Arial" w:ascii="Arial" w:hAnsi="Arial"/>
          <w:b/>
          <w:sz w:val="22"/>
          <w:szCs w:val="22"/>
        </w:rPr>
      </w:r>
      <w:r>
        <w:rPr>
          <w:sz w:val="22"/>
          <w:b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szCs w:val="22"/>
        </w:rPr>
        <w:t xml:space="preserve"> </w:t>
      </w:r>
      <w:r>
        <w:fldChar w:fldCharType="begin">
          <w:ffData>
            <w:name w:val="Name_1"/>
            <w:enabled/>
            <w:calcOnExit w:val="0"/>
            <w:textInput/>
          </w:ffData>
        </w:fldChar>
      </w:r>
      <w:r>
        <w:rPr>
          <w:sz w:val="22"/>
          <w:b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szCs w:val="22"/>
        </w:rPr>
      </w:r>
      <w:r>
        <w:rPr>
          <w:sz w:val="22"/>
          <w:b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szCs w:val="22"/>
        </w:rPr>
        <w:t>Name</w:t>
      </w:r>
      <w:r/>
      <w:r>
        <w:rPr>
          <w:sz w:val="22"/>
          <w:b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szCs w:val="22"/>
        </w:rPr>
      </w:r>
    </w:p>
    <w:p>
      <w:pPr>
        <w:pStyle w:val="BodyTex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Unit: </w:t>
      </w:r>
      <w:r>
        <w:fldChar w:fldCharType="begin">
          <w:ffData>
            <w:name w:val="Sub_Unit_1"/>
            <w:enabled/>
            <w:calcOnExit w:val="0"/>
            <w:textInput/>
          </w:ffData>
        </w:fldChar>
      </w:r>
      <w:r>
        <w:rPr>
          <w:sz w:val="22"/>
          <w:b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szCs w:val="22"/>
        </w:rPr>
      </w:r>
      <w:r>
        <w:rPr>
          <w:sz w:val="22"/>
          <w:b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szCs w:val="22"/>
        </w:rPr>
        <w:t>Organisation Name</w:t>
      </w:r>
      <w:r/>
      <w:r>
        <w:rPr>
          <w:sz w:val="22"/>
          <w:b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szCs w:val="22"/>
        </w:rPr>
      </w:r>
    </w:p>
    <w:p>
      <w:pPr>
        <w:pStyle w:val="BodyTex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Mobile number: </w:t>
      </w:r>
      <w:r>
        <w:fldChar w:fldCharType="begin">
          <w:ffData>
            <w:name w:val="Mobile_Telephone_1"/>
            <w:enabled/>
            <w:calcOnExit w:val="0"/>
            <w:textInput/>
          </w:ffData>
        </w:fldChar>
      </w:r>
      <w:r>
        <w:rPr>
          <w:sz w:val="22"/>
          <w:b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szCs w:val="22"/>
        </w:rPr>
      </w:r>
      <w:r>
        <w:rPr>
          <w:sz w:val="22"/>
          <w:b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szCs w:val="22"/>
        </w:rPr>
        <w:t>Mobile Telephone</w:t>
      </w:r>
      <w:r/>
      <w:r>
        <w:rPr>
          <w:sz w:val="22"/>
          <w:b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szCs w:val="22"/>
        </w:rPr>
      </w:r>
    </w:p>
    <w:p>
      <w:pPr>
        <w:pStyle w:val="BodyTex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This proforma was generated by </w:t>
      </w: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User Title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User Name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on </w:t>
      </w: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/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</w:r>
    </w:p>
    <w:p>
      <w:pPr>
        <w:pStyle w:val="BodyTex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1083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14"/>
        <w:gridCol w:w="4597"/>
        <w:gridCol w:w="567"/>
        <w:gridCol w:w="567"/>
        <w:gridCol w:w="4490"/>
      </w:tblGrid>
      <w:tr>
        <w:trPr/>
        <w:tc>
          <w:tcPr>
            <w:tcW w:w="614" w:type="dxa"/>
            <w:tcBorders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97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Questions</w:t>
            </w:r>
          </w:p>
        </w:tc>
        <w:tc>
          <w:tcPr>
            <w:tcW w:w="567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Cs w:val="22"/>
              </w:rPr>
            </w:pPr>
            <w:r>
              <w:rPr>
                <w:rFonts w:cs="Arial" w:ascii="Arial" w:hAnsi="Arial"/>
                <w:szCs w:val="22"/>
              </w:rPr>
              <w:t>Yes</w:t>
            </w:r>
          </w:p>
        </w:tc>
        <w:tc>
          <w:tcPr>
            <w:tcW w:w="567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rPr>
                <w:rFonts w:ascii="Arial" w:hAnsi="Arial" w:cs="Arial"/>
                <w:szCs w:val="22"/>
              </w:rPr>
            </w:pPr>
            <w:r>
              <w:rPr>
                <w:rFonts w:cs="Arial" w:ascii="Arial" w:hAnsi="Arial"/>
                <w:szCs w:val="22"/>
              </w:rPr>
              <w:t>No</w:t>
            </w:r>
          </w:p>
        </w:tc>
        <w:tc>
          <w:tcPr>
            <w:tcW w:w="4490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  <w:szCs w:val="22"/>
              </w:rPr>
            </w:pPr>
            <w:r>
              <w:rPr>
                <w:rFonts w:cs="Arial" w:ascii="Arial" w:hAnsi="Arial"/>
                <w:szCs w:val="22"/>
              </w:rPr>
              <w:t>Remarks</w:t>
            </w:r>
          </w:p>
        </w:tc>
      </w:tr>
      <w:tr>
        <w:trPr/>
        <w:tc>
          <w:tcPr>
            <w:tcW w:w="614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ind w:start="113" w:end="113"/>
              <w:jc w:val="end"/>
              <w:rPr/>
            </w:pPr>
            <w:r>
              <w:rPr>
                <w:rFonts w:cs="Arial" w:ascii="Arial" w:hAnsi="Arial"/>
                <w:sz w:val="22"/>
                <w:szCs w:val="22"/>
              </w:rPr>
              <w:t xml:space="preserve">Applicable to </w:t>
            </w:r>
            <w:r>
              <w:rPr>
                <w:rFonts w:cs="Arial" w:ascii="Arial" w:hAnsi="Arial"/>
                <w:b/>
                <w:sz w:val="22"/>
                <w:szCs w:val="22"/>
              </w:rPr>
              <w:t>ALL</w:t>
            </w:r>
            <w:r>
              <w:rPr>
                <w:rFonts w:cs="Arial" w:ascii="Arial" w:hAnsi="Arial"/>
                <w:sz w:val="22"/>
                <w:szCs w:val="22"/>
              </w:rPr>
              <w:t xml:space="preserve"> antimalarials</w:t>
            </w:r>
          </w:p>
        </w:tc>
        <w:tc>
          <w:tcPr>
            <w:tcW w:w="4597" w:type="dxa"/>
            <w:tcBorders>
              <w:top w:val="single" w:sz="18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malaria?</w:t>
            </w:r>
          </w:p>
        </w:tc>
        <w:tc>
          <w:tcPr>
            <w:tcW w:w="567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 w:val="22"/>
                <w:szCs w:val="22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Cs w:val="22"/>
              </w:rPr>
            </w:pPr>
            <w:r>
              <w:rPr>
                <w:rFonts w:cs="Arial" w:ascii="Arial" w:hAnsi="Arial"/>
                <w:color w:val="808080"/>
                <w:szCs w:val="22"/>
              </w:rPr>
            </w:r>
          </w:p>
        </w:tc>
        <w:tc>
          <w:tcPr>
            <w:tcW w:w="4490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Cs w:val="22"/>
              </w:rPr>
            </w:pPr>
            <w:r>
              <w:rPr>
                <w:rFonts w:cs="Arial" w:ascii="Arial" w:hAnsi="Arial"/>
                <w:color w:val="808080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color w:val="808080"/>
                <w:szCs w:val="22"/>
              </w:rPr>
            </w:pPr>
            <w:r>
              <w:rPr>
                <w:rFonts w:cs="Arial" w:ascii="Arial" w:hAnsi="Arial"/>
                <w:color w:val="808080"/>
                <w:szCs w:val="22"/>
              </w:rPr>
            </w:r>
          </w:p>
        </w:tc>
      </w:tr>
      <w:tr>
        <w:trPr/>
        <w:tc>
          <w:tcPr>
            <w:tcW w:w="614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597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any problems with your kidneys?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 w:val="22"/>
                <w:szCs w:val="22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Cs w:val="22"/>
              </w:rPr>
            </w:pPr>
            <w:r>
              <w:rPr>
                <w:rFonts w:cs="Arial" w:ascii="Arial" w:hAnsi="Arial"/>
                <w:color w:val="808080"/>
                <w:szCs w:val="22"/>
              </w:rPr>
            </w:r>
          </w:p>
        </w:tc>
        <w:tc>
          <w:tcPr>
            <w:tcW w:w="449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Cs w:val="22"/>
              </w:rPr>
            </w:pPr>
            <w:r>
              <w:rPr>
                <w:rFonts w:cs="Arial" w:ascii="Arial" w:hAnsi="Arial"/>
                <w:color w:val="808080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color w:val="808080"/>
                <w:szCs w:val="22"/>
              </w:rPr>
            </w:pPr>
            <w:r>
              <w:rPr>
                <w:rFonts w:cs="Arial" w:ascii="Arial" w:hAnsi="Arial"/>
                <w:color w:val="808080"/>
                <w:szCs w:val="22"/>
              </w:rPr>
            </w:r>
          </w:p>
        </w:tc>
      </w:tr>
      <w:tr>
        <w:trPr/>
        <w:tc>
          <w:tcPr>
            <w:tcW w:w="614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597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had your spleen removed?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 w:val="22"/>
                <w:szCs w:val="22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  <w:tc>
          <w:tcPr>
            <w:tcW w:w="449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</w:tr>
      <w:tr>
        <w:trPr/>
        <w:tc>
          <w:tcPr>
            <w:tcW w:w="614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597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any heart problems?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 w:val="22"/>
                <w:szCs w:val="22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  <w:tc>
          <w:tcPr>
            <w:tcW w:w="449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</w:tr>
      <w:tr>
        <w:trPr/>
        <w:tc>
          <w:tcPr>
            <w:tcW w:w="614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597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any liver problems?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 w:val="22"/>
                <w:szCs w:val="22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  <w:tc>
          <w:tcPr>
            <w:tcW w:w="449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</w:tr>
      <w:tr>
        <w:trPr/>
        <w:tc>
          <w:tcPr>
            <w:tcW w:w="614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597" w:type="dxa"/>
            <w:tcBorders>
              <w:top w:val="single" w:sz="12" w:space="0" w:color="000000"/>
              <w:start w:val="single" w:sz="12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allergic to quinine?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 w:val="22"/>
                <w:szCs w:val="22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  <w:tc>
          <w:tcPr>
            <w:tcW w:w="449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</w:tr>
      <w:tr>
        <w:trPr/>
        <w:tc>
          <w:tcPr>
            <w:tcW w:w="614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ind w:start="113" w:end="113"/>
              <w:jc w:val="end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Doxycycline</w:t>
            </w:r>
          </w:p>
        </w:tc>
        <w:tc>
          <w:tcPr>
            <w:tcW w:w="4597" w:type="dxa"/>
            <w:tcBorders>
              <w:top w:val="single" w:sz="18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a rash caused by sunlight?</w:t>
            </w:r>
          </w:p>
        </w:tc>
        <w:tc>
          <w:tcPr>
            <w:tcW w:w="567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 w:val="22"/>
                <w:szCs w:val="22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  <w:tc>
          <w:tcPr>
            <w:tcW w:w="4490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</w:tr>
      <w:tr>
        <w:trPr/>
        <w:tc>
          <w:tcPr>
            <w:tcW w:w="614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597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Do you suffer from intestinal disaccharidase deficiency or fructose intolerance? 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 w:val="22"/>
                <w:szCs w:val="22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  <w:tc>
          <w:tcPr>
            <w:tcW w:w="449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</w:tr>
      <w:tr>
        <w:trPr/>
        <w:tc>
          <w:tcPr>
            <w:tcW w:w="614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597" w:type="dxa"/>
            <w:tcBorders>
              <w:top w:val="single" w:sz="12" w:space="0" w:color="000000"/>
              <w:start w:val="single" w:sz="12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allergic to doxycycline?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 w:val="22"/>
                <w:szCs w:val="22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  <w:tc>
          <w:tcPr>
            <w:tcW w:w="449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</w:tr>
      <w:tr>
        <w:trPr/>
        <w:tc>
          <w:tcPr>
            <w:tcW w:w="614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ind w:start="113" w:end="113"/>
              <w:jc w:val="end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Chloroquine, Proguanil and Atovaquone</w:t>
            </w:r>
          </w:p>
        </w:tc>
        <w:tc>
          <w:tcPr>
            <w:tcW w:w="4597" w:type="dxa"/>
            <w:tcBorders>
              <w:top w:val="single" w:sz="18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Do you have Glucose 6 Phosphate Dehydrogenase (G6PD) deficiency?</w:t>
            </w:r>
          </w:p>
        </w:tc>
        <w:tc>
          <w:tcPr>
            <w:tcW w:w="567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 w:val="22"/>
                <w:szCs w:val="22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  <w:tc>
          <w:tcPr>
            <w:tcW w:w="4490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</w:tr>
      <w:tr>
        <w:trPr/>
        <w:tc>
          <w:tcPr>
            <w:tcW w:w="614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597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psoriasis?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 w:val="22"/>
                <w:szCs w:val="22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  <w:tc>
          <w:tcPr>
            <w:tcW w:w="449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</w:tr>
      <w:tr>
        <w:trPr/>
        <w:tc>
          <w:tcPr>
            <w:tcW w:w="614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597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a convulsion, fit, seizure or epilepsy?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 w:val="22"/>
                <w:szCs w:val="22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  <w:tc>
          <w:tcPr>
            <w:tcW w:w="449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</w:tr>
      <w:tr>
        <w:trPr/>
        <w:tc>
          <w:tcPr>
            <w:tcW w:w="614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597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allergic to chloroquine or proguanil?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 w:val="22"/>
                <w:szCs w:val="22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  <w:tc>
          <w:tcPr>
            <w:tcW w:w="449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</w:tr>
      <w:tr>
        <w:trPr/>
        <w:tc>
          <w:tcPr>
            <w:tcW w:w="614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597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currently taking amiodarone?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 w:val="22"/>
                <w:szCs w:val="22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  <w:tc>
          <w:tcPr>
            <w:tcW w:w="449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</w:tr>
      <w:tr>
        <w:trPr/>
        <w:tc>
          <w:tcPr>
            <w:tcW w:w="614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597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allergic to atovaquone or proguanil (Malarone)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 w:val="22"/>
                <w:szCs w:val="22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  <w:tc>
          <w:tcPr>
            <w:tcW w:w="449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</w:tr>
      <w:tr>
        <w:trPr/>
        <w:tc>
          <w:tcPr>
            <w:tcW w:w="614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ind w:start="113" w:end="113"/>
              <w:jc w:val="end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Mefloquine</w:t>
            </w:r>
          </w:p>
        </w:tc>
        <w:tc>
          <w:tcPr>
            <w:tcW w:w="4597" w:type="dxa"/>
            <w:tcBorders>
              <w:top w:val="single" w:sz="18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any mental health problems?</w:t>
            </w:r>
          </w:p>
        </w:tc>
        <w:tc>
          <w:tcPr>
            <w:tcW w:w="567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 w:val="22"/>
                <w:szCs w:val="22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  <w:tc>
          <w:tcPr>
            <w:tcW w:w="4490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</w:tr>
      <w:tr>
        <w:trPr/>
        <w:tc>
          <w:tcPr>
            <w:tcW w:w="614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597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suffered from depression?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 w:val="22"/>
                <w:szCs w:val="22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  <w:tc>
          <w:tcPr>
            <w:tcW w:w="449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</w:tr>
      <w:tr>
        <w:trPr/>
        <w:tc>
          <w:tcPr>
            <w:tcW w:w="614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597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aircrew?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 w:val="22"/>
                <w:szCs w:val="22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  <w:tc>
          <w:tcPr>
            <w:tcW w:w="449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</w:tr>
      <w:tr>
        <w:trPr/>
        <w:tc>
          <w:tcPr>
            <w:tcW w:w="614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597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allergic to mefloquine (Lariam)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 w:val="22"/>
                <w:szCs w:val="22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  <w:tc>
          <w:tcPr>
            <w:tcW w:w="449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</w:tr>
      <w:tr>
        <w:trPr/>
        <w:tc>
          <w:tcPr>
            <w:tcW w:w="614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597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currently taking halofantrine (a treatment for malaria)?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 w:val="22"/>
                <w:szCs w:val="22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  <w:tc>
          <w:tcPr>
            <w:tcW w:w="449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</w:tr>
      <w:tr>
        <w:trPr/>
        <w:tc>
          <w:tcPr>
            <w:tcW w:w="614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597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suffered from mental illness and/or convulsions?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 w:val="22"/>
                <w:szCs w:val="22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  <w:tc>
          <w:tcPr>
            <w:tcW w:w="449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</w:tr>
      <w:tr>
        <w:trPr>
          <w:trHeight w:val="35" w:hRule="atLeast"/>
        </w:trPr>
        <w:tc>
          <w:tcPr>
            <w:tcW w:w="614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59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Do you have severely impaired liver function?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 w:val="22"/>
                <w:szCs w:val="22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  <w:tc>
          <w:tcPr>
            <w:tcW w:w="449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</w:tr>
      <w:tr>
        <w:trPr/>
        <w:tc>
          <w:tcPr>
            <w:tcW w:w="614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597" w:type="dxa"/>
            <w:tcBorders>
              <w:top w:val="single" w:sz="12" w:space="0" w:color="000000"/>
              <w:start w:val="single" w:sz="12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Blackwater Fever?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  <w:sz w:val="22"/>
                <w:szCs w:val="22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18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  <w:tc>
          <w:tcPr>
            <w:tcW w:w="4490" w:type="dxa"/>
            <w:tcBorders>
              <w:top w:val="single" w:sz="12" w:space="0" w:color="000000"/>
              <w:start w:val="single" w:sz="6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</w:r>
          </w:p>
        </w:tc>
      </w:tr>
      <w:tr>
        <w:trPr>
          <w:trHeight w:val="2705" w:hRule="atLeast"/>
        </w:trPr>
        <w:tc>
          <w:tcPr>
            <w:tcW w:w="61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ind w:start="113" w:end="113"/>
              <w:jc w:val="end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Medication</w:t>
            </w:r>
          </w:p>
        </w:tc>
        <w:tc>
          <w:tcPr>
            <w:tcW w:w="10221" w:type="dxa"/>
            <w:gridSpan w:val="4"/>
            <w:tcBorders>
              <w:top w:val="single" w:sz="18" w:space="0" w:color="000000"/>
              <w:start w:val="single" w:sz="12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pacing w:before="0" w:after="100"/>
              <w:rPr/>
            </w:pPr>
            <w:r>
              <w:rPr>
                <w:rFonts w:cs="Arial" w:ascii="Arial" w:hAnsi="Arial"/>
              </w:rPr>
              <w:t xml:space="preserve">Please write down any </w:t>
            </w:r>
            <w:r>
              <w:rPr>
                <w:rFonts w:cs="Arial" w:ascii="Arial" w:hAnsi="Arial"/>
                <w:b/>
              </w:rPr>
              <w:t>medication</w:t>
            </w:r>
            <w:r>
              <w:rPr>
                <w:rFonts w:cs="Arial" w:ascii="Arial" w:hAnsi="Arial"/>
              </w:rPr>
              <w:t xml:space="preserve"> you are taking, including any </w:t>
            </w:r>
            <w:r>
              <w:rPr>
                <w:rFonts w:cs="Arial" w:ascii="Arial" w:hAnsi="Arial"/>
                <w:b/>
              </w:rPr>
              <w:t>supplements</w:t>
            </w:r>
            <w:r>
              <w:rPr>
                <w:rFonts w:cs="Arial" w:ascii="Arial" w:hAnsi="Arial"/>
              </w:rPr>
              <w:t xml:space="preserve"> and/or "</w:t>
            </w:r>
            <w:r>
              <w:rPr>
                <w:rFonts w:cs="Arial" w:ascii="Arial" w:hAnsi="Arial"/>
                <w:b/>
              </w:rPr>
              <w:t>over the counter</w:t>
            </w:r>
            <w:r>
              <w:rPr>
                <w:rFonts w:cs="Arial" w:ascii="Arial" w:hAnsi="Arial"/>
              </w:rPr>
              <w:t>" medication.</w:t>
            </w:r>
          </w:p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/>
        <w:tc>
          <w:tcPr>
            <w:tcW w:w="614" w:type="dxa"/>
            <w:vMerge w:val="restart"/>
            <w:tcBorders>
              <w:top w:val="single" w:sz="18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597" w:type="dxa"/>
            <w:tcBorders>
              <w:top w:val="single" w:sz="18" w:space="0" w:color="000000"/>
              <w:start w:val="single" w:sz="18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Females only: are you pregnant?</w:t>
            </w:r>
          </w:p>
        </w:tc>
        <w:tc>
          <w:tcPr>
            <w:tcW w:w="567" w:type="dxa"/>
            <w:tcBorders>
              <w:top w:val="single" w:sz="18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8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490" w:type="dxa"/>
            <w:tcBorders>
              <w:top w:val="single" w:sz="18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614" w:type="dxa"/>
            <w:vMerge w:val="continue"/>
            <w:tcBorders>
              <w:top w:val="single" w:sz="18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597" w:type="dxa"/>
            <w:tcBorders>
              <w:top w:val="single" w:sz="12" w:space="0" w:color="000000"/>
              <w:start w:val="single" w:sz="18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Females only: are breastfeeding?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18" w:space="0" w:color="000000"/>
              <w:end w:val="single" w:sz="6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490" w:type="dxa"/>
            <w:tcBorders>
              <w:top w:val="single" w:sz="12" w:space="0" w:color="000000"/>
              <w:start w:val="single" w:sz="6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>For medical centre staff:</w:t>
      </w:r>
      <w:r>
        <w:rPr>
          <w:rFonts w:cs="Arial" w:ascii="Arial" w:hAnsi="Arial"/>
          <w:color w:val="808080"/>
          <w:sz w:val="22"/>
        </w:rPr>
        <w:t xml:space="preserve"> this information is to be inputted into the DMICP Template.  A face to face malaria chemoprophylaxis contraindications check is to be performed by a medical officer, travel medicine trained nurse or pharmacist.</w:t>
      </w:r>
    </w:p>
    <w:sectPr>
      <w:headerReference w:type="default" r:id="rId2"/>
      <w:footerReference w:type="default" r:id="rId3"/>
      <w:type w:val="nextPage"/>
      <w:pgSz w:w="11906" w:h="16838"/>
      <w:pgMar w:left="567" w:right="567" w:gutter="0" w:header="709" w:top="765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5"/>
      <w:ind w:hanging="0" w:start="0"/>
      <w:rPr>
        <w:rFonts w:ascii="Arial" w:hAnsi="Arial" w:cs="Arial"/>
        <w:bCs/>
        <w:sz w:val="18"/>
        <w:szCs w:val="18"/>
        <w:u w:val="none"/>
      </w:rPr>
    </w:pPr>
    <w:r>
      <w:rPr>
        <w:rFonts w:cs="Arial" w:ascii="Arial" w:hAnsi="Arial"/>
        <w:bCs/>
        <w:sz w:val="18"/>
        <w:szCs w:val="18"/>
        <w:u w:val="none"/>
      </w:rPr>
      <w:t>Malaria Health Questionnaire</w:t>
      <w:tab/>
      <w:t xml:space="preserve"> </w:t>
      <w:tab/>
      <w:tab/>
      <w:tab/>
      <w:tab/>
      <w:tab/>
      <w:tab/>
      <w:tab/>
      <w:tab/>
      <w:tab/>
      <w:t xml:space="preserve">        August 2016</w:t>
    </w:r>
  </w:p>
  <w:p>
    <w:pPr>
      <w:pStyle w:val="Normal"/>
      <w:rPr/>
    </w:pPr>
    <w:r>
      <w:rPr>
        <w:rFonts w:cs="Arial" w:ascii="Arial" w:hAnsi="Arial"/>
        <w:sz w:val="18"/>
      </w:rPr>
      <w:t>Version 1.0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page">
                <wp:posOffset>3772535</wp:posOffset>
              </wp:positionH>
              <wp:positionV relativeFrom="paragraph">
                <wp:posOffset>93980</wp:posOffset>
              </wp:positionV>
              <wp:extent cx="6413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Style w:val="PageNumber"/>
                              <w:rFonts w:cs="Arial" w:ascii="Arial" w:hAnsi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8"/>
                              <w:rFonts w:cs="Arial"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8"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18"/>
                              <w:rFonts w:cs="Arial" w:ascii="Arial" w:hAnsi="Arial"/>
                            </w:rPr>
                            <w:t>2</w:t>
                          </w:r>
                          <w:r>
                            <w:rPr>
                              <w:rStyle w:val="PageNumber"/>
                              <w:sz w:val="18"/>
                              <w:rFonts w:cs="Arial" w:ascii="Arial" w:hAnsi="Arial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0.35pt;mso-wrap-distance-left:0pt;mso-wrap-distance-right:0pt;mso-wrap-distance-top:0pt;mso-wrap-distance-bottom:0pt;margin-top:7.4pt;mso-position-vertical-relative:text;margin-left:297.0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  <w:sz w:val="18"/>
                      </w:rPr>
                    </w:pPr>
                    <w:r>
                      <w:rPr>
                        <w:rStyle w:val="PageNumber"/>
                        <w:rFonts w:cs="Arial" w:ascii="Arial" w:hAnsi="Arial"/>
                        <w:sz w:val="18"/>
                      </w:rPr>
                      <w:fldChar w:fldCharType="begin"/>
                    </w:r>
                    <w:r>
                      <w:rPr>
                        <w:rStyle w:val="PageNumber"/>
                        <w:sz w:val="18"/>
                        <w:rFonts w:cs="Arial" w:ascii="Arial" w:hAnsi="Arial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8"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rStyle w:val="PageNumber"/>
                        <w:sz w:val="18"/>
                        <w:rFonts w:cs="Arial" w:ascii="Arial" w:hAnsi="Arial"/>
                      </w:rPr>
                      <w:t>2</w:t>
                    </w:r>
                    <w:r>
                      <w:rPr>
                        <w:rStyle w:val="PageNumber"/>
                        <w:sz w:val="18"/>
                        <w:rFonts w:cs="Arial" w:ascii="Arial" w:hAnsi="Arial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  <w:sz w:val="18"/>
      </w:rPr>
    </w:pPr>
    <w:r>
      <w:rPr>
        <w:rFonts w:cs="Arial" w:ascii="Arial" w:hAnsi="Arial"/>
        <w:sz w:val="18"/>
      </w:rPr>
      <w:t>OFFICIAL SENSITIVE PERSONAL (MEDICAL IN CONFIDENCE) WHEN COMPLETED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edication_T_1" w:val="C,A|3|ALL"/>
    <w:docVar w:name="PCS_DOCUMENT_NAME" w:val="Malaria_Questionnaire_Blank_v1_0.dot"/>
    <w:docVar w:name="PCS_HANDLE" w:val="262732"/>
    <w:docVar w:name="PCS_MSG" w:val="49752"/>
    <w:docVar w:name="Read_Code_F_1" w:val="PCS15089MA1|Malarial Health Questionnaire Completed|1|T,H"/>
    <w:docVar w:name="Read_Code_F_10" w:val="7840|Total excision of spleen|1|T,H"/>
    <w:docVar w:name="Read_Code_F_11" w:val="NEGATION-14A|Not - H/O: cardiovascular disease|1|D,H"/>
    <w:docVar w:name="Read_Code_F_12" w:val="14A|H/O: cardiovascular disease|1|D,H"/>
    <w:docVar w:name="Read_Code_F_13" w:val="14A|H/O: cardiovascular disease|1|T,H"/>
    <w:docVar w:name="Read_Code_F_14" w:val="PCS15089TH12|The patient has no impairment of liver function|1|D,H"/>
    <w:docVar w:name="Read_Code_F_15" w:val="PCS15089TH10|The patient has severe impairment of liver function|1|D,H"/>
    <w:docVar w:name="Read_Code_F_16" w:val="PCS15089TH10|The patient has severe impairment of liver function|1|T,H"/>
    <w:docVar w:name="Read_Code_F_17" w:val="NEGATION-TJ144|Not - Adverse reaction to quinine|1|D,H"/>
    <w:docVar w:name="Read_Code_F_18" w:val="TJ144|Adverse reaction to quinine|1|D,H"/>
    <w:docVar w:name="Read_Code_F_19" w:val="TJ144|Adverse reaction to quinine|1|T,H"/>
    <w:docVar w:name="Read_Code_F_2" w:val="1413|H/O: malaria|1|D,H"/>
    <w:docVar w:name="Read_Code_F_20" w:val="NEGATION-M1274|Not - Photosensitiveness|1|D,H"/>
    <w:docVar w:name="Read_Code_F_21" w:val="M1274|Photosensitiveness|1|D,H"/>
    <w:docVar w:name="Read_Code_F_22" w:val="M1274|Photosensitiveness|1|T,H"/>
    <w:docVar w:name="Read_Code_F_23" w:val="PCS15089TH16|The patient is not known to suffer from intestinal disaccharidase deficiency and or fructose intolerance|1|D,H"/>
    <w:docVar w:name="Read_Code_F_24" w:val="PCS15089TH15|The patient is known to suffer from intestinal disaccharidase deficiency and or fructose intolerance|1|D,H"/>
    <w:docVar w:name="Read_Code_F_25" w:val="PCS15089TH15|The patient is known to suffer from intestinal disaccharidase deficiency and or fructose intolerance|1|T,H"/>
    <w:docVar w:name="Read_Code_F_26" w:val="PCS15089TH18|The patient has no known hypersensitivity to Doxycycline or any of its ingredients |1|D,H"/>
    <w:docVar w:name="Read_Code_F_27" w:val="PCS15089TH17|The patient has a history of hypersensitivity to Doxycycline and or its ingredients|1|D,H"/>
    <w:docVar w:name="Read_Code_F_28" w:val="PCS15089TH17|The patient has a history of hypersensitivity to Doxycycline and or its ingredients|1|T,H"/>
    <w:docVar w:name="Read_Code_F_29" w:val="NEGATION-C310-2|Not - Glucose-6-phosphate deficiency|1|D,H"/>
    <w:docVar w:name="Read_Code_F_3" w:val="1413|H/O: malaria|1|T,H"/>
    <w:docVar w:name="Read_Code_F_30" w:val="C310-2|Glucose-6-phosphate deficiency|1|D,H"/>
    <w:docVar w:name="Read_Code_F_31" w:val="C310-2|Glucose-6-phosphate deficiency|1|T,H"/>
    <w:docVar w:name="Read_Code_F_32" w:val="NEGATION-14F2|Not - H/O: psoriasis|1|D,H"/>
    <w:docVar w:name="Read_Code_F_33" w:val="14F2|H/O: psoriasis|1|D,H"/>
    <w:docVar w:name="Read_Code_F_34" w:val="14F2|H/O: psoriasis|1|T,H"/>
    <w:docVar w:name="Read_Code_F_35" w:val="PCS15089TH7|The patient has no history of mental illness and or convulsions|1|D,H"/>
    <w:docVar w:name="Read_Code_F_36" w:val="PCS15089TH6|The patient has a history mental illness and or convulsions|1|D,H"/>
    <w:docVar w:name="Read_Code_F_37" w:val="PCS15089TH6|The patient has a history mental illness and or convulsions|1|T,H"/>
    <w:docVar w:name="Read_Code_F_38" w:val="NEGATION-1473|Not - H/O: epilepsy|1|D,H"/>
    <w:docVar w:name="Read_Code_F_39" w:val="1473|H/O: epilepsy|1|D,H"/>
    <w:docVar w:name="Read_Code_F_4" w:val="NEGATION-1413|Not - H/O: malaria|1|D,H"/>
    <w:docVar w:name="Read_Code_F_40" w:val="1473|H/O: epilepsy|1|T,H"/>
    <w:docVar w:name="Read_Code_F_41" w:val="PCS15089TH22|The patient has no known hypersensitivity to Chloroquine and or Proguanil and or its ingredients|1|D,H"/>
    <w:docVar w:name="Read_Code_F_42" w:val="PCS15089TH21|The patient has a history of hypersensitivity to Chloroquine and or Proguanil and or its ingredients|1|D,H"/>
    <w:docVar w:name="Read_Code_F_43" w:val="PCS15089TH21|The patient has a history of hypersensitivity to Chloroquine and or Proguanil and or its ingredients|1|T,H"/>
    <w:docVar w:name="Read_Code_F_44" w:val="PCS15089TH20|The patient is not taking amiodarone|1|D,H"/>
    <w:docVar w:name="Read_Code_F_45" w:val="PCS15089TH19|The patient is currently taking amiodarone|1|D,H"/>
    <w:docVar w:name="Read_Code_F_46" w:val="PCS15089TH19|The patient is currently taking amiodarone|1|T,H"/>
    <w:docVar w:name="Read_Code_F_47" w:val="PCS15089TH24|The patient has no known hypersensitivity to Atovaquone or Proguanil and or its ingredients|1|D,H"/>
    <w:docVar w:name="Read_Code_F_48" w:val="PCS15089TH23|The patient has a known hypersensitivity to Atovaquone or Proguanil and or its ingredients|1|D,H"/>
    <w:docVar w:name="Read_Code_F_49" w:val="PCS15089TH23|The patient has a known hypersensitivity to Atovaquone or Proguanil and or its ingredients|1|T,H"/>
    <w:docVar w:name="Read_Code_F_5" w:val="NEGATION-14D-2|Not - H/O: renal disease|1|D,H"/>
    <w:docVar w:name="Read_Code_F_50" w:val="PCS15089TH14|The patient is not receiving halofantrine|1|D,H"/>
    <w:docVar w:name="Read_Code_F_51" w:val="PCS15089TH13|The patient is currently receiving halofantrine|1|D,H"/>
    <w:docVar w:name="Read_Code_F_52" w:val="PCS15089TH13|The patient is currently receiving halofantrine|1|T,H"/>
    <w:docVar w:name="Read_Code_F_53" w:val="PCS15089TH9|The patient has no history of Blackwater fever|1|D,H"/>
    <w:docVar w:name="Read_Code_F_54" w:val="PCS15089TH8|The patient has a history of Blackwater fever|1|D,H"/>
    <w:docVar w:name="Read_Code_F_55" w:val="PCS15089TH8|The patient has a history of Blackwater fever|1|T,H"/>
    <w:docVar w:name="Read_Code_F_56" w:val="PCS15089TH5|The patient has no known hypersensitivity to mefloquine or related compounds|1|D,H"/>
    <w:docVar w:name="Read_Code_F_57" w:val="PCS15089TH4|The patient is known to be hypersensitive to mefloquine or related compounds|1|D,H"/>
    <w:docVar w:name="Read_Code_F_58" w:val="PCS15089TH4|The patient is known to be hypersensitive to mefloquine or related compounds|1|T,H"/>
    <w:docVar w:name="Read_Code_F_59" w:val="RAFTBAI5|Airmen (Aircrew)|1|D,H"/>
    <w:docVar w:name="Read_Code_F_6" w:val="14D-2|H/O: renal disease|1|D,H"/>
    <w:docVar w:name="Read_Code_F_60" w:val="RAFTBAI5|Airmen (Aircrew)|1|T,H"/>
    <w:docVar w:name="Read_Code_F_61" w:val="NEGATION-1465|Not - H/O: depression|1|D,H"/>
    <w:docVar w:name="Read_Code_F_62" w:val="1465|H/O: depression|1|D,H"/>
    <w:docVar w:name="Read_Code_F_63" w:val="1465|H/O: depression|1|T,H"/>
    <w:docVar w:name="Read_Code_F_64" w:val="1I4|No evidence of mental illness|1|D,H"/>
    <w:docVar w:name="Read_Code_F_65" w:val="ZV11|[V]Personal history of mental disorder|1|D,H"/>
    <w:docVar w:name="Read_Code_F_66" w:val="ZV11|[V]Personal history of mental disorder|1|T,H"/>
    <w:docVar w:name="Read_Code_F_67" w:val="8B3V|Medication review done|1|A,H"/>
    <w:docVar w:name="Read_Code_F_68" w:val="8B3V|Medication review done|1|T,H"/>
    <w:docVar w:name="Read_Code_F_69" w:val="8B3L|Patient treated with OTC (over the counter) medication|1|A,H"/>
    <w:docVar w:name="Read_Code_F_7" w:val="14D-2|H/O: renal disease|1|T,H"/>
    <w:docVar w:name="Read_Code_F_70" w:val="8B3L|Patient treated with OTC (over the counter) medication|1|T,H"/>
    <w:docVar w:name="Read_Code_F_71" w:val="EMISNQNO14|Not pregnant|1|D,H"/>
    <w:docVar w:name="Read_Code_F_72" w:val="EMISNQNO14|Not pregnant|1|T,H"/>
    <w:docVar w:name="Read_Code_F_73" w:val="621|Patient currently pregnant|1|D,H"/>
    <w:docVar w:name="Read_Code_F_74" w:val="621|Patient currently pregnant|1|T,H"/>
    <w:docVar w:name="Read_Code_F_75" w:val="DMS4571|Patient states they are not breastfeeding|1|D,H"/>
    <w:docVar w:name="Read_Code_F_76" w:val="DMS4571|Patient states they are not breastfeeding|1|T,H"/>
    <w:docVar w:name="Read_Code_F_77" w:val="DMS4570|Patient states they are breastfeeding|1|D,H"/>
    <w:docVar w:name="Read_Code_F_78" w:val="DMS4570|Patient states they are breastfeeding|1|T,H"/>
    <w:docVar w:name="Read_Code_F_79" w:val="14C5|H/O: liver disease|2|D,T,H"/>
    <w:docVar w:name="Read_Code_F_8" w:val="NEGATION-7840|Not - Total excision of spleen|1|D,H"/>
    <w:docVar w:name="Read_Code_F_80" w:val="NEGATION-14C5|Not - H/O: liver disease|1|D,H"/>
    <w:docVar w:name="Read_Code_F_9" w:val="7840|Total excision of spleen|1|D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verflowPunct w:val="false"/>
      <w:autoSpaceDE w:val="false"/>
      <w:outlineLvl w:val="0"/>
    </w:pPr>
    <w:rPr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sz w:val="24"/>
      <w:u w:val="single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character" w:styleId="HeaderChar">
    <w:name w:val="Header 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/>
    <w:rPr>
      <w:sz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Malaria_Questionnaire_Blank_v1_0.dot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2016-08-16T22:22:00Z</dcterms:created>
  <dc:creator>smithd391</dc:creator>
  <dc:description/>
  <cp:keywords/>
  <dc:language>en-GB</dc:language>
  <cp:lastModifiedBy>Johnstone, Thomas Maj</cp:lastModifiedBy>
  <cp:lastPrinted>2016-08-16T17:14:00Z</cp:lastPrinted>
  <dcterms:modified xsi:type="dcterms:W3CDTF">2016-11-29T22:22:00Z</dcterms:modified>
  <cp:revision>10</cp:revision>
  <dc:subject/>
  <dc:title>HEALTH QUESTIONNAIRE FOR MALARIAL CHEMOPROPHYLAXIS</dc:title>
</cp:coreProperties>
</file>