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BoldMT" w:hAnsi="Arial-BoldMT" w:cs="Arial-BoldMT"/>
          <w:b/>
          <w:bCs/>
          <w:color w:val="FFFFFF"/>
          <w:sz w:val="32"/>
          <w:szCs w:val="32"/>
        </w:rPr>
      </w:pPr>
      <w:r>
        <w:rPr>
          <w:rFonts w:cs="Arial-BoldMT" w:ascii="Arial-BoldMT" w:hAnsi="Arial-BoldMT"/>
          <w:b/>
          <w:bCs/>
          <w:color w:val="FFFFFF"/>
          <w:sz w:val="32"/>
          <w:szCs w:val="32"/>
        </w:rPr>
        <w:t>Consent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
                <w:bCs/>
                <w:color w:val="000000"/>
                <w:sz w:val="18"/>
                <w:szCs w:val="18"/>
              </w:rPr>
            </w:pPr>
            <w:r>
              <w:fldChar w:fldCharType="begin">
                <w:ffData>
                  <w:name w:val="Practice_Addr_L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Practice Address List</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rFonts w:ascii="Arial" w:hAnsi="Arial" w:cs="Arial"/>
                <w:b/>
                <w:bCs/>
                <w:color w:val="000000"/>
                <w:sz w:val="18"/>
                <w:szCs w:val="18"/>
              </w:rPr>
            </w:pPr>
            <w:r>
              <w:fldChar w:fldCharType="begin">
                <w:ffData>
                  <w:name w:val="NHS_Number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NHS Number</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rFonts w:ascii="Arial" w:hAnsi="Arial" w:cs="Arial"/>
                <w:bCs/>
                <w:color w:val="000000"/>
                <w:sz w:val="18"/>
                <w:szCs w:val="18"/>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rFonts w:ascii="Arial" w:hAnsi="Arial" w:cs="Arial"/>
                <w:b/>
                <w:bCs/>
                <w:color w:val="000000"/>
                <w:sz w:val="18"/>
                <w:szCs w:val="18"/>
              </w:rPr>
            </w:pPr>
            <w:r>
              <w:fldChar w:fldCharType="begin">
                <w:ffData>
                  <w:name w:val="UIN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UIN</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color w:val="000000"/>
          <w:sz w:val="18"/>
          <w:szCs w:val="18"/>
        </w:rPr>
      </w:pPr>
      <w:r>
        <w:rPr>
          <w:rFonts w:cs="Arial" w:ascii="Arial" w:hAnsi="Arial"/>
          <w:color w:val="000000"/>
          <w:sz w:val="18"/>
          <w:szCs w:val="18"/>
        </w:rPr>
        <w:t>(Include brief explanation if medical term not clear)</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580390"/>
                <wp:effectExtent l="0" t="0" r="0" b="0"/>
                <wp:wrapNone/>
                <wp:docPr id="1" name="Frame1"/>
                <a:graphic xmlns:a="http://schemas.openxmlformats.org/drawingml/2006/main">
                  <a:graphicData uri="http://schemas.microsoft.com/office/word/2010/wordprocessingShape">
                    <wps:wsp>
                      <wps:cNvSpPr txBox="1"/>
                      <wps:spPr>
                        <a:xfrm>
                          <a:off x="0" y="0"/>
                          <a:ext cx="5838190" cy="580390"/>
                        </a:xfrm>
                        <a:prstGeom prst="rect"/>
                        <a:solidFill>
                          <a:srgbClr val="FFFFFF"/>
                        </a:solidFill>
                        <a:ln w="9525">
                          <a:solidFill>
                            <a:srgbClr val="000000"/>
                          </a:solidFill>
                        </a:ln>
                      </wps:spPr>
                      <wps:txbx>
                        <w:txbxContent>
                          <w:p>
                            <w:pPr>
                              <w:pStyle w:val="Normal"/>
                              <w:rPr/>
                            </w:pPr>
                            <w:r>
                              <w:rPr/>
                              <w:t xml:space="preserve">Intrauterine device fitting </w:t>
                            </w:r>
                          </w:p>
                          <w:p>
                            <w:pPr>
                              <w:pStyle w:val="Normal"/>
                              <w:rPr/>
                            </w:pPr>
                            <w:r>
                              <w:rPr/>
                              <w:t>Chosen device (delete as necessary): Copper IUCD /Hormonal IUS (Mirena)</w:t>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5.7pt;mso-wrap-distance-left:9.05pt;mso-wrap-distance-right:9.05pt;mso-wrap-distance-top:0pt;mso-wrap-distance-bottom:0pt;margin-top:1.8pt;mso-position-vertical-relative:text;margin-left:3.25pt;mso-position-horizontal-relative:text">
                <v:textbox>
                  <w:txbxContent>
                    <w:p>
                      <w:pPr>
                        <w:pStyle w:val="Normal"/>
                        <w:rPr/>
                      </w:pPr>
                      <w:r>
                        <w:rPr/>
                        <w:t xml:space="preserve">Intrauterine device fitting </w:t>
                      </w:r>
                    </w:p>
                    <w:p>
                      <w:pPr>
                        <w:pStyle w:val="Normal"/>
                        <w:rPr/>
                      </w:pPr>
                      <w:r>
                        <w:rPr/>
                        <w:t>Chosen device (delete as necessary): Copper IUCD /Hormonal IUS (Mirena)</w:t>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41275</wp:posOffset>
                </wp:positionH>
                <wp:positionV relativeFrom="paragraph">
                  <wp:posOffset>92075</wp:posOffset>
                </wp:positionV>
                <wp:extent cx="5678170" cy="477520"/>
                <wp:effectExtent l="0" t="0" r="0" b="0"/>
                <wp:wrapNone/>
                <wp:docPr id="2" name="Frame2"/>
                <a:graphic xmlns:a="http://schemas.openxmlformats.org/drawingml/2006/main">
                  <a:graphicData uri="http://schemas.microsoft.com/office/word/2010/wordprocessingShape">
                    <wps:wsp>
                      <wps:cNvSpPr txBox="1"/>
                      <wps:spPr>
                        <a:xfrm>
                          <a:off x="0" y="0"/>
                          <a:ext cx="5678170" cy="477520"/>
                        </a:xfrm>
                        <a:prstGeom prst="rect"/>
                        <a:solidFill>
                          <a:srgbClr val="FFFFFF"/>
                        </a:solidFill>
                        <a:ln w="9525">
                          <a:solidFill>
                            <a:srgbClr val="000000"/>
                          </a:solidFill>
                        </a:ln>
                      </wps:spPr>
                      <wps:txbx>
                        <w:txbxContent>
                          <w:p>
                            <w:pPr>
                              <w:pStyle w:val="Normal"/>
                              <w:rPr/>
                            </w:pPr>
                            <w:r>
                              <w:rPr/>
                              <w:t>Delete as necessary:  Effective prevention of pregnancy</w:t>
                            </w:r>
                          </w:p>
                          <w:p>
                            <w:pPr>
                              <w:pStyle w:val="Normal"/>
                              <w:rPr/>
                            </w:pPr>
                            <w:r>
                              <w:rPr/>
                              <w:t xml:space="preserve">                                  </w:t>
                            </w:r>
                            <w:r>
                              <w:rPr/>
                              <w:t>Management of menorrhagia (Heavy Periods)</w:t>
                            </w:r>
                          </w:p>
                        </w:txbxContent>
                      </wps:txbx>
                      <wps:bodyPr anchor="t" lIns="91440" tIns="45720" rIns="91440" bIns="45720">
                        <a:noAutofit/>
                      </wps:bodyPr>
                    </wps:wsp>
                  </a:graphicData>
                </a:graphic>
              </wp:anchor>
            </w:drawing>
          </mc:Choice>
          <mc:Fallback>
            <w:pict>
              <v:rect fillcolor="#FFFFFF" strokecolor="#000000" strokeweight="0pt" style="position:absolute;rotation:-0;width:447.1pt;height:37.6pt;mso-wrap-distance-left:9.05pt;mso-wrap-distance-right:9.05pt;mso-wrap-distance-top:0pt;mso-wrap-distance-bottom:0pt;margin-top:7.25pt;mso-position-vertical-relative:text;margin-left:3.25pt;mso-position-horizontal-relative:text">
                <v:textbox>
                  <w:txbxContent>
                    <w:p>
                      <w:pPr>
                        <w:pStyle w:val="Normal"/>
                        <w:rPr/>
                      </w:pPr>
                      <w:r>
                        <w:rPr/>
                        <w:t>Delete as necessary:  Effective prevention of pregnancy</w:t>
                      </w:r>
                    </w:p>
                    <w:p>
                      <w:pPr>
                        <w:pStyle w:val="Normal"/>
                        <w:rPr/>
                      </w:pPr>
                      <w:r>
                        <w:rPr/>
                        <w:t xml:space="preserve">                                  </w:t>
                      </w:r>
                      <w:r>
                        <w:rPr/>
                        <w:t>Management of menorrhagia (Heavy Periods)</w:t>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t>Serious of frequently occurring risks</w:t>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114935</wp:posOffset>
                </wp:positionV>
                <wp:extent cx="5792470" cy="808990"/>
                <wp:effectExtent l="0" t="0" r="0" b="0"/>
                <wp:wrapNone/>
                <wp:docPr id="3" name="Frame3"/>
                <a:graphic xmlns:a="http://schemas.openxmlformats.org/drawingml/2006/main">
                  <a:graphicData uri="http://schemas.microsoft.com/office/word/2010/wordprocessingShape">
                    <wps:wsp>
                      <wps:cNvSpPr txBox="1"/>
                      <wps:spPr>
                        <a:xfrm>
                          <a:off x="0" y="0"/>
                          <a:ext cx="5792470" cy="808990"/>
                        </a:xfrm>
                        <a:prstGeom prst="rect"/>
                        <a:solidFill>
                          <a:srgbClr val="FFFFFF"/>
                        </a:solidFill>
                        <a:ln w="9525">
                          <a:solidFill>
                            <a:srgbClr val="000000"/>
                          </a:solidFill>
                        </a:ln>
                      </wps:spPr>
                      <wps:txbx>
                        <w:txbxContent>
                          <w:p>
                            <w:pPr>
                              <w:pStyle w:val="Normal"/>
                              <w:rPr/>
                            </w:pPr>
                            <w:r>
                              <w:rPr>
                                <w:sz w:val="20"/>
                                <w:szCs w:val="20"/>
                              </w:rPr>
                              <w:t>Altered bleeding patterns especially in the first 6 months. Hormone side effects with Mirena. Removal is usually straight forward but may be complicated if threads are not seen.  Expulsion (1/20, risk highest in first 3 months after insertion). Pelvic infection- small risk in 20 days following insertion. Pregnancy (&lt; 2% with Copper IUCD and &lt;1% with Mirena). Ectopic pregnancy (overall risk is less than with no contraception). Uterine perforation (2/1000).</w:t>
                            </w:r>
                          </w:p>
                          <w:p>
                            <w:pPr>
                              <w:pStyle w:val="Normal"/>
                              <w:rPr>
                                <w:sz w:val="20"/>
                                <w:szCs w:val="20"/>
                              </w:rPr>
                            </w:pPr>
                            <w:r>
                              <w:rPr>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6.1pt;height:63.7pt;mso-wrap-distance-left:9.05pt;mso-wrap-distance-right:9.05pt;mso-wrap-distance-top:0pt;mso-wrap-distance-bottom:0pt;margin-top:9.05pt;mso-position-vertical-relative:text;margin-left:3.25pt;mso-position-horizontal-relative:text">
                <v:textbox>
                  <w:txbxContent>
                    <w:p>
                      <w:pPr>
                        <w:pStyle w:val="Normal"/>
                        <w:rPr/>
                      </w:pPr>
                      <w:r>
                        <w:rPr>
                          <w:sz w:val="20"/>
                          <w:szCs w:val="20"/>
                        </w:rPr>
                        <w:t>Altered bleeding patterns especially in the first 6 months. Hormone side effects with Mirena. Removal is usually straight forward but may be complicated if threads are not seen.  Expulsion (1/20, risk highest in first 3 months after insertion). Pelvic infection- small risk in 20 days following insertion. Pregnancy (&lt; 2% with Copper IUCD and &lt;1% with Mirena). Ectopic pregnancy (overall risk is less than with no contraception). Uterine perforation (2/1000).</w:t>
                      </w:r>
                    </w:p>
                    <w:p>
                      <w:pPr>
                        <w:pStyle w:val="Normal"/>
                        <w:rPr>
                          <w:sz w:val="20"/>
                          <w:szCs w:val="20"/>
                        </w:rPr>
                      </w:pPr>
                      <w:r>
                        <w:rPr>
                          <w:sz w:val="20"/>
                          <w:szCs w:val="20"/>
                        </w:rPr>
                      </w:r>
                    </w:p>
                  </w:txbxContent>
                </v:textbox>
                <w10:wrap type="none"/>
              </v:rect>
            </w:pict>
          </mc:Fallback>
        </mc:AlternateConten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Use of a cervical dilator</w:t>
            </w:r>
          </w:p>
          <w:p>
            <w:pPr>
              <w:pStyle w:val="Normal"/>
              <w:autoSpaceDE w:val="false"/>
              <w:rPr>
                <w:rFonts w:ascii="Arial" w:hAnsi="Arial" w:cs="Arial"/>
                <w:color w:val="000000"/>
                <w:sz w:val="18"/>
                <w:szCs w:val="18"/>
              </w:rPr>
            </w:pPr>
            <w:r>
              <w:rPr>
                <w:rFonts w:cs="Arial" w:ascii="Arial" w:hAnsi="Arial"/>
                <w:color w:val="000000"/>
                <w:sz w:val="18"/>
                <w:szCs w:val="18"/>
              </w:rPr>
              <w:t>Use of thread retrievers to remove a coil when threads are not visible.</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FPA leaflet and PIL from Coil pack after fitting</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x</w:t>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05254 982 2414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BoldMT" w:hAnsi="Arial-BoldMT" w:cs="Arial-BoldMT"/>
          <w:b/>
          <w:bCs/>
          <w:color w:val="000000"/>
          <w:sz w:val="20"/>
          <w:szCs w:val="20"/>
        </w:rPr>
      </w:pPr>
      <w:r>
        <w:rPr>
          <w:rFonts w:cs="Arial-BoldMT" w:ascii="Arial-BoldMT" w:hAnsi="Arial-BoldMT"/>
          <w:b/>
          <w:bCs/>
          <w:color w:val="000000"/>
          <w:sz w:val="20"/>
          <w:szCs w:val="20"/>
        </w:rPr>
        <w:t>Statement of Interpreter (where appropriate)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t>I have interpreted the information above to the patient to the best of my ability and in a way in which I believe s/he can understand.</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Cs/>
          <w:color w:val="000000"/>
          <w:sz w:val="18"/>
          <w:szCs w:val="18"/>
        </w:rPr>
      </w:pPr>
      <w:r>
        <w:rPr>
          <w:rFonts w:cs="Arial-BoldMT" w:ascii="Arial-BoldMT" w:hAnsi="Arial-BoldMT"/>
          <w:bCs/>
          <w:color w:val="000000"/>
          <w:sz w:val="18"/>
          <w:szCs w:val="18"/>
        </w:rPr>
        <w:t>Signed:</w:t>
      </w:r>
    </w:p>
    <w:p>
      <w:pPr>
        <w:pStyle w:val="Normal"/>
        <w:rPr>
          <w:rFonts w:ascii="Arial-BoldMT" w:hAnsi="Arial-BoldMT" w:cs="Arial-BoldMT"/>
          <w:bCs/>
          <w:color w:val="000000"/>
          <w:sz w:val="18"/>
          <w:szCs w:val="18"/>
        </w:rPr>
      </w:pPr>
      <w:r>
        <w:rPr>
          <w:rFonts w:cs="Arial-BoldMT" w:ascii="Arial-BoldMT" w:hAnsi="Arial-BoldMT"/>
          <w:bCs/>
          <w:color w:val="000000"/>
          <w:sz w:val="18"/>
          <w:szCs w:val="18"/>
        </w:rPr>
        <w:t>Name:</w:t>
      </w:r>
    </w:p>
    <w:p>
      <w:pPr>
        <w:pStyle w:val="Normal"/>
        <w:rPr>
          <w:rFonts w:ascii="Arial-BoldMT" w:hAnsi="Arial-BoldMT" w:cs="Arial-BoldMT"/>
          <w:bCs/>
          <w:color w:val="000000"/>
          <w:sz w:val="18"/>
          <w:szCs w:val="18"/>
        </w:rPr>
      </w:pPr>
      <w:r>
        <w:rPr>
          <w:rFonts w:cs="Arial-BoldMT" w:ascii="Arial-BoldMT" w:hAnsi="Arial-BoldMT"/>
          <w:bCs/>
          <w:color w:val="000000"/>
          <w:sz w:val="18"/>
          <w:szCs w:val="18"/>
        </w:rPr>
        <w:t>Date: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
          <w:bCs/>
          <w:color w:val="000000"/>
          <w:sz w:val="18"/>
          <w:szCs w:val="18"/>
        </w:rPr>
      </w:pPr>
      <w:r>
        <w:rPr>
          <w:rFonts w:cs="Arial-BoldMT" w:ascii="Arial-BoldMT" w:hAnsi="Arial-BoldMT"/>
          <w:b/>
          <w:bCs/>
          <w:color w:val="000000"/>
          <w:sz w:val="18"/>
          <w:szCs w:val="18"/>
        </w:rPr>
      </w:r>
    </w:p>
    <w:p>
      <w:pPr>
        <w:pStyle w:val="Normal"/>
        <w:jc w:val="center"/>
        <w:rPr>
          <w:b/>
        </w:rPr>
      </w:pPr>
      <w:r>
        <w:rPr>
          <w:rFonts w:cs="ArialMT" w:ascii="ArialMT" w:hAnsi="ArialMT"/>
          <w:b/>
          <w:color w:val="000000"/>
        </w:rPr>
        <w:t>Statement of patient</w:t>
      </w:r>
    </w:p>
    <w:p>
      <w:pPr>
        <w:pStyle w:val="Normal"/>
        <w:rPr>
          <w:b/>
        </w:rPr>
      </w:pPr>
      <w:r>
        <w:rPr>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change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anaesthetist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See also advance directive/ living will (e.g. Jehovah’s Witness form)</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pPr>
      <w:r>
        <w:rPr/>
        <w:tab/>
      </w:r>
    </w:p>
    <w:p>
      <w:pPr>
        <w:pStyle w:val="Normal"/>
        <w:rPr/>
      </w:pPr>
      <w:r>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0" w:characterSet="windows-1252"/>
    <w:family w:val="swiss"/>
    <w:pitch w:val="default"/>
  </w:font>
  <w:font w:name="ArialM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8"/>
        <w:szCs w:val="18"/>
      </w:rPr>
      <w:t>FMed 660-1 – Consent Form IUD Insertion                                                                                December 2012</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68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rFonts w:ascii="Arial" w:hAnsi="Arial" w:cs="Arial"/>
        <w:sz w:val="18"/>
        <w:szCs w:val="18"/>
      </w:rPr>
    </w:pPr>
    <w:r>
      <w:rPr>
        <w:rFonts w:cs="Arial" w:ascii="Arial" w:hAnsi="Arial"/>
        <w:sz w:val="18"/>
        <w:szCs w:val="18"/>
      </w:rPr>
      <w:t>Version 1.0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onsent_IUD_Insertion_v1_0.dot"/>
    <w:docVar w:name="PCS_HANDLE" w:val="65854"/>
    <w:docVar w:name="PCS_MSG" w:val="49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FMed_660_1-Consent_IUD_Insertion_v1_0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2012-12-10T21:09:00Z</dcterms:created>
  <dc:creator>smithd391</dc:creator>
  <dc:description/>
  <cp:keywords/>
  <dc:language>en-GB</dc:language>
  <cp:lastModifiedBy>woodg283</cp:lastModifiedBy>
  <dcterms:modified xsi:type="dcterms:W3CDTF">2012-12-10T21:38:00Z</dcterms:modified>
  <cp:revision>3</cp:revision>
  <dc:subject/>
  <dc:title>Consent Form 1:</dc:title>
</cp:coreProperties>
</file>