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bookmarkStart w:id="0" w:name="_GoBack"/>
      <w:bookmarkEnd w:id="0"/>
      <w:r>
        <w:rPr/>
        <w:tab/>
        <w:tab/>
      </w:r>
      <w:r>
        <w:rPr>
          <w:b/>
        </w:rPr>
        <w:tab/>
        <w:tab/>
        <w:tab/>
        <w:tab/>
        <w:tab/>
        <w:tab/>
        <w:tab/>
        <w:tab/>
        <w:tab/>
        <w:tab/>
        <w:tab/>
      </w:r>
      <w:r>
        <w:rPr>
          <w:rFonts w:cs="Arial" w:ascii="Arial" w:hAnsi="Arial"/>
          <w:b/>
          <w:sz w:val="22"/>
          <w:szCs w:val="22"/>
        </w:rPr>
        <w:t>Annex A to</w:t>
      </w:r>
    </w:p>
    <w:p>
      <w:pPr>
        <w:pStyle w:val="Normal"/>
        <w:rPr/>
      </w:pPr>
      <w:r>
        <w:rPr>
          <w:rFonts w:cs="Arial" w:ascii="Arial" w:hAnsi="Arial"/>
          <w:b/>
          <w:sz w:val="22"/>
          <w:szCs w:val="22"/>
        </w:rPr>
        <w:tab/>
        <w:tab/>
        <w:tab/>
        <w:tab/>
        <w:tab/>
        <w:tab/>
        <w:tab/>
        <w:tab/>
        <w:tab/>
        <w:tab/>
        <w:tab/>
        <w:tab/>
        <w:tab/>
        <w:t>RD/CLLR/J3</w:t>
      </w:r>
    </w:p>
    <w:p>
      <w:pPr>
        <w:pStyle w:val="Normal"/>
        <w:rPr/>
      </w:pPr>
      <w:r>
        <w:rPr>
          <w:rFonts w:cs="Arial" w:ascii="Arial" w:hAnsi="Arial"/>
          <w:b/>
          <w:sz w:val="22"/>
          <w:szCs w:val="22"/>
        </w:rPr>
        <w:tab/>
        <w:tab/>
        <w:tab/>
        <w:tab/>
        <w:tab/>
        <w:tab/>
        <w:tab/>
        <w:tab/>
        <w:tab/>
        <w:tab/>
        <w:tab/>
        <w:tab/>
        <w:tab/>
        <w:t>Date 12 Jan 15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DMRC HEADLEY COURT HIGH PERFOMANCE CLINIC (HPC)</w:t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CONFIRMATION OF ELIGIBILITY</w:t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/>
      </w:pPr>
      <w:r>
        <w:rPr>
          <w:rFonts w:cs="Arial" w:ascii="Arial" w:hAnsi="Arial"/>
          <w:b/>
          <w:sz w:val="22"/>
          <w:szCs w:val="22"/>
        </w:rPr>
        <w:t>The form below is to be completed by the respective Coaching Staff or Medical Staff. Once complete it should be taken by the patient to their Medical Officer, whereby a referral to the DMRC HPC can be initiated.  It must then be attached to the DMICP record to provide confirmation of eligibility when the referral is triaged at DMRC.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4"/>
        <w:gridCol w:w="2394"/>
        <w:gridCol w:w="2394"/>
        <w:gridCol w:w="2394"/>
      </w:tblGrid>
      <w:tr>
        <w:trPr/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Service Number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Rank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Name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Unit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Uni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Contact Address Line 1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D.O.B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DOB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Medical Centre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Practice Name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2"/>
        </w:numPr>
        <w:tabs>
          <w:tab w:val="clear" w:pos="567"/>
          <w:tab w:val="left" w:pos="0" w:leader="none"/>
          <w:tab w:val="left" w:pos="540" w:leader="none"/>
        </w:tabs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 confirm that the above named serviceperson is a current member of a representative sports Team/Squad.  As such he/she is eligible for direct access to the High Performance Clinic at DMRC Headley Court.</w:t>
      </w:r>
    </w:p>
    <w:p>
      <w:pPr>
        <w:pStyle w:val="Normal"/>
        <w:tabs>
          <w:tab w:val="clear" w:pos="567"/>
          <w:tab w:val="left" w:pos="0" w:leader="none"/>
        </w:tabs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2"/>
        </w:numPr>
        <w:tabs>
          <w:tab w:val="clear" w:pos="567"/>
          <w:tab w:val="left" w:pos="0" w:leader="none"/>
          <w:tab w:val="left" w:pos="540" w:leader="none"/>
        </w:tabs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The individual is a current representative in the following sports: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88"/>
        <w:gridCol w:w="2700"/>
        <w:gridCol w:w="5688"/>
      </w:tblGrid>
      <w:tr>
        <w:trPr/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Sport</w:t>
            </w:r>
          </w:p>
        </w:tc>
        <w:tc>
          <w:tcPr>
            <w:tcW w:w="5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Representative Level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16"/>
                <w:szCs w:val="16"/>
              </w:rPr>
              <w:t>(circle highest level)</w:t>
            </w:r>
          </w:p>
        </w:tc>
      </w:tr>
      <w:tr>
        <w:trPr/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National    CS     sS</w:t>
            </w:r>
          </w:p>
        </w:tc>
      </w:tr>
      <w:tr>
        <w:trPr/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National    CS     sS</w:t>
            </w:r>
          </w:p>
        </w:tc>
      </w:tr>
      <w:tr>
        <w:trPr/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National    CS     sS</w:t>
            </w:r>
          </w:p>
        </w:tc>
      </w:tr>
      <w:tr>
        <w:trPr/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National    CS     sS</w:t>
            </w:r>
          </w:p>
        </w:tc>
      </w:tr>
    </w:tbl>
    <w:p>
      <w:pPr>
        <w:pStyle w:val="Normal"/>
        <w:ind w:start="36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2"/>
        </w:numPr>
        <w:tabs>
          <w:tab w:val="clear" w:pos="567"/>
          <w:tab w:val="left" w:pos="0" w:leader="none"/>
          <w:tab w:val="left" w:pos="540" w:leader="none"/>
        </w:tabs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Please provide detail of upcoming sporting commitments that the serviceperson may be required for:</w:t>
      </w:r>
    </w:p>
    <w:p>
      <w:pPr>
        <w:pStyle w:val="Normal"/>
        <w:tabs>
          <w:tab w:val="clear" w:pos="567"/>
          <w:tab w:val="left" w:pos="540" w:leader="none"/>
        </w:tabs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6"/>
      </w:tblGrid>
      <w:tr>
        <w:trPr>
          <w:trHeight w:val="1633" w:hRule="atLeast"/>
        </w:trPr>
        <w:tc>
          <w:tcPr>
            <w:tcW w:w="9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Please include training camps, Squad training sessions and fixtures at Representative level.</w:t>
            </w:r>
          </w:p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567"/>
          <w:tab w:val="left" w:pos="540" w:leader="none"/>
        </w:tabs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567"/>
          <w:tab w:val="left" w:pos="540" w:leader="none"/>
        </w:tabs>
        <w:rPr/>
      </w:pPr>
      <w:r>
        <w:rPr/>
        <w:t>Coaches details</w:t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4"/>
        <w:gridCol w:w="2394"/>
        <w:gridCol w:w="2394"/>
        <w:gridCol w:w="2394"/>
      </w:tblGrid>
      <w:tr>
        <w:trPr/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Signature:</w:t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Rank:</w:t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151" w:hRule="atLeast"/>
        </w:trPr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Name </w:t>
            </w:r>
            <w:r>
              <w:rPr>
                <w:rFonts w:cs="Arial" w:ascii="Arial" w:hAnsi="Arial"/>
                <w:sz w:val="16"/>
                <w:szCs w:val="16"/>
              </w:rPr>
              <w:t>(Block Capitals):</w:t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Telephone Number:</w:t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567"/>
          <w:tab w:val="left" w:pos="540" w:leader="none"/>
        </w:tabs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567"/>
          <w:tab w:val="left" w:pos="540" w:leader="none"/>
        </w:tabs>
        <w:rPr/>
      </w:pPr>
      <w:r>
        <w:rPr>
          <w:rFonts w:cs="Arial" w:ascii="Arial" w:hAnsi="Arial"/>
          <w:b/>
          <w:sz w:val="16"/>
          <w:szCs w:val="16"/>
        </w:rPr>
        <w:t>Medical Staff details (member of sports Medical T</w:t>
      </w:r>
      <w:r>
        <w:rPr/>
        <w:t>eam (MO or Physio)).</w:t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4"/>
        <w:gridCol w:w="2394"/>
        <w:gridCol w:w="2394"/>
        <w:gridCol w:w="2394"/>
      </w:tblGrid>
      <w:tr>
        <w:trPr/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Signature:</w:t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Rank:</w:t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151" w:hRule="atLeast"/>
        </w:trPr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Name </w:t>
            </w:r>
            <w:r>
              <w:rPr>
                <w:rFonts w:cs="Arial" w:ascii="Arial" w:hAnsi="Arial"/>
                <w:sz w:val="16"/>
                <w:szCs w:val="16"/>
              </w:rPr>
              <w:t>(Block Capitals):</w:t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Telephone Number:</w:t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567"/>
                <w:tab w:val="left" w:pos="540" w:leader="none"/>
              </w:tabs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539" w:top="1077" w:footer="595" w:bottom="1077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20" w:after="0"/>
      <w:rPr/>
    </w:pPr>
    <w:r>
      <w:rPr/>
      <w:t>DMICP v 1.0</w:t>
      <w:tab/>
      <w:tab/>
      <w:t>Mar 17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20"/>
      <w:rPr/>
    </w:pPr>
    <w:r>
      <w:rPr>
        <w:rStyle w:val="ProtectiveMarking"/>
      </w:rPr>
      <w:t xml:space="preserve">DMICP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72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567"/>
        </w:tabs>
        <w:ind w:start="567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color w:val="000000"/>
      </w:rPr>
    </w:lvl>
    <w:lvl w:ilvl="1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vanish w:val="false"/>
        <w:color w:val="000000"/>
      </w:rPr>
    </w:lvl>
    <w:lvl w:ilvl="2">
      <w:start w:val="1"/>
      <w:numFmt w:val="bullet"/>
      <w:lvlText w:val=""/>
      <w:lvlJc w:val="start"/>
      <w:pPr>
        <w:tabs>
          <w:tab w:val="num" w:pos="1701"/>
        </w:tabs>
        <w:ind w:start="1701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18"/>
        <w:sz w:val="18"/>
        <w:i w:val="false"/>
        <w:u w:val="none"/>
        <w:b w:val="false"/>
        <w:vanish w:val="false"/>
        <w:color w:val="000000"/>
      </w:rPr>
    </w:lvl>
    <w:lvl w:ilvl="3">
      <w:start w:val="1"/>
      <w:numFmt w:val="bullet"/>
      <w:lvlText w:val=""/>
      <w:lvlJc w:val="start"/>
      <w:pPr>
        <w:tabs>
          <w:tab w:val="num" w:pos="2268"/>
        </w:tabs>
        <w:ind w:start="2268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16"/>
        <w:sz w:val="16"/>
        <w:i w:val="false"/>
        <w:u w:val="none"/>
        <w:b w:val="false"/>
        <w:vanish w:val="false"/>
        <w:color w:val="000000"/>
      </w:rPr>
    </w:lvl>
    <w:lvl w:ilvl="4">
      <w:start w:val="1"/>
      <w:numFmt w:val="bullet"/>
      <w:lvlText w:val=""/>
      <w:lvlJc w:val="start"/>
      <w:pPr>
        <w:tabs>
          <w:tab w:val="num" w:pos="2835"/>
        </w:tabs>
        <w:ind w:start="2835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14"/>
        <w:sz w:val="14"/>
        <w:i w:val="false"/>
        <w:u w:val="none"/>
        <w:b w:val="false"/>
        <w:vanish w:val="false"/>
        <w:color w:val="000000"/>
      </w:rPr>
    </w:lvl>
    <w:lvl w:ilvl="5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9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737"/>
        </w:tabs>
        <w:ind w:start="369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106"/>
        </w:tabs>
        <w:ind w:start="737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1474"/>
        </w:tabs>
        <w:ind w:start="1106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1843"/>
        </w:tabs>
        <w:ind w:start="1474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</w:abstractNum>
  <w:abstractNum w:abstractNumId="6">
    <w:lvl w:ilvl="0">
      <w:start w:val="1"/>
      <w:numFmt w:val="upperLetter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</w:abstractNum>
  <w:abstractNum w:abstractNumId="7">
    <w:lvl w:ilvl="0">
      <w:start w:val="1"/>
      <w:numFmt w:val="decimal"/>
      <w:lvlText w:val="-"/>
      <w:lvlJc w:val="start"/>
      <w:pPr>
        <w:tabs>
          <w:tab w:val="num" w:pos="567"/>
        </w:tabs>
        <w:ind w:start="567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--"/>
      <w:lvlJc w:val="start"/>
      <w:pPr>
        <w:tabs>
          <w:tab w:val="num" w:pos="1134"/>
        </w:tabs>
        <w:ind w:start="1134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---"/>
      <w:lvlJc w:val="start"/>
      <w:pPr>
        <w:tabs>
          <w:tab w:val="num" w:pos="1701"/>
        </w:tabs>
        <w:ind w:start="1701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----"/>
      <w:lvlJc w:val="start"/>
      <w:pPr>
        <w:tabs>
          <w:tab w:val="num" w:pos="2268"/>
        </w:tabs>
        <w:ind w:start="2268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-----"/>
      <w:lvlJc w:val="start"/>
      <w:pPr>
        <w:tabs>
          <w:tab w:val="num" w:pos="2835"/>
        </w:tabs>
        <w:ind w:start="2835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134"/>
        </w:tabs>
        <w:ind w:start="567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701"/>
        </w:tabs>
        <w:ind w:start="1134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2268"/>
        </w:tabs>
        <w:ind w:start="1701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2835"/>
        </w:tabs>
        <w:ind w:start="2268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isplayBackgroundShape/>
  <w:defaultTabStop w:val="567"/>
  <w:autoHyphenation w:val="true"/>
  <w:hyphenationZone w:val="0"/>
  <w:compat>
    <w:compatSetting w:name="compatibilityMode" w:uri="http://schemas.microsoft.com/office/word" w:val="11"/>
  </w:compat>
  <w:docVars>
    <w:docVar w:name="DL Format" w:val="RL"/>
    <w:docVar w:name="DW Format" w:val="AP"/>
    <w:docVar w:name="DW FormatName" w:val="Action Plan"/>
    <w:docVar w:name="DW SBapp" w:val=" 0"/>
    <w:docVar w:name="DW SBfap" w:val=" 1"/>
    <w:docVar w:name="DW SigBlock" w:val="2"/>
    <w:docVar w:name="PCS_DOCUMENT_NAME" w:val="DMRC_Headley_Court_High_Performance_Clinic_Confirmation_of_Eligibility_v1.0.dot"/>
    <w:docVar w:name="PCS_HANDLE" w:val="196688"/>
    <w:docVar w:name="PCS_MSG" w:val="4952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b/>
      <w:i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/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2z1">
    <w:name w:val="WW8Num2z1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2z2">
    <w:name w:val="WW8Num2z2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18"/>
      <w:sz w:val="18"/>
      <w:u w:val="none"/>
      <w:vertAlign w:val="baseline"/>
    </w:rPr>
  </w:style>
  <w:style w:type="character" w:styleId="WW8Num2z3">
    <w:name w:val="WW8Num2z3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16"/>
      <w:sz w:val="16"/>
      <w:u w:val="none"/>
      <w:vertAlign w:val="baseline"/>
    </w:rPr>
  </w:style>
  <w:style w:type="character" w:styleId="WW8Num2z4">
    <w:name w:val="WW8Num2z4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14"/>
      <w:sz w:val="14"/>
      <w:u w:val="none"/>
      <w:vertAlign w:val="baseline"/>
    </w:rPr>
  </w:style>
  <w:style w:type="character" w:styleId="WW8Num2z5">
    <w:name w:val="WW8Num2z5"/>
    <w:qFormat/>
    <w:rPr/>
  </w:style>
  <w:style w:type="character" w:styleId="WW8Num3z0">
    <w:name w:val="WW8Num3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4z0">
    <w:name w:val="WW8Num4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vertAlign w:val="baseline"/>
    </w:rPr>
  </w:style>
  <w:style w:type="character" w:styleId="WW8Num4z1">
    <w:name w:val="WW8Num4z1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4z5">
    <w:name w:val="WW8Num4z5"/>
    <w:qFormat/>
    <w:rPr>
      <w:b w:val="false"/>
      <w:i w:val="false"/>
      <w:sz w:val="24"/>
    </w:rPr>
  </w:style>
  <w:style w:type="character" w:styleId="WW8Num4z7">
    <w:name w:val="WW8Num4z7"/>
    <w:qFormat/>
    <w:rPr/>
  </w:style>
  <w:style w:type="character" w:styleId="WW8Num5z0">
    <w:name w:val="WW8Num5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6z0">
    <w:name w:val="WW8Num6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6z1">
    <w:name w:val="WW8Num6z1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6z5">
    <w:name w:val="WW8Num6z5"/>
    <w:qFormat/>
    <w:rPr/>
  </w:style>
  <w:style w:type="character" w:styleId="WW8Num7z0">
    <w:name w:val="WW8Num7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7z5">
    <w:name w:val="WW8Num7z5"/>
    <w:qFormat/>
    <w:rPr>
      <w:b w:val="false"/>
      <w:i w:val="false"/>
      <w:sz w:val="24"/>
    </w:rPr>
  </w:style>
  <w:style w:type="character" w:styleId="WW8Num7z7">
    <w:name w:val="WW8Num7z7"/>
    <w:qFormat/>
    <w:rPr/>
  </w:style>
  <w:style w:type="character" w:styleId="DefaultParagraphFont">
    <w:name w:val="Default Paragraph Font"/>
    <w:qFormat/>
    <w:rPr/>
  </w:style>
  <w:style w:type="character" w:styleId="AdditionalMarking">
    <w:name w:val="Additional Marking"/>
    <w:qFormat/>
    <w:rPr>
      <w:b/>
      <w:caps/>
    </w:rPr>
  </w:style>
  <w:style w:type="character" w:styleId="EndnoteCharacters">
    <w:name w:val="Endnote Characters"/>
    <w:qFormat/>
    <w:rPr>
      <w:vertAlign w:val="superscript"/>
    </w:rPr>
  </w:style>
  <w:style w:type="character" w:styleId="DWFlag">
    <w:name w:val="DW Flag"/>
    <w:qFormat/>
    <w:rPr>
      <w:b/>
    </w:rPr>
  </w:style>
  <w:style w:type="character" w:styleId="FooterCaption">
    <w:name w:val="Footer Caption"/>
    <w:qFormat/>
    <w:rPr>
      <w:sz w:val="12"/>
    </w:rPr>
  </w:style>
  <w:style w:type="character" w:styleId="FootnoteCharacters">
    <w:name w:val="Footnote Characters"/>
    <w:qFormat/>
    <w:rPr>
      <w:vertAlign w:val="superscript"/>
    </w:rPr>
  </w:style>
  <w:style w:type="character" w:styleId="HeaderCaption">
    <w:name w:val="Header Caption"/>
    <w:qFormat/>
    <w:rPr>
      <w:sz w:val="12"/>
    </w:rPr>
  </w:style>
  <w:style w:type="character" w:styleId="HiddenText">
    <w:name w:val="Hidden Text"/>
    <w:qFormat/>
    <w:rPr>
      <w:vanish/>
    </w:rPr>
  </w:style>
  <w:style w:type="character" w:styleId="MarginalNote">
    <w:name w:val="Marginal Note"/>
    <w:qFormat/>
    <w:rPr>
      <w:rFonts w:ascii="Arial" w:hAnsi="Arial" w:cs="Arial"/>
      <w:sz w:val="16"/>
    </w:rPr>
  </w:style>
  <w:style w:type="character" w:styleId="DWHdgPara">
    <w:name w:val="DW Hdg Para"/>
    <w:qFormat/>
    <w:rPr>
      <w:b/>
      <w:u w:val="none"/>
    </w:rPr>
  </w:style>
  <w:style w:type="character" w:styleId="PostTown">
    <w:name w:val="Post Town"/>
    <w:qFormat/>
    <w:rPr>
      <w:smallCaps/>
    </w:rPr>
  </w:style>
  <w:style w:type="character" w:styleId="ProtectiveMarking">
    <w:name w:val="Protective Marking"/>
    <w:qFormat/>
    <w:rPr>
      <w:b/>
      <w:caps/>
    </w:rPr>
  </w:style>
  <w:style w:type="character" w:styleId="ReferenceDate">
    <w:name w:val="Reference/Date"/>
    <w:qFormat/>
    <w:rPr>
      <w:rFonts w:ascii="Arial" w:hAnsi="Arial" w:cs="Arial"/>
      <w:spacing w:val="0"/>
      <w:sz w:val="20"/>
    </w:rPr>
  </w:style>
  <w:style w:type="character" w:styleId="DWHdgSubject">
    <w:name w:val="DW Hdg Subject"/>
    <w:qFormat/>
    <w:rPr>
      <w:caps/>
      <w:u w:val="none"/>
    </w:rPr>
  </w:style>
  <w:style w:type="character" w:styleId="PageNumber">
    <w:name w:val="page number"/>
    <w:basedOn w:val="DefaultParagraphFont"/>
    <w:rPr/>
  </w:style>
  <w:style w:type="character" w:styleId="PlaceholderText">
    <w:name w:val="Placeholder Text"/>
    <w:qFormat/>
    <w:rPr>
      <w:color w:val="808080"/>
    </w:rPr>
  </w:style>
  <w:style w:type="character" w:styleId="BalloonTextChar">
    <w:name w:val="Balloon Text Char"/>
    <w:qFormat/>
    <w:rPr>
      <w:rFonts w:ascii="Tahoma" w:hAnsi="Tahoma" w:cs="Tahoma"/>
      <w:kern w:val="2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ddressBlock">
    <w:name w:val="Address Block"/>
    <w:basedOn w:val="Normal"/>
    <w:qFormat/>
    <w:pPr/>
    <w:rPr>
      <w:sz w:val="20"/>
    </w:rPr>
  </w:style>
  <w:style w:type="paragraph" w:styleId="DWNormal">
    <w:name w:val="DW Normal"/>
    <w:basedOn w:val="Normal"/>
    <w:qFormat/>
    <w:pPr/>
    <w:rPr/>
  </w:style>
  <w:style w:type="paragraph" w:styleId="DWListAlphabetical">
    <w:name w:val="DW List Alphabetical"/>
    <w:basedOn w:val="DWNormal"/>
    <w:qFormat/>
    <w:pPr>
      <w:numPr>
        <w:ilvl w:val="0"/>
        <w:numId w:val="6"/>
      </w:numPr>
    </w:pPr>
    <w:rPr/>
  </w:style>
  <w:style w:type="paragraph" w:styleId="DWAnnex">
    <w:name w:val="DW Annex"/>
    <w:basedOn w:val="Normal"/>
    <w:qFormat/>
    <w:pPr/>
    <w:rPr>
      <w:b/>
    </w:rPr>
  </w:style>
  <w:style w:type="paragraph" w:styleId="Appointment">
    <w:name w:val="Appointment"/>
    <w:basedOn w:val="DWNormal"/>
    <w:next w:val="DWNormal"/>
    <w:qFormat/>
    <w:pPr>
      <w:spacing w:before="120" w:after="0"/>
    </w:pPr>
    <w:rPr>
      <w:i/>
    </w:rPr>
  </w:style>
  <w:style w:type="paragraph" w:styleId="Compliments">
    <w:name w:val="Compliments"/>
    <w:basedOn w:val="DWNormal"/>
    <w:next w:val="Normal"/>
    <w:qFormat/>
    <w:pPr>
      <w:spacing w:before="1160" w:after="0"/>
    </w:pPr>
    <w:rPr>
      <w:i/>
    </w:rPr>
  </w:style>
  <w:style w:type="paragraph" w:styleId="EndnoteText">
    <w:name w:val="endnote text"/>
    <w:basedOn w:val="DWNormal"/>
    <w:pPr/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DWNormal"/>
    <w:pPr>
      <w:spacing w:before="220" w:after="0"/>
    </w:pPr>
    <w:rPr/>
  </w:style>
  <w:style w:type="paragraph" w:styleId="FootnoteText">
    <w:name w:val="footnote text"/>
    <w:basedOn w:val="DWNormal"/>
    <w:pPr>
      <w:spacing w:before="0" w:after="120"/>
    </w:pPr>
    <w:rPr>
      <w:sz w:val="16"/>
    </w:rPr>
  </w:style>
  <w:style w:type="paragraph" w:styleId="DWHdgGroup">
    <w:name w:val="DW Hdg Group"/>
    <w:basedOn w:val="DWNormal"/>
    <w:next w:val="DWPara"/>
    <w:qFormat/>
    <w:pPr>
      <w:keepNext w:val="true"/>
      <w:spacing w:before="0" w:after="220"/>
    </w:pPr>
    <w:rPr>
      <w:b/>
    </w:rPr>
  </w:style>
  <w:style w:type="paragraph" w:styleId="DWPara">
    <w:name w:val="DW Para"/>
    <w:basedOn w:val="DWNormal"/>
    <w:qFormat/>
    <w:pPr>
      <w:spacing w:before="0" w:after="220"/>
    </w:pPr>
    <w:rPr/>
  </w:style>
  <w:style w:type="paragraph" w:styleId="Header">
    <w:name w:val="header"/>
    <w:basedOn w:val="DWNormal"/>
    <w:pPr>
      <w:spacing w:before="0" w:after="220"/>
    </w:pPr>
    <w:rPr/>
  </w:style>
  <w:style w:type="paragraph" w:styleId="DWHdgMain">
    <w:name w:val="DW Hdg Main"/>
    <w:basedOn w:val="DWHdgGroup"/>
    <w:next w:val="DWHdgGroup"/>
    <w:qFormat/>
    <w:pPr>
      <w:jc w:val="center"/>
    </w:pPr>
    <w:rPr/>
  </w:style>
  <w:style w:type="paragraph" w:styleId="DWName">
    <w:name w:val="DW Name"/>
    <w:basedOn w:val="DWNormal"/>
    <w:next w:val="Normal"/>
    <w:qFormat/>
    <w:pPr>
      <w:keepNext w:val="true"/>
      <w:spacing w:before="220" w:after="0"/>
    </w:pPr>
    <w:rPr/>
  </w:style>
  <w:style w:type="paragraph" w:styleId="DWListNumerical">
    <w:name w:val="DW List Numerical"/>
    <w:basedOn w:val="DWNormal"/>
    <w:qFormat/>
    <w:pPr>
      <w:numPr>
        <w:ilvl w:val="0"/>
        <w:numId w:val="4"/>
      </w:numPr>
    </w:pPr>
    <w:rPr/>
  </w:style>
  <w:style w:type="paragraph" w:styleId="Originator">
    <w:name w:val="Originator"/>
    <w:basedOn w:val="DWNormal"/>
    <w:next w:val="Normal"/>
    <w:qFormat/>
    <w:pPr>
      <w:spacing w:before="0" w:after="220"/>
    </w:pPr>
    <w:rPr/>
  </w:style>
  <w:style w:type="paragraph" w:styleId="DWTable">
    <w:name w:val="DW Table"/>
    <w:basedOn w:val="DWNormal"/>
    <w:qFormat/>
    <w:pPr/>
    <w:rPr>
      <w:sz w:val="20"/>
    </w:rPr>
  </w:style>
  <w:style w:type="paragraph" w:styleId="TableBox">
    <w:name w:val="Table Box"/>
    <w:basedOn w:val="DWTable"/>
    <w:next w:val="DWPara"/>
    <w:qFormat/>
    <w:pPr/>
    <w:rPr/>
  </w:style>
  <w:style w:type="paragraph" w:styleId="DWTablePara">
    <w:name w:val="DW Table Para"/>
    <w:basedOn w:val="DWTable"/>
    <w:qFormat/>
    <w:pPr>
      <w:spacing w:before="100" w:after="100"/>
    </w:pPr>
    <w:rPr/>
  </w:style>
  <w:style w:type="paragraph" w:styleId="DWTableCol">
    <w:name w:val="DW Table Col"/>
    <w:basedOn w:val="DWTable"/>
    <w:next w:val="DWTable"/>
    <w:qFormat/>
    <w:pPr>
      <w:spacing w:before="0" w:after="100"/>
      <w:jc w:val="center"/>
    </w:pPr>
    <w:rPr/>
  </w:style>
  <w:style w:type="paragraph" w:styleId="DWTableHdg">
    <w:name w:val="DW Table Hdg"/>
    <w:basedOn w:val="DWTable"/>
    <w:next w:val="DWTableCol"/>
    <w:qFormat/>
    <w:pPr>
      <w:spacing w:before="100" w:after="100"/>
      <w:jc w:val="center"/>
    </w:pPr>
    <w:rPr>
      <w:b/>
    </w:rPr>
  </w:style>
  <w:style w:type="paragraph" w:styleId="TelFaxBlock">
    <w:name w:val="Tel/Fax Block"/>
    <w:basedOn w:val="Normal"/>
    <w:qFormat/>
    <w:pPr/>
    <w:rPr>
      <w:sz w:val="18"/>
    </w:rPr>
  </w:style>
  <w:style w:type="paragraph" w:styleId="TOC1">
    <w:name w:val="toc 1"/>
    <w:basedOn w:val="DWNormal"/>
    <w:pPr>
      <w:ind w:hanging="0" w:start="567" w:end="0"/>
    </w:pPr>
    <w:rPr>
      <w:smallCaps/>
      <w:sz w:val="20"/>
    </w:rPr>
  </w:style>
  <w:style w:type="paragraph" w:styleId="TOC2">
    <w:name w:val="toc 2"/>
    <w:basedOn w:val="TOC1"/>
    <w:pPr>
      <w:ind w:hanging="0" w:start="851" w:end="0"/>
    </w:pPr>
    <w:rPr>
      <w:caps w:val="false"/>
      <w:smallCaps w:val="false"/>
    </w:rPr>
  </w:style>
  <w:style w:type="paragraph" w:styleId="TOC3">
    <w:name w:val="toc 3"/>
    <w:basedOn w:val="TOC2"/>
    <w:pPr>
      <w:ind w:hanging="0" w:start="1134" w:end="0"/>
    </w:pPr>
    <w:rPr/>
  </w:style>
  <w:style w:type="paragraph" w:styleId="TOC4">
    <w:name w:val="toc 4"/>
    <w:basedOn w:val="TOC3"/>
    <w:pPr>
      <w:ind w:hanging="0" w:start="1418" w:end="0"/>
    </w:pPr>
    <w:rPr/>
  </w:style>
  <w:style w:type="paragraph" w:styleId="TOC5">
    <w:name w:val="toc 5"/>
    <w:basedOn w:val="TOC4"/>
    <w:pPr>
      <w:ind w:hanging="0" w:start="1701" w:end="0"/>
    </w:pPr>
    <w:rPr/>
  </w:style>
  <w:style w:type="paragraph" w:styleId="TOC6">
    <w:name w:val="toc 6"/>
    <w:basedOn w:val="TOC5"/>
    <w:pPr>
      <w:ind w:hanging="0" w:start="1985" w:end="0"/>
    </w:pPr>
    <w:rPr/>
  </w:style>
  <w:style w:type="paragraph" w:styleId="TOC7">
    <w:name w:val="toc 7"/>
    <w:basedOn w:val="TOC6"/>
    <w:pPr>
      <w:ind w:hanging="0" w:start="2268" w:end="0"/>
    </w:pPr>
    <w:rPr/>
  </w:style>
  <w:style w:type="paragraph" w:styleId="UnitTitle">
    <w:name w:val="Unit Title"/>
    <w:basedOn w:val="AddressBlock"/>
    <w:next w:val="AddressBlock"/>
    <w:qFormat/>
    <w:pPr/>
    <w:rPr>
      <w:b/>
      <w:sz w:val="22"/>
    </w:rPr>
  </w:style>
  <w:style w:type="paragraph" w:styleId="DWSignature">
    <w:name w:val="DW Signature"/>
    <w:basedOn w:val="DWNormal"/>
    <w:next w:val="DWName"/>
    <w:qFormat/>
    <w:pPr>
      <w:spacing w:before="160" w:after="0"/>
    </w:pPr>
    <w:rPr/>
  </w:style>
  <w:style w:type="paragraph" w:styleId="DWParaNum1">
    <w:name w:val="DW Para Num1"/>
    <w:basedOn w:val="DWPara"/>
    <w:qFormat/>
    <w:pPr>
      <w:numPr>
        <w:ilvl w:val="0"/>
        <w:numId w:val="8"/>
      </w:numPr>
    </w:pPr>
    <w:rPr/>
  </w:style>
  <w:style w:type="paragraph" w:styleId="DWParaNum2">
    <w:name w:val="DW Para Num2"/>
    <w:basedOn w:val="DWPara"/>
    <w:qFormat/>
    <w:pPr>
      <w:numPr>
        <w:ilvl w:val="0"/>
        <w:numId w:val="8"/>
      </w:numPr>
    </w:pPr>
    <w:rPr/>
  </w:style>
  <w:style w:type="paragraph" w:styleId="DWParaNum3">
    <w:name w:val="DW Para Num3"/>
    <w:basedOn w:val="DWPara"/>
    <w:qFormat/>
    <w:pPr>
      <w:numPr>
        <w:ilvl w:val="0"/>
        <w:numId w:val="8"/>
      </w:numPr>
    </w:pPr>
    <w:rPr/>
  </w:style>
  <w:style w:type="paragraph" w:styleId="DWParaNum4">
    <w:name w:val="DW Para Num4"/>
    <w:basedOn w:val="DWPara"/>
    <w:qFormat/>
    <w:pPr>
      <w:numPr>
        <w:ilvl w:val="0"/>
        <w:numId w:val="8"/>
      </w:numPr>
    </w:pPr>
    <w:rPr/>
  </w:style>
  <w:style w:type="paragraph" w:styleId="DWParaNum5">
    <w:name w:val="DW Para Num5"/>
    <w:basedOn w:val="DWPara"/>
    <w:qFormat/>
    <w:pPr>
      <w:numPr>
        <w:ilvl w:val="0"/>
        <w:numId w:val="8"/>
      </w:numPr>
    </w:pPr>
    <w:rPr/>
  </w:style>
  <w:style w:type="paragraph" w:styleId="DWParaPB1">
    <w:name w:val="DW Para PB1"/>
    <w:basedOn w:val="DWPara"/>
    <w:qFormat/>
    <w:pPr>
      <w:numPr>
        <w:ilvl w:val="0"/>
        <w:numId w:val="7"/>
      </w:numPr>
    </w:pPr>
    <w:rPr/>
  </w:style>
  <w:style w:type="paragraph" w:styleId="DWParaPB2">
    <w:name w:val="DW Para PB2"/>
    <w:basedOn w:val="DWPara"/>
    <w:qFormat/>
    <w:pPr>
      <w:numPr>
        <w:ilvl w:val="0"/>
        <w:numId w:val="7"/>
      </w:numPr>
    </w:pPr>
    <w:rPr/>
  </w:style>
  <w:style w:type="paragraph" w:styleId="DWParaPB3">
    <w:name w:val="DW Para PB3"/>
    <w:basedOn w:val="DWPara"/>
    <w:qFormat/>
    <w:pPr>
      <w:numPr>
        <w:ilvl w:val="0"/>
        <w:numId w:val="7"/>
      </w:numPr>
    </w:pPr>
    <w:rPr/>
  </w:style>
  <w:style w:type="paragraph" w:styleId="DWParaPB4">
    <w:name w:val="DW Para PB4"/>
    <w:basedOn w:val="DWPara"/>
    <w:qFormat/>
    <w:pPr>
      <w:numPr>
        <w:ilvl w:val="0"/>
        <w:numId w:val="7"/>
      </w:numPr>
    </w:pPr>
    <w:rPr/>
  </w:style>
  <w:style w:type="paragraph" w:styleId="DWParaPB5">
    <w:name w:val="DW Para PB5"/>
    <w:basedOn w:val="DWPara"/>
    <w:qFormat/>
    <w:pPr>
      <w:numPr>
        <w:ilvl w:val="0"/>
        <w:numId w:val="7"/>
      </w:numPr>
    </w:pPr>
    <w:rPr/>
  </w:style>
  <w:style w:type="paragraph" w:styleId="DWTableParaNum1">
    <w:name w:val="DW Table Para Num1"/>
    <w:basedOn w:val="DWTablePara"/>
    <w:qFormat/>
    <w:pPr>
      <w:numPr>
        <w:ilvl w:val="0"/>
        <w:numId w:val="5"/>
      </w:numPr>
    </w:pPr>
    <w:rPr/>
  </w:style>
  <w:style w:type="paragraph" w:styleId="DWTableParaNum2">
    <w:name w:val="DW Table Para Num2"/>
    <w:basedOn w:val="DWTablePara"/>
    <w:qFormat/>
    <w:pPr>
      <w:numPr>
        <w:ilvl w:val="0"/>
        <w:numId w:val="5"/>
      </w:numPr>
    </w:pPr>
    <w:rPr/>
  </w:style>
  <w:style w:type="paragraph" w:styleId="DWTableParaNum3">
    <w:name w:val="DW Table Para Num3"/>
    <w:basedOn w:val="DWTablePara"/>
    <w:qFormat/>
    <w:pPr>
      <w:numPr>
        <w:ilvl w:val="0"/>
        <w:numId w:val="5"/>
      </w:numPr>
    </w:pPr>
    <w:rPr/>
  </w:style>
  <w:style w:type="paragraph" w:styleId="DWTableParaNum4">
    <w:name w:val="DW Table Para Num4"/>
    <w:basedOn w:val="DWTablePara"/>
    <w:qFormat/>
    <w:pPr>
      <w:numPr>
        <w:ilvl w:val="0"/>
        <w:numId w:val="5"/>
      </w:numPr>
    </w:pPr>
    <w:rPr/>
  </w:style>
  <w:style w:type="paragraph" w:styleId="DWTableParaNum5">
    <w:name w:val="DW Table Para Num5"/>
    <w:basedOn w:val="DWTablePara"/>
    <w:qFormat/>
    <w:pPr>
      <w:numPr>
        <w:ilvl w:val="0"/>
        <w:numId w:val="5"/>
      </w:numPr>
    </w:pPr>
    <w:rPr/>
  </w:style>
  <w:style w:type="paragraph" w:styleId="DWParaBul1">
    <w:name w:val="DW Para Bul1"/>
    <w:basedOn w:val="DWPara"/>
    <w:qFormat/>
    <w:pPr>
      <w:numPr>
        <w:ilvl w:val="0"/>
        <w:numId w:val="3"/>
      </w:numPr>
    </w:pPr>
    <w:rPr/>
  </w:style>
  <w:style w:type="paragraph" w:styleId="DWParaBul2">
    <w:name w:val="DW Para Bul2"/>
    <w:basedOn w:val="DWPara"/>
    <w:qFormat/>
    <w:pPr>
      <w:numPr>
        <w:ilvl w:val="0"/>
        <w:numId w:val="3"/>
      </w:numPr>
    </w:pPr>
    <w:rPr/>
  </w:style>
  <w:style w:type="paragraph" w:styleId="DWParaBul3">
    <w:name w:val="DW Para Bul3"/>
    <w:basedOn w:val="DWPara"/>
    <w:qFormat/>
    <w:pPr>
      <w:numPr>
        <w:ilvl w:val="0"/>
        <w:numId w:val="3"/>
      </w:numPr>
    </w:pPr>
    <w:rPr/>
  </w:style>
  <w:style w:type="paragraph" w:styleId="DWParaBul4">
    <w:name w:val="DW Para Bul4"/>
    <w:basedOn w:val="DWPara"/>
    <w:qFormat/>
    <w:pPr>
      <w:numPr>
        <w:ilvl w:val="0"/>
        <w:numId w:val="3"/>
      </w:numPr>
    </w:pPr>
    <w:rPr/>
  </w:style>
  <w:style w:type="paragraph" w:styleId="DWParaBul5">
    <w:name w:val="DW Para Bul5"/>
    <w:basedOn w:val="DWPara"/>
    <w:qFormat/>
    <w:pPr>
      <w:numPr>
        <w:ilvl w:val="0"/>
        <w:numId w:val="3"/>
      </w:numPr>
    </w:pPr>
    <w:rPr/>
  </w:style>
  <w:style w:type="paragraph" w:styleId="FooterFilename">
    <w:name w:val="Footer Filename"/>
    <w:basedOn w:val="Footer"/>
    <w:qFormat/>
    <w:pPr>
      <w:spacing w:before="120" w:after="0"/>
    </w:pPr>
    <w:rPr>
      <w:sz w:val="12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DMRC_Headley_Court_High_Performance_Clinic_Confirmation_of_Eligibility_v1.0.dot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2017-03-07T13:51:00Z</dcterms:created>
  <dc:creator>wrightm672</dc:creator>
  <dc:description/>
  <cp:keywords/>
  <dc:language>en-GB</dc:language>
  <cp:lastModifiedBy>Wright, Martin WO</cp:lastModifiedBy>
  <cp:lastPrinted>1901-01-01T00:00:00Z</cp:lastPrinted>
  <dcterms:modified xsi:type="dcterms:W3CDTF">2017-03-07T14:16:00Z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Originator">
    <vt:lpwstr/>
  </property>
  <property fmtid="{D5CDD505-2E9C-101B-9397-08002B2CF9AE}" pid="3" name="Copyright">
    <vt:lpwstr/>
  </property>
  <property fmtid="{D5CDD505-2E9C-101B-9397-08002B2CF9AE}" pid="4" name="DPADisclosabilityIndicator">
    <vt:lpwstr/>
  </property>
  <property fmtid="{D5CDD505-2E9C-101B-9397-08002B2CF9AE}" pid="5" name="DPAExemption">
    <vt:lpwstr/>
  </property>
  <property fmtid="{D5CDD505-2E9C-101B-9397-08002B2CF9AE}" pid="6" name="Description0">
    <vt:lpwstr/>
  </property>
  <property fmtid="{D5CDD505-2E9C-101B-9397-08002B2CF9AE}" pid="7" name="DocumentVersion">
    <vt:lpwstr/>
  </property>
  <property fmtid="{D5CDD505-2E9C-101B-9397-08002B2CF9AE}" pid="8" name="EIRDisclosabilityIndicator">
    <vt:lpwstr/>
  </property>
  <property fmtid="{D5CDD505-2E9C-101B-9397-08002B2CF9AE}" pid="9" name="EIRException">
    <vt:lpwstr/>
  </property>
  <property fmtid="{D5CDD505-2E9C-101B-9397-08002B2CF9AE}" pid="10" name="FOIExemption">
    <vt:lpwstr>No</vt:lpwstr>
  </property>
  <property fmtid="{D5CDD505-2E9C-101B-9397-08002B2CF9AE}" pid="11" name="FOIPublicationDate">
    <vt:lpwstr/>
  </property>
  <property fmtid="{D5CDD505-2E9C-101B-9397-08002B2CF9AE}" pid="12" name="FOIReleasedOnRequest">
    <vt:lpwstr/>
  </property>
  <property fmtid="{D5CDD505-2E9C-101B-9397-08002B2CF9AE}" pid="13" name="Local KeywordsOOB">
    <vt:lpwstr/>
  </property>
  <property fmtid="{D5CDD505-2E9C-101B-9397-08002B2CF9AE}" pid="14" name="LocalKeywords">
    <vt:lpwstr/>
  </property>
  <property fmtid="{D5CDD505-2E9C-101B-9397-08002B2CF9AE}" pid="15" name="PolicyIdentifier">
    <vt:lpwstr>UK</vt:lpwstr>
  </property>
  <property fmtid="{D5CDD505-2E9C-101B-9397-08002B2CF9AE}" pid="16" name="SecurityDescriptors">
    <vt:lpwstr>None</vt:lpwstr>
  </property>
  <property fmtid="{D5CDD505-2E9C-101B-9397-08002B2CF9AE}" pid="17" name="SecurityNonUKConstraints">
    <vt:lpwstr/>
  </property>
  <property fmtid="{D5CDD505-2E9C-101B-9397-08002B2CF9AE}" pid="18" name="Status">
    <vt:lpwstr/>
  </property>
  <property fmtid="{D5CDD505-2E9C-101B-9397-08002B2CF9AE}" pid="19" name="UKProtectiveMarking">
    <vt:lpwstr>OFFICIAL</vt:lpwstr>
  </property>
</Properties>
</file>