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E5DFEC"/>
  <w:body>
    <w:p>
      <w:pPr>
        <w:pStyle w:val="Normal"/>
        <w:rPr>
          <w:rFonts w:ascii="Arial" w:hAnsi="Arial" w:cs="Arial"/>
          <w:sz w:val="6"/>
          <w:szCs w:val="6"/>
        </w:rPr>
      </w:pPr>
      <w:r>
        <w:rPr>
          <w:rFonts w:cs="Arial" w:ascii="Arial" w:hAnsi="Arial"/>
          <w:sz w:val="6"/>
          <w:szCs w:val="6"/>
        </w:rPr>
        <w:t>n</w:t>
      </w:r>
    </w:p>
    <w:p>
      <w:pPr>
        <w:pStyle w:val="Normal"/>
        <w:jc w:val="center"/>
        <w:rPr>
          <w:rFonts w:ascii="Arial" w:hAnsi="Arial" w:cs="Arial"/>
          <w:b/>
          <w:bCs/>
          <w:color w:val="000000"/>
          <w:sz w:val="10"/>
          <w:szCs w:val="10"/>
        </w:rPr>
      </w:pPr>
      <w:r>
        <w:rPr>
          <w:rFonts w:cs="Arial" w:ascii="Arial" w:hAnsi="Arial"/>
          <w:b/>
          <w:bCs/>
          <w:color w:val="000000"/>
          <w:sz w:val="10"/>
          <w:szCs w:val="10"/>
        </w:rPr>
      </w:r>
    </w:p>
    <w:p>
      <w:pPr>
        <w:pStyle w:val="Normal"/>
        <w:tabs>
          <w:tab w:val="left" w:pos="567" w:leader="none"/>
          <w:tab w:val="left" w:pos="1134" w:leader="none"/>
          <w:tab w:val="left" w:pos="1701" w:leader="none"/>
          <w:tab w:val="left" w:pos="2268" w:leader="none"/>
          <w:tab w:val="left" w:pos="2835" w:leader="none"/>
          <w:tab w:val="left" w:pos="3402" w:leader="none"/>
          <w:tab w:val="left" w:pos="3969" w:leader="none"/>
          <w:tab w:val="left" w:pos="4536" w:leader="none"/>
          <w:tab w:val="left" w:pos="5103" w:leader="none"/>
          <w:tab w:val="left" w:pos="5670" w:leader="none"/>
          <w:tab w:val="left" w:pos="6237" w:leader="none"/>
          <w:tab w:val="left" w:pos="6804" w:leader="none"/>
          <w:tab w:val="left" w:pos="7371" w:leader="none"/>
          <w:tab w:val="left" w:pos="7938" w:leader="none"/>
          <w:tab w:val="right" w:pos="9638" w:leader="none"/>
        </w:tabs>
        <w:autoSpaceDE w:val="false"/>
        <w:rPr>
          <w:rFonts w:ascii="Arial" w:hAnsi="Arial" w:cs="Arial"/>
          <w:color w:val="333333"/>
          <w:kern w:val="2"/>
          <w:sz w:val="12"/>
          <w:szCs w:val="12"/>
        </w:rPr>
      </w:pPr>
      <w:bookmarkStart w:id="0" w:name="_1667717752"/>
      <w:bookmarkEnd w:id="0"/>
      <w:r>
        <w:rPr>
          <w:rFonts w:cs="Arial" w:ascii="Arial" w:hAnsi="Arial"/>
          <w:color w:val="333333"/>
          <w:kern w:val="2"/>
          <w:sz w:val="12"/>
          <w:szCs w:val="1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71.9pt;height:23.9pt" type="#_x0000_t75"/>
          <w:control r:id="rId2" w:name="start" w:shapeid="control_shape_0"/>
        </w:object>
      </w:r>
      <w:r>
        <w:rPr>
          <w:rFonts w:eastAsia="Arial" w:cs="Arial" w:ascii="Arial" w:hAnsi="Arial"/>
          <w:color w:val="333333"/>
          <w:kern w:val="2"/>
          <w:sz w:val="12"/>
          <w:szCs w:val="12"/>
        </w:rPr>
        <w:t xml:space="preserve">                                      </w:t>
      </w:r>
      <w:r>
        <w:rPr>
          <w:rFonts w:cs="Arial" w:ascii="Arial" w:hAnsi="Arial"/>
          <w:color w:val="333333"/>
          <w:kern w:val="2"/>
          <w:sz w:val="12"/>
          <w:szCs w:val="12"/>
        </w:rPr>
        <w:tab/>
        <w:tab/>
        <w:tab/>
      </w:r>
      <w:r>
        <w:rPr>
          <w:sz w:val="32"/>
          <w:szCs w:val="32"/>
        </w:rPr>
        <w:t xml:space="preserve">2nd UIN(s): </w:t>
      </w:r>
      <w:r>
        <w:fldChar w:fldCharType="begin">
          <w:ffData>
            <w:name w:val="drpUIN"/>
            <w:enabled/>
            <w:ddList>
              <w:result w:val="0"/>
            </w:ddList>
          </w:ffData>
        </w:fldChar>
      </w:r>
      <w:r>
        <w:rPr>
          <w:sz w:val="32"/>
          <w:szCs w:val="32"/>
          <w:highlight w:val="lightGray"/>
        </w:rPr>
        <w:instrText xml:space="preserve"> FORMDROPDOWN </w:instrText>
      </w:r>
      <w:r>
        <w:rPr>
          <w:sz w:val="32"/>
          <w:szCs w:val="32"/>
          <w:highlight w:val="lightGray"/>
        </w:rPr>
        <w:fldChar w:fldCharType="separate"/>
      </w:r>
      <w:bookmarkStart w:id="1" w:name="drpUIN"/>
      <w:bookmarkStart w:id="2" w:name="drpUIN"/>
      <w:bookmarkEnd w:id="2"/>
      <w:r>
        <w:rPr>
          <w:sz w:val="32"/>
          <w:szCs w:val="32"/>
          <w:highlight w:val="lightGray"/>
        </w:rPr>
      </w:r>
      <w:r>
        <w:rPr>
          <w:sz w:val="32"/>
          <w:szCs w:val="32"/>
          <w:highlight w:val="lightGray"/>
        </w:rPr>
        <w:fldChar w:fldCharType="end"/>
      </w:r>
      <w:r>
        <w:rPr>
          <w:rFonts w:cs="Arial" w:ascii="Arial" w:hAnsi="Arial"/>
          <w:color w:val="333333"/>
          <w:kern w:val="2"/>
          <w:sz w:val="12"/>
          <w:szCs w:val="12"/>
        </w:rPr>
        <w:tab/>
        <w:tab/>
      </w:r>
      <w:r>
        <w:rPr>
          <w:sz w:val="32"/>
          <w:szCs w:val="32"/>
        </w:rPr>
        <w:t xml:space="preserve">Speed: </w:t>
      </w:r>
      <w:r>
        <w:fldChar w:fldCharType="begin">
          <w:ffData>
            <w:name w:val="drpSpeed"/>
            <w:enabled/>
            <w:ddList>
              <w:result w:val="0"/>
              <w:listEntry w:val="Normal"/>
              <w:listEntry w:val="Slow"/>
            </w:ddList>
          </w:ffData>
        </w:fldChar>
      </w:r>
      <w:r>
        <w:rPr>
          <w:sz w:val="32"/>
          <w:szCs w:val="32"/>
          <w:highlight w:val="magenta"/>
        </w:rPr>
        <w:instrText xml:space="preserve"> FORMDROPDOWN </w:instrText>
      </w:r>
      <w:r>
        <w:rPr>
          <w:sz w:val="32"/>
          <w:szCs w:val="32"/>
          <w:highlight w:val="magenta"/>
        </w:rPr>
        <w:fldChar w:fldCharType="separate"/>
      </w:r>
      <w:bookmarkStart w:id="3" w:name="drpSpeed"/>
      <w:bookmarkStart w:id="4" w:name="drpSpeed"/>
      <w:bookmarkEnd w:id="4"/>
      <w:r>
        <w:rPr>
          <w:sz w:val="32"/>
          <w:szCs w:val="32"/>
          <w:highlight w:val="magenta"/>
        </w:rPr>
      </w:r>
      <w:r>
        <w:rPr>
          <w:sz w:val="32"/>
          <w:szCs w:val="32"/>
          <w:highlight w:val="magenta"/>
        </w:rPr>
        <w:fldChar w:fldCharType="end"/>
      </w:r>
      <w:r>
        <w:rPr>
          <w:sz w:val="32"/>
          <w:szCs w:val="32"/>
        </w:rPr>
        <w:tab/>
      </w:r>
    </w:p>
    <w:p>
      <w:pPr>
        <w:pStyle w:val="Normal"/>
        <w:autoSpaceDE w:val="false"/>
        <w:rPr>
          <w:rFonts w:ascii="Calibri" w:hAnsi="Calibri" w:cs="Arial"/>
          <w:color w:val="333333"/>
          <w:kern w:val="2"/>
          <w:sz w:val="28"/>
          <w:szCs w:val="28"/>
        </w:rPr>
      </w:pPr>
      <w:r>
        <w:rPr>
          <w:rFonts w:cs="Arial" w:ascii="Calibri" w:hAnsi="Calibri"/>
          <w:color w:val="333333"/>
          <w:kern w:val="2"/>
          <w:sz w:val="28"/>
          <w:szCs w:val="28"/>
        </w:rPr>
      </w:r>
    </w:p>
    <w:p>
      <w:pPr>
        <w:pStyle w:val="Normal"/>
        <w:numPr>
          <w:ilvl w:val="0"/>
          <w:numId w:val="5"/>
        </w:numPr>
        <w:autoSpaceDE w:val="false"/>
        <w:rPr>
          <w:rFonts w:ascii="Calibri" w:hAnsi="Calibri" w:cs="Arial"/>
          <w:kern w:val="2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Click on the yellow padlock icon (top left) to enable the 'Start' button.</w:t>
      </w:r>
    </w:p>
    <w:p>
      <w:pPr>
        <w:pStyle w:val="Normal"/>
        <w:numPr>
          <w:ilvl w:val="0"/>
          <w:numId w:val="5"/>
        </w:numPr>
        <w:autoSpaceDE w:val="false"/>
        <w:rPr>
          <w:rFonts w:ascii="Calibri" w:hAnsi="Calibri" w:cs="Arial"/>
          <w:kern w:val="2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Please paste the whole contents of the registration document below the line. </w:t>
      </w:r>
    </w:p>
    <w:p>
      <w:pPr>
        <w:pStyle w:val="Normal"/>
        <w:numPr>
          <w:ilvl w:val="0"/>
          <w:numId w:val="5"/>
        </w:numPr>
        <w:autoSpaceDE w:val="false"/>
        <w:rPr>
          <w:rFonts w:ascii="Calibri" w:hAnsi="Calibri" w:cs="Arial"/>
          <w:kern w:val="2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To delete the contents, place the cursor at the start of "Annex A to..." and press Ctrl-Shift-End together and press delete.</w:t>
      </w:r>
    </w:p>
    <w:p>
      <w:pPr>
        <w:pStyle w:val="Normal"/>
        <w:jc w:val="both"/>
        <w:rPr>
          <w:rFonts w:ascii="Arial" w:hAnsi="Arial" w:eastAsia="SimSun;ËÎÌå" w:cs="Arial"/>
          <w:b/>
          <w:bCs/>
          <w:lang w:eastAsia="zh-C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22860</wp:posOffset>
                </wp:positionH>
                <wp:positionV relativeFrom="paragraph">
                  <wp:posOffset>136525</wp:posOffset>
                </wp:positionV>
                <wp:extent cx="6087110" cy="1270"/>
                <wp:effectExtent l="635" t="6350" r="635" b="635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7240" cy="1800"/>
                        </a:xfrm>
                        <a:prstGeom prst="straightConnector1">
                          <a:avLst/>
                        </a:prstGeom>
                        <a:ln w="12600">
                          <a:solidFill>
                            <a:srgbClr val="7030a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8pt;margin-top:10.75pt;width:479.25pt;height:0.1pt" type="_x0000_t32">
                <v:stroke color="#7030a0" weight="1260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eastAsia="Arial" w:cs="Arial" w:ascii="Arial" w:hAnsi="Arial"/>
          <w:b/>
          <w:bCs/>
          <w:lang w:eastAsia="zh-CN"/>
        </w:rPr>
        <w:t xml:space="preserve">     </w:t>
      </w:r>
      <w:r>
        <w:rPr>
          <w:rFonts w:eastAsia="SimSun;ËÎÌå" w:cs="Arial" w:ascii="Arial" w:hAnsi="Arial"/>
          <w:b/>
          <w:bCs/>
          <w:lang w:eastAsia="zh-CN"/>
        </w:rPr>
        <w:tab/>
        <w:tab/>
        <w:t xml:space="preserve">     </w:t>
      </w:r>
      <w:r>
        <w:rPr>
          <w:rFonts w:eastAsia="SimSun;ËÎÌå" w:cs="Arial" w:ascii="Arial" w:hAnsi="Arial"/>
          <w:b/>
          <w:bCs/>
          <w:lang w:eastAsia="zh-CN"/>
        </w:rPr>
        <w:t xml:space="preserve">     </w:t>
        <w:tab/>
        <w:tab/>
        <w:t xml:space="preserve">         </w:t>
        <w:tab/>
        <w:tab/>
        <w:t xml:space="preserve">     </w:t>
        <w:tab/>
        <w:tab/>
        <w:t xml:space="preserve">           </w:t>
        <w:tab/>
        <w:tab/>
        <w:t xml:space="preserve">      </w:t>
      </w:r>
    </w:p>
    <w:p>
      <w:pPr>
        <w:pStyle w:val="Normal"/>
        <w:jc w:val="both"/>
        <w:rPr>
          <w:rFonts w:ascii="Arial" w:hAnsi="Arial" w:eastAsia="SimSun;ËÎÌå" w:cs="Arial"/>
          <w:b/>
          <w:bCs/>
          <w:sz w:val="32"/>
          <w:szCs w:val="32"/>
          <w:lang w:eastAsia="zh-CN"/>
        </w:rPr>
      </w:pPr>
      <w:r>
        <w:rPr>
          <w:rFonts w:eastAsia="SimSun;ËÎÌå" w:cs="Arial" w:ascii="Arial" w:hAnsi="Arial"/>
          <w:b/>
          <w:bCs/>
          <w:sz w:val="32"/>
          <w:szCs w:val="32"/>
          <w:lang w:eastAsia="zh-CN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0" w:top="1134" w:footer="709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>
        <w:rFonts w:ascii="Arial" w:hAnsi="Arial" w:cs="Arial"/>
        <w:b/>
        <w:sz w:val="20"/>
        <w:szCs w:val="20"/>
      </w:rPr>
    </w:pPr>
    <w:r>
      <w:rPr>
        <w:rFonts w:cs="Arial" w:ascii="Arial" w:hAnsi="Arial"/>
        <w:b/>
        <w:sz w:val="20"/>
        <w:szCs w:val="20"/>
      </w:rPr>
      <w:t>NOT INTENDED TO BE SAVED OR PRINTED</w:t>
    </w:r>
  </w:p>
  <w:p>
    <w:pPr>
      <w:pStyle w:val="Header"/>
      <w:spacing w:before="0" w:after="0"/>
      <w:rPr/>
    </w:pPr>
    <w:r>
      <w:rPr>
        <w:rFonts w:cs="Arial" w:ascii="Arial" w:hAnsi="Arial"/>
        <w:b/>
        <w:sz w:val="20"/>
        <w:szCs w:val="20"/>
      </w:rPr>
      <w:t>Version 0_26: 7 Oct 2024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>
        <w:rFonts w:ascii="Arial" w:hAnsi="Arial" w:cs="Arial"/>
        <w:b/>
        <w:sz w:val="20"/>
        <w:szCs w:val="20"/>
      </w:rPr>
    </w:pPr>
    <w:r>
      <w:rPr>
        <w:rFonts w:cs="Arial" w:ascii="Arial" w:hAnsi="Arial"/>
        <w:b/>
        <w:sz w:val="20"/>
        <w:szCs w:val="20"/>
      </w:rPr>
      <w:t>NOT INTENDED TO BE SAVED OR PRINTED</w:t>
    </w:r>
  </w:p>
  <w:p>
    <w:pPr>
      <w:pStyle w:val="Header"/>
      <w:spacing w:before="0" w:after="0"/>
      <w:rPr>
        <w:rFonts w:ascii="Arial" w:hAnsi="Arial" w:cs="Arial"/>
        <w:sz w:val="20"/>
        <w:szCs w:val="20"/>
      </w:rPr>
    </w:pPr>
    <w:r>
      <w:rPr>
        <w:rFonts w:cs="Arial" w:ascii="Arial" w:hAnsi="Arial"/>
        <w:b/>
        <w:sz w:val="20"/>
        <w:szCs w:val="20"/>
      </w:rPr>
      <w:t>eReg Data Entry Helper SmartDoc</w:t>
    </w:r>
  </w:p>
  <w:p>
    <w:pPr>
      <w:pStyle w:val="Header"/>
      <w:spacing w:before="0" w:after="0"/>
      <w:jc w:val="center"/>
      <w:rPr>
        <w:rFonts w:ascii="Arial" w:hAnsi="Arial" w:cs="Arial"/>
        <w:sz w:val="8"/>
        <w:szCs w:val="8"/>
      </w:rPr>
    </w:pPr>
    <w:r>
      <w:rPr>
        <w:rFonts w:cs="Arial" w:ascii="Arial" w:hAnsi="Arial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7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8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isplayBackgroundShape/>
  <w:defaultTabStop w:val="567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Anticipated Outcome:"/>
    <w:docVar w:name="Free_Text_Prompt_2" w:val="Anticipated timeline / stability of condition"/>
    <w:docVar w:name="Free_Text_Prompt_3" w:val="Can they wear operational body armour? Enter &quot;Yes&quot; or &quot;No&quot;"/>
    <w:docVar w:name="Free_Text_Prompt_4" w:val="PT Prescription: input &quot;Requires one&quot; or &quot;Has been issued one&quot; as appropriate."/>
    <w:docVar w:name="PCS_DOCUMENT_NAME" w:val="Individual_eReg_Data-SD-W-v0_25.dot"/>
    <w:docVar w:name="PCS_HANDLE" w:val="131652"/>
    <w:docVar w:name="PCS_MSG" w:val="49673"/>
    <w:docVar w:name="PULHHEEMS_T_1" w:val="3|ALL"/>
    <w:docVar w:name="PULHHEEMS_T_2" w:val="3|ALL"/>
    <w:docVar w:name="Read_Code_F_1" w:val="RAFPUPU1|PULHHEEMS Profile|1|T,H"/>
    <w:docVar w:name="Read_Code_F_10" w:val="DMS9231|Limitation status: 3101: Travel on foot across rough terrain restrictions|1|D,H"/>
    <w:docVar w:name="Read_Code_F_100" w:val="DMS4320|Walk 3.2km carrying 15kg|1|U,H"/>
    <w:docVar w:name="Read_Code_F_101" w:val="DMS4321|Wear body armour (ECBA 4.5kg)|1|D,H"/>
    <w:docVar w:name="Read_Code_F_102" w:val="DMS4322|Wear body armour (OSPREY 10.5kg)|1|D,H"/>
    <w:docVar w:name="Read_Code_F_103" w:val="DMS4323|Stand 2 hours in PPE with weapon|1|D,H"/>
    <w:docVar w:name="Read_Code_F_104" w:val="DMS4374|Trade restrictions - User entered|1|A,H"/>
    <w:docVar w:name="Read_Code_F_105" w:val="DMS4375|Noise Restrictions|1|D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D,H"/>
    <w:docVar w:name="Read_Code_F_11" w:val="DMS9238|Limitation status: 3200: Living in field conditions restrictions|1|D,H"/>
    <w:docVar w:name="Read_Code_F_110" w:val="DMS4388|Other Restrictions - User entered|1|A,H"/>
    <w:docVar w:name="Read_Code_F_111" w:val="DMS4389|Ongoing primary health care|1|D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D,H"/>
    <w:docVar w:name="Read_Code_F_119" w:val="DMS4401|Physical training restriction - has a rehabilitation programme|1|D,H"/>
    <w:docVar w:name="Read_Code_F_12" w:val="DMS9234|Limitation status: 3102: Move tactically and adopting fire positions restrictions|1|D,H"/>
    <w:docVar w:name="Read_Code_F_120" w:val="DMS4402|Physical training restriction - risk of prolonged recovery if rehab interrupted|1|D,H"/>
    <w:docVar w:name="Read_Code_F_121" w:val="DMS4403|PFA|1|D,H"/>
    <w:docVar w:name="Read_Code_F_122" w:val="DMS4409|AFT|1|D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9340|Limitation status: 5100: Climatic restrictions  - To be employed in appropriate thermal environment|1|D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355|Deployability/Employability on Operations - User comments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D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9228|Limitation status: 3100: Infantry activities (including digging) restrictions|1|D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D,H"/>
    <w:docVar w:name="Read_Code_F_159" w:val="DMS4520|Workplace Assessment - User entered|1|A,H"/>
    <w:docVar w:name="Read_Code_F_16" w:val="PCS15089JM2|JMES Anticipated Timeline / Stability|1|A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1L0|Date of onset|1|T"/>
    <w:docVar w:name="Read_Code_F_18" w:val="DMS4316|Functional capacity on operations|1|A"/>
    <w:docVar w:name="Read_Code_F_19" w:val="DMS9428|Limitation status: 6004: Unable to stand for long periods|1|D,H"/>
    <w:docVar w:name="Read_Code_F_2" w:val="TRIQQNME2|Medical deployability status|1|D,H"/>
    <w:docVar w:name="Read_Code_F_20" w:val="DMS9437|Limitation status: 6007: Able to walk short distances only|1|D,H"/>
    <w:docVar w:name="Read_Code_F_21" w:val="DMS9425|Limitation status: 6003: Unable to sit for long periods|1|D,H"/>
    <w:docVar w:name="Read_Code_F_22" w:val="DMS9451|Limitation status: 6200: Unfit heavy lifting|1|U,H"/>
    <w:docVar w:name="Read_Code_F_23" w:val="DMS9091|Limitation status: 1210: Fit limited working hours agreed between MO and  Line Manager|1|D,H"/>
    <w:docVar w:name="Read_Code_F_24" w:val="DMS9120|Limitation status: 1403: Unfit to drive specific vehicle (type will be specified in Med Docs)|1|D,H"/>
    <w:docVar w:name="Read_Code_F_25" w:val="DMS9434|Limitation status: 6006: Unfit marching / drill|1|U,H"/>
    <w:docVar w:name="Read_Code_F_26" w:val="DMS9579|Limitation status: 9200: Unfit guard duties|1|D,H"/>
    <w:docVar w:name="Read_Code_F_27" w:val="DMS9589|Limitation status: 9301: Unfit wearing Service footwear (to be specified in Med Docs)|1|D,H"/>
    <w:docVar w:name="Read_Code_F_28" w:val="DMS9586|Limitation status: 9300: Clothing restrictions / military PPE (to be specified in med docs)|1|D,H"/>
    <w:docVar w:name="Read_Code_F_29" w:val="DMS9617|Limitation status: 9004: Weapon handling restrictions|1|D,H"/>
    <w:docVar w:name="Read_Code_F_3" w:val="RAFMEME1|Permanent/temporary MES/PES|1|D,H"/>
    <w:docVar w:name="Read_Code_F_30" w:val="DMS9097|Limitation status: 1212: Passenger - land vehicles restriction |1|D,H"/>
    <w:docVar w:name="Read_Code_F_31" w:val="PCS15089PH2|Physical Training Level|1|D,H"/>
    <w:docVar w:name="Read_Code_F_32" w:val="DMS9575|Limitation status: 9003: Ranges restrictions|1|D,H"/>
    <w:docVar w:name="Read_Code_F_33" w:val="DMS9070|Limitation status: 1203: Unfit to work at height |1|D,H"/>
    <w:docVar w:name="Read_Code_F_34" w:val="DMS9611|Limitation status: 1213: Workplace restrictions|1|D,H"/>
    <w:docVar w:name="Read_Code_F_35" w:val="PCS15089PH3|Physical Training Prescription|1|D,H"/>
    <w:docVar w:name="Read_Code_F_36" w:val="DMS9395|Limitation status: 5500: Must have MRA undertaken by ROHC prior to Exercise / IPDT / deployment|1|D,H"/>
    <w:docVar w:name="Read_Code_F_37" w:val="DMS4402|Rehabilitation programme - risk of prolonged recovery if rehab interrupted|1|D,H"/>
    <w:docVar w:name="Read_Code_F_38" w:val="PCS15089WE1|Wear Operational Body Armour|1|D,H"/>
    <w:docVar w:name="Read_Code_F_39" w:val="DMS4625|FMed23 - Relevant current medications|1|A,H"/>
    <w:docVar w:name="Read_Code_F_4" w:val="TRIQQNAI1|Air MES Values|1|D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TRIQQNLA1|Land MES Values|1|D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TRIQQNMA1|Maritime MES Values|1|D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TRIQQNEN1|Environment MES Values|1|D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D,H"/>
    <w:docVar w:name="Read_Code_F_76" w:val="DMS4326|Deployment risk - Worsening condition (Low Risk,Medium Risk,High Risk)|1|D,H"/>
    <w:docVar w:name="Read_Code_F_77" w:val="DMS4327|Deployment risk - Primary care requirement (Low Risk,Medium Risk,High Risk)|1|D,H"/>
    <w:docVar w:name="Read_Code_F_78" w:val="DMS4328|Deployment risk - Rehabilitation requirement (Low Risk,Medium Risk,High Risk)|1|D,H"/>
    <w:docVar w:name="Read_Code_F_79" w:val="DMS4329|Deployment risk - Secondary care requirement (Low Risk,Medium Risk,High Risk)|1|D,H"/>
    <w:docVar w:name="Read_Code_F_8" w:val="DMS4531|ROHT approval required before commencing MST/Deployment|1|D,H"/>
    <w:docVar w:name="Read_Code_F_80" w:val="DMS4330|Deployment risk - Emergency aeromed (Low Risk,Medium Risk,High Risk)|1|D,H"/>
    <w:docVar w:name="Read_Code_F_81" w:val="DMS4331|Deployment risk - Interference with treatment (Low Risk,Medium Risk,High Risk)|1|D,H"/>
    <w:docVar w:name="Read_Code_F_82" w:val="DMS4332|Deployment risk - Overall risk assessment for deployment (Low Risk,Medium Risk,High Risk)|1|D,H"/>
    <w:docVar w:name="Read_Code_F_83" w:val="DMS4355|Deployability/Employability on Operations - User comments|1|A,H"/>
    <w:docVar w:name="Read_Code_F_84" w:val="DMS4334|Weight - personal kit &amp; equipment|1|D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PCS15089JM1|JMES Anticipated Outcome|1|A"/>
    <w:docVar w:name="Read_Code_F_90" w:val="DMS4356|Full trade exercise activities|1|D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D,H"/>
    <w:docVar w:name="Read_Code_F_98" w:val="DMS4318|Run a short distance (100m)|1|D,H"/>
    <w:docVar w:name="Read_Code_F_99" w:val="DMS4319|Carry own bergan to transport|1|D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2z1">
    <w:name w:val="WW8Num2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2z2">
    <w:name w:val="WW8Num2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2z3">
    <w:name w:val="WW8Num2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2z4">
    <w:name w:val="WW8Num2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2z5">
    <w:name w:val="WW8Num2z5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7z0">
    <w:name w:val="WW8Num7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7z5">
    <w:name w:val="WW8Num7z5"/>
    <w:qFormat/>
    <w:rPr>
      <w:b w:val="false"/>
      <w:i w:val="false"/>
      <w:sz w:val="24"/>
    </w:rPr>
  </w:style>
  <w:style w:type="character" w:styleId="WW8Num7z7">
    <w:name w:val="WW8Num7z7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cs="Times New Roman"/>
    </w:rPr>
  </w:style>
  <w:style w:type="character" w:styleId="WW8Num10z1">
    <w:name w:val="WW8Num10z1"/>
    <w:qFormat/>
    <w:rPr>
      <w:rFonts w:cs="Times New Roman"/>
    </w:rPr>
  </w:style>
  <w:style w:type="character" w:styleId="WW8Num11z0">
    <w:name w:val="WW8Num11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3z5">
    <w:name w:val="WW8Num13z5"/>
    <w:qFormat/>
    <w:rPr/>
  </w:style>
  <w:style w:type="character" w:styleId="WW8Num14z0">
    <w:name w:val="WW8Num1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4z5">
    <w:name w:val="WW8Num14z5"/>
    <w:qFormat/>
    <w:rPr>
      <w:b w:val="false"/>
      <w:i w:val="false"/>
      <w:sz w:val="24"/>
    </w:rPr>
  </w:style>
  <w:style w:type="character" w:styleId="WW8Num14z7">
    <w:name w:val="WW8Num14z7"/>
    <w:qFormat/>
    <w:rPr/>
  </w:style>
  <w:style w:type="character" w:styleId="WW8Num15z0">
    <w:name w:val="WW8Num15z0"/>
    <w:qFormat/>
    <w:rPr>
      <w:rFonts w:cs="Times New Roman"/>
    </w:rPr>
  </w:style>
  <w:style w:type="character" w:styleId="WW8Num15z1">
    <w:name w:val="WW8Num15z1"/>
    <w:qFormat/>
    <w:rPr>
      <w:rFonts w:cs="Times New Roman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PlaceholderText">
    <w:name w:val="Placeholder Text"/>
    <w:qFormat/>
    <w:rPr>
      <w:rFonts w:cs="Times New Roman"/>
      <w:color w:val="808080"/>
    </w:rPr>
  </w:style>
  <w:style w:type="character" w:styleId="normaltextrun">
    <w:name w:val="normaltextrun"/>
    <w:qFormat/>
    <w:rPr>
      <w:rFonts w:cs="Times New Roman"/>
    </w:rPr>
  </w:style>
  <w:style w:type="character" w:styleId="eop">
    <w:name w:val="eop"/>
    <w:qFormat/>
    <w:rPr>
      <w:rFonts w:cs="Times New Roman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7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4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9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8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6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6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6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6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6"/>
      </w:numPr>
    </w:pPr>
    <w:rPr/>
  </w:style>
  <w:style w:type="paragraph" w:styleId="DWParaBul1">
    <w:name w:val="DW Para Bul1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3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0"/>
      <w:contextualSpacing/>
    </w:pPr>
    <w:rPr/>
  </w:style>
  <w:style w:type="paragraph" w:styleId="ListParagraph">
    <w:name w:val="List Paragraph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paragraph">
    <w:name w:val="paragraph"/>
    <w:basedOn w:val="Normal"/>
    <w:qFormat/>
    <w:pPr>
      <w:spacing w:before="100" w:after="100"/>
    </w:pPr>
    <w:rPr/>
  </w:style>
  <w:style w:type="paragraph" w:styleId="NormalWeb">
    <w:name w:val="Normal (Web)"/>
    <w:basedOn w:val="Normal"/>
    <w:qFormat/>
    <w:pPr>
      <w:spacing w:before="100" w:after="10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Individual_eReg_Data-SD-W-v0_25.dot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2024-01-15T17:18:00Z</dcterms:created>
  <dc:creator>rileyn364</dc:creator>
  <dc:description/>
  <cp:keywords>v0_26</cp:keywords>
  <dc:language>en-GB</dc:language>
  <cp:lastModifiedBy>Forde, Mike Maj</cp:lastModifiedBy>
  <cp:lastPrinted>2011-07-27T08:22:00Z</cp:lastPrinted>
  <dcterms:modified xsi:type="dcterms:W3CDTF">2024-10-07T16:40:00Z</dcterms:modified>
  <cp:revision>8</cp:revision>
  <dc:subject/>
  <dc:title>eReg SmartDoc</dc:title>
</cp:coreProperties>
</file>