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6606" w14:textId="2A4A773B" w:rsidR="00366191" w:rsidRDefault="00707606" w:rsidP="00EB53CF">
      <w:pPr>
        <w:spacing w:after="0"/>
        <w:rPr>
          <w:b/>
          <w:bCs/>
          <w:sz w:val="32"/>
          <w:szCs w:val="32"/>
        </w:rPr>
      </w:pPr>
      <w:r>
        <w:rPr>
          <w:b/>
          <w:bCs/>
          <w:sz w:val="32"/>
          <w:szCs w:val="32"/>
        </w:rPr>
        <w:t>5</w:t>
      </w:r>
      <w:r w:rsidR="00333DE7">
        <w:rPr>
          <w:b/>
          <w:bCs/>
          <w:sz w:val="32"/>
          <w:szCs w:val="32"/>
        </w:rPr>
        <w:t xml:space="preserve">. Decommissioning </w:t>
      </w:r>
      <w:r w:rsidR="001866FC">
        <w:rPr>
          <w:b/>
          <w:bCs/>
          <w:sz w:val="32"/>
          <w:szCs w:val="32"/>
        </w:rPr>
        <w:t>P</w:t>
      </w:r>
      <w:r w:rsidR="00333DE7">
        <w:rPr>
          <w:b/>
          <w:bCs/>
          <w:sz w:val="32"/>
          <w:szCs w:val="32"/>
        </w:rPr>
        <w:t>lan</w:t>
      </w:r>
    </w:p>
    <w:p w14:paraId="54D7FAF3" w14:textId="77777777" w:rsidR="00EB53CF" w:rsidRDefault="00EB53CF" w:rsidP="00EB53CF">
      <w:pPr>
        <w:spacing w:after="0"/>
        <w:rPr>
          <w:sz w:val="24"/>
          <w:szCs w:val="24"/>
        </w:rPr>
      </w:pPr>
    </w:p>
    <w:p w14:paraId="66E61B06" w14:textId="5812B36F" w:rsidR="00EB53CF" w:rsidRDefault="00B13D7E" w:rsidP="00747445">
      <w:pPr>
        <w:spacing w:after="0"/>
        <w:jc w:val="both"/>
        <w:rPr>
          <w:sz w:val="24"/>
          <w:szCs w:val="24"/>
        </w:rPr>
      </w:pPr>
      <w:r>
        <w:rPr>
          <w:sz w:val="24"/>
          <w:szCs w:val="24"/>
        </w:rPr>
        <w:t>To effectively decommissioning Home Connectivity and USB Connectivity services an effective plan should be designed</w:t>
      </w:r>
      <w:r w:rsidR="0091068D">
        <w:rPr>
          <w:sz w:val="24"/>
          <w:szCs w:val="24"/>
        </w:rPr>
        <w:t xml:space="preserve"> considering different factors </w:t>
      </w:r>
      <w:r w:rsidR="00C777D2">
        <w:rPr>
          <w:sz w:val="24"/>
          <w:szCs w:val="24"/>
        </w:rPr>
        <w:t>such as</w:t>
      </w:r>
      <w:r w:rsidR="0091068D">
        <w:rPr>
          <w:sz w:val="24"/>
          <w:szCs w:val="24"/>
        </w:rPr>
        <w:t xml:space="preserve"> value of IT assets, ongoing agreements </w:t>
      </w:r>
      <w:r w:rsidR="003E3D25">
        <w:rPr>
          <w:sz w:val="24"/>
          <w:szCs w:val="24"/>
        </w:rPr>
        <w:t xml:space="preserve">and obligations </w:t>
      </w:r>
      <w:r w:rsidR="0091068D">
        <w:rPr>
          <w:sz w:val="24"/>
          <w:szCs w:val="24"/>
        </w:rPr>
        <w:t>with third-party suppliers</w:t>
      </w:r>
      <w:r w:rsidR="00630366">
        <w:rPr>
          <w:sz w:val="24"/>
          <w:szCs w:val="24"/>
        </w:rPr>
        <w:t>, security policies, impact assessment plans</w:t>
      </w:r>
      <w:r w:rsidR="004B0B28">
        <w:rPr>
          <w:sz w:val="24"/>
          <w:szCs w:val="24"/>
        </w:rPr>
        <w:t xml:space="preserve"> and all pertinent analysis</w:t>
      </w:r>
      <w:r w:rsidR="00123E87">
        <w:rPr>
          <w:sz w:val="24"/>
          <w:szCs w:val="24"/>
        </w:rPr>
        <w:t xml:space="preserve"> before decommissioning the services</w:t>
      </w:r>
      <w:r w:rsidR="00630366">
        <w:rPr>
          <w:sz w:val="24"/>
          <w:szCs w:val="24"/>
        </w:rPr>
        <w:t>.</w:t>
      </w:r>
    </w:p>
    <w:p w14:paraId="6AA101F5" w14:textId="77777777" w:rsidR="00AF22C1" w:rsidRDefault="00AF22C1" w:rsidP="00747445">
      <w:pPr>
        <w:spacing w:after="0"/>
        <w:jc w:val="both"/>
        <w:rPr>
          <w:sz w:val="24"/>
          <w:szCs w:val="24"/>
        </w:rPr>
      </w:pPr>
    </w:p>
    <w:p w14:paraId="45666A53" w14:textId="103C86E1" w:rsidR="00BE74B0" w:rsidRDefault="00AF22C1" w:rsidP="00747445">
      <w:pPr>
        <w:spacing w:after="0"/>
        <w:jc w:val="both"/>
        <w:rPr>
          <w:sz w:val="24"/>
          <w:szCs w:val="24"/>
        </w:rPr>
      </w:pPr>
      <w:r>
        <w:rPr>
          <w:sz w:val="24"/>
          <w:szCs w:val="24"/>
        </w:rPr>
        <w:t xml:space="preserve">ITIL4 provides a </w:t>
      </w:r>
      <w:r w:rsidR="00F135C5">
        <w:rPr>
          <w:sz w:val="24"/>
          <w:szCs w:val="24"/>
        </w:rPr>
        <w:t>practice, named “IT Asset Management”,</w:t>
      </w:r>
      <w:r>
        <w:rPr>
          <w:sz w:val="24"/>
          <w:szCs w:val="24"/>
        </w:rPr>
        <w:t xml:space="preserve"> that </w:t>
      </w:r>
      <w:r w:rsidR="00F135C5">
        <w:rPr>
          <w:sz w:val="24"/>
          <w:szCs w:val="24"/>
        </w:rPr>
        <w:t>manages</w:t>
      </w:r>
      <w:r>
        <w:rPr>
          <w:sz w:val="24"/>
          <w:szCs w:val="24"/>
        </w:rPr>
        <w:t xml:space="preserve"> the lifecycle of all IT assets, so a</w:t>
      </w:r>
      <w:r w:rsidRPr="00AF22C1">
        <w:rPr>
          <w:sz w:val="24"/>
          <w:szCs w:val="24"/>
        </w:rPr>
        <w:t>ny financially valuable component that can contribute to the delivery of an IT product or service</w:t>
      </w:r>
      <w:r>
        <w:rPr>
          <w:sz w:val="24"/>
          <w:szCs w:val="24"/>
        </w:rPr>
        <w:t xml:space="preserve">, </w:t>
      </w:r>
      <w:r w:rsidR="00CE4AE2">
        <w:rPr>
          <w:sz w:val="24"/>
          <w:szCs w:val="24"/>
        </w:rPr>
        <w:t>for an organi</w:t>
      </w:r>
      <w:r w:rsidR="00610103">
        <w:rPr>
          <w:sz w:val="24"/>
          <w:szCs w:val="24"/>
        </w:rPr>
        <w:t>z</w:t>
      </w:r>
      <w:r w:rsidR="00CE4AE2">
        <w:rPr>
          <w:sz w:val="24"/>
          <w:szCs w:val="24"/>
        </w:rPr>
        <w:t xml:space="preserve">ation. </w:t>
      </w:r>
      <w:r w:rsidR="00BE74B0">
        <w:rPr>
          <w:sz w:val="24"/>
          <w:szCs w:val="24"/>
        </w:rPr>
        <w:t xml:space="preserve">A definition of this practice is reported here to highlight the key message of this practice. </w:t>
      </w:r>
    </w:p>
    <w:p w14:paraId="65003424" w14:textId="6E8B2243" w:rsidR="00BE74B0" w:rsidRDefault="00BE74B0" w:rsidP="00FE02A6">
      <w:pPr>
        <w:spacing w:after="0"/>
        <w:jc w:val="both"/>
        <w:rPr>
          <w:sz w:val="24"/>
          <w:szCs w:val="24"/>
        </w:rPr>
      </w:pPr>
      <w:r w:rsidRPr="00BE74B0">
        <w:rPr>
          <w:sz w:val="24"/>
          <w:szCs w:val="24"/>
        </w:rPr>
        <w:t>The purpose of the IT asset management practice is to plan and manage the full lifecycle of all</w:t>
      </w:r>
      <w:r>
        <w:rPr>
          <w:sz w:val="24"/>
          <w:szCs w:val="24"/>
        </w:rPr>
        <w:t xml:space="preserve"> </w:t>
      </w:r>
      <w:r w:rsidRPr="00BE74B0">
        <w:rPr>
          <w:sz w:val="24"/>
          <w:szCs w:val="24"/>
        </w:rPr>
        <w:t>IT assets,</w:t>
      </w:r>
      <w:r>
        <w:rPr>
          <w:sz w:val="24"/>
          <w:szCs w:val="24"/>
        </w:rPr>
        <w:t xml:space="preserve"> </w:t>
      </w:r>
      <w:r w:rsidRPr="00BE74B0">
        <w:rPr>
          <w:sz w:val="24"/>
          <w:szCs w:val="24"/>
        </w:rPr>
        <w:t>to help the organization:</w:t>
      </w:r>
      <w:r w:rsidR="00FE02A6">
        <w:rPr>
          <w:sz w:val="24"/>
          <w:szCs w:val="24"/>
        </w:rPr>
        <w:t xml:space="preserve"> </w:t>
      </w:r>
      <w:r w:rsidRPr="00FE02A6">
        <w:rPr>
          <w:sz w:val="24"/>
          <w:szCs w:val="24"/>
        </w:rPr>
        <w:t>maximize value;</w:t>
      </w:r>
      <w:r w:rsidR="00FE02A6">
        <w:rPr>
          <w:sz w:val="24"/>
          <w:szCs w:val="24"/>
        </w:rPr>
        <w:t xml:space="preserve"> </w:t>
      </w:r>
      <w:r w:rsidRPr="00FE02A6">
        <w:rPr>
          <w:sz w:val="24"/>
          <w:szCs w:val="24"/>
        </w:rPr>
        <w:t>control costs;</w:t>
      </w:r>
      <w:r w:rsidR="00FE02A6">
        <w:rPr>
          <w:sz w:val="24"/>
          <w:szCs w:val="24"/>
        </w:rPr>
        <w:t xml:space="preserve"> </w:t>
      </w:r>
      <w:r w:rsidRPr="00FE02A6">
        <w:rPr>
          <w:sz w:val="24"/>
          <w:szCs w:val="24"/>
        </w:rPr>
        <w:t>manage risks;</w:t>
      </w:r>
      <w:r w:rsidR="00FE02A6">
        <w:rPr>
          <w:sz w:val="24"/>
          <w:szCs w:val="24"/>
        </w:rPr>
        <w:t xml:space="preserve"> </w:t>
      </w:r>
      <w:r w:rsidRPr="00FE02A6">
        <w:rPr>
          <w:sz w:val="24"/>
          <w:szCs w:val="24"/>
        </w:rPr>
        <w:t>support decision-making about purchase, re-use, retirement, and disposal of assets;</w:t>
      </w:r>
      <w:r w:rsidR="00FE02A6">
        <w:rPr>
          <w:sz w:val="24"/>
          <w:szCs w:val="24"/>
        </w:rPr>
        <w:t xml:space="preserve"> </w:t>
      </w:r>
      <w:r w:rsidRPr="00FE02A6">
        <w:rPr>
          <w:sz w:val="24"/>
          <w:szCs w:val="24"/>
        </w:rPr>
        <w:t>meet regulatory and contractual requirements.</w:t>
      </w:r>
    </w:p>
    <w:p w14:paraId="2C21E81B" w14:textId="77777777" w:rsidR="00263617" w:rsidRDefault="00263617" w:rsidP="00FE02A6">
      <w:pPr>
        <w:spacing w:after="0"/>
        <w:jc w:val="both"/>
        <w:rPr>
          <w:sz w:val="24"/>
          <w:szCs w:val="24"/>
        </w:rPr>
      </w:pPr>
    </w:p>
    <w:p w14:paraId="35513777" w14:textId="04562314" w:rsidR="00263617" w:rsidRDefault="00330F9E" w:rsidP="00FE02A6">
      <w:pPr>
        <w:spacing w:after="0"/>
        <w:jc w:val="both"/>
        <w:rPr>
          <w:sz w:val="24"/>
          <w:szCs w:val="24"/>
        </w:rPr>
      </w:pPr>
      <w:r>
        <w:rPr>
          <w:sz w:val="24"/>
          <w:szCs w:val="24"/>
        </w:rPr>
        <w:t>Considering th</w:t>
      </w:r>
      <w:r w:rsidR="00B42DF7">
        <w:rPr>
          <w:sz w:val="24"/>
          <w:szCs w:val="24"/>
        </w:rPr>
        <w:t>at the</w:t>
      </w:r>
      <w:r>
        <w:rPr>
          <w:sz w:val="24"/>
          <w:szCs w:val="24"/>
        </w:rPr>
        <w:t xml:space="preserve"> IT Asset Management practice</w:t>
      </w:r>
      <w:r w:rsidR="00B42DF7">
        <w:rPr>
          <w:sz w:val="24"/>
          <w:szCs w:val="24"/>
        </w:rPr>
        <w:t xml:space="preserve"> is strictly correlated to the purpose of this document,</w:t>
      </w:r>
      <w:r>
        <w:rPr>
          <w:sz w:val="24"/>
          <w:szCs w:val="24"/>
        </w:rPr>
        <w:t xml:space="preserve"> the whole decommissioning plan should be based on the practice purposes</w:t>
      </w:r>
      <w:r w:rsidR="00CE16A7">
        <w:rPr>
          <w:sz w:val="24"/>
          <w:szCs w:val="24"/>
        </w:rPr>
        <w:t xml:space="preserve"> and obviously considering all other relevant elements of ITIL4 framework</w:t>
      </w:r>
      <w:r>
        <w:rPr>
          <w:sz w:val="24"/>
          <w:szCs w:val="24"/>
        </w:rPr>
        <w:t xml:space="preserve">. </w:t>
      </w:r>
      <w:r w:rsidR="005B55EA">
        <w:rPr>
          <w:sz w:val="24"/>
          <w:szCs w:val="24"/>
        </w:rPr>
        <w:t>Also,</w:t>
      </w:r>
      <w:r w:rsidR="00CE710F">
        <w:rPr>
          <w:sz w:val="24"/>
          <w:szCs w:val="24"/>
        </w:rPr>
        <w:t xml:space="preserve"> the decommissioning plan should be assigned to the IT department which can follow the entire process, from the planning to service implementation</w:t>
      </w:r>
      <w:r w:rsidR="005B55EA">
        <w:rPr>
          <w:sz w:val="24"/>
          <w:szCs w:val="24"/>
        </w:rPr>
        <w:t xml:space="preserve"> and even the future improvements, in collaboration with the Finance Department</w:t>
      </w:r>
      <w:r w:rsidR="00EE798A">
        <w:rPr>
          <w:sz w:val="24"/>
          <w:szCs w:val="24"/>
        </w:rPr>
        <w:t xml:space="preserve"> to merge the strengths of both departments to identify a plan that minimizes the costs </w:t>
      </w:r>
      <w:r w:rsidR="008D0C1E">
        <w:rPr>
          <w:sz w:val="24"/>
          <w:szCs w:val="24"/>
        </w:rPr>
        <w:t>sustained by</w:t>
      </w:r>
      <w:r w:rsidR="00EE798A">
        <w:rPr>
          <w:sz w:val="24"/>
          <w:szCs w:val="24"/>
        </w:rPr>
        <w:t xml:space="preserve"> the bank</w:t>
      </w:r>
      <w:r w:rsidR="00CE710F">
        <w:rPr>
          <w:sz w:val="24"/>
          <w:szCs w:val="24"/>
        </w:rPr>
        <w:t xml:space="preserve">. </w:t>
      </w:r>
    </w:p>
    <w:p w14:paraId="221909E1" w14:textId="77777777" w:rsidR="00AD0E7D" w:rsidRDefault="00AD0E7D" w:rsidP="00FE02A6">
      <w:pPr>
        <w:spacing w:after="0"/>
        <w:jc w:val="both"/>
        <w:rPr>
          <w:sz w:val="24"/>
          <w:szCs w:val="24"/>
        </w:rPr>
      </w:pPr>
    </w:p>
    <w:p w14:paraId="58884F7C" w14:textId="2F2BF65B" w:rsidR="00AD0E7D" w:rsidRDefault="00AD0E7D" w:rsidP="00BC52D1">
      <w:pPr>
        <w:spacing w:after="100"/>
        <w:jc w:val="both"/>
        <w:rPr>
          <w:sz w:val="24"/>
          <w:szCs w:val="24"/>
        </w:rPr>
      </w:pPr>
      <w:r>
        <w:rPr>
          <w:sz w:val="24"/>
          <w:szCs w:val="24"/>
        </w:rPr>
        <w:t xml:space="preserve">According to what discussed, the decommissioning plan can be characterised by the following </w:t>
      </w:r>
      <w:r w:rsidR="00491B20">
        <w:rPr>
          <w:sz w:val="24"/>
          <w:szCs w:val="24"/>
        </w:rPr>
        <w:t xml:space="preserve">high-level </w:t>
      </w:r>
      <w:r>
        <w:rPr>
          <w:sz w:val="24"/>
          <w:szCs w:val="24"/>
        </w:rPr>
        <w:t>steps:</w:t>
      </w:r>
    </w:p>
    <w:p w14:paraId="5AFB0437" w14:textId="30EE0178" w:rsidR="00AD0E7D" w:rsidRPr="002C735C" w:rsidRDefault="00AD0E7D" w:rsidP="002C735C">
      <w:pPr>
        <w:pStyle w:val="Paragrafoelenco"/>
        <w:numPr>
          <w:ilvl w:val="0"/>
          <w:numId w:val="2"/>
        </w:numPr>
        <w:spacing w:after="100"/>
        <w:ind w:left="714" w:hanging="357"/>
        <w:contextualSpacing w:val="0"/>
        <w:jc w:val="both"/>
        <w:rPr>
          <w:sz w:val="24"/>
          <w:szCs w:val="24"/>
        </w:rPr>
      </w:pPr>
      <w:r w:rsidRPr="002C735C">
        <w:rPr>
          <w:b/>
          <w:bCs/>
          <w:sz w:val="24"/>
          <w:szCs w:val="24"/>
        </w:rPr>
        <w:t>Identify and inventory IT Assets</w:t>
      </w:r>
      <w:r w:rsidR="002A71F7" w:rsidRPr="002C735C">
        <w:rPr>
          <w:sz w:val="24"/>
          <w:szCs w:val="24"/>
        </w:rPr>
        <w:t>.</w:t>
      </w:r>
    </w:p>
    <w:p w14:paraId="23EAEB96" w14:textId="70FF4EDE" w:rsidR="002F23F1" w:rsidRDefault="002F23F1" w:rsidP="002C735C">
      <w:pPr>
        <w:pStyle w:val="Paragrafoelenco"/>
        <w:numPr>
          <w:ilvl w:val="0"/>
          <w:numId w:val="2"/>
        </w:numPr>
        <w:spacing w:after="60"/>
        <w:ind w:left="714" w:hanging="357"/>
        <w:contextualSpacing w:val="0"/>
        <w:jc w:val="both"/>
        <w:rPr>
          <w:sz w:val="24"/>
          <w:szCs w:val="24"/>
        </w:rPr>
      </w:pPr>
      <w:r w:rsidRPr="000E0A1A">
        <w:rPr>
          <w:b/>
          <w:bCs/>
          <w:sz w:val="24"/>
          <w:szCs w:val="24"/>
        </w:rPr>
        <w:t>Assess the current costs associated with maintaining these services and potential savings from decommissioning</w:t>
      </w:r>
      <w:r w:rsidRPr="002F23F1">
        <w:rPr>
          <w:sz w:val="24"/>
          <w:szCs w:val="24"/>
        </w:rPr>
        <w:t>.</w:t>
      </w:r>
    </w:p>
    <w:p w14:paraId="3E8EE0D8" w14:textId="3A665758" w:rsidR="002F23F1" w:rsidRDefault="002A71F7" w:rsidP="00BC52D1">
      <w:pPr>
        <w:pStyle w:val="Paragrafoelenco"/>
        <w:numPr>
          <w:ilvl w:val="0"/>
          <w:numId w:val="2"/>
        </w:numPr>
        <w:spacing w:after="100"/>
        <w:ind w:left="714" w:hanging="357"/>
        <w:contextualSpacing w:val="0"/>
        <w:jc w:val="both"/>
        <w:rPr>
          <w:sz w:val="24"/>
          <w:szCs w:val="24"/>
        </w:rPr>
      </w:pPr>
      <w:r w:rsidRPr="001B40A3">
        <w:rPr>
          <w:b/>
          <w:bCs/>
          <w:sz w:val="24"/>
          <w:szCs w:val="24"/>
        </w:rPr>
        <w:t>Communication with stakeholders</w:t>
      </w:r>
      <w:r>
        <w:rPr>
          <w:sz w:val="24"/>
          <w:szCs w:val="24"/>
        </w:rPr>
        <w:t>: i</w:t>
      </w:r>
      <w:r w:rsidRPr="002A71F7">
        <w:rPr>
          <w:sz w:val="24"/>
          <w:szCs w:val="24"/>
        </w:rPr>
        <w:t xml:space="preserve">nform </w:t>
      </w:r>
      <w:r w:rsidR="00E22F89">
        <w:rPr>
          <w:sz w:val="24"/>
          <w:szCs w:val="24"/>
        </w:rPr>
        <w:t xml:space="preserve">suppliers and </w:t>
      </w:r>
      <w:r w:rsidRPr="002A71F7">
        <w:rPr>
          <w:sz w:val="24"/>
          <w:szCs w:val="24"/>
        </w:rPr>
        <w:t>employees, particularly those using the services, about the decommissioning plan, timelines, and any alternative services available (such as Token Connectivity).</w:t>
      </w:r>
    </w:p>
    <w:p w14:paraId="2579C4D8" w14:textId="57FC06EF" w:rsidR="00BC52D1" w:rsidRDefault="00BC52D1" w:rsidP="00266248">
      <w:pPr>
        <w:pStyle w:val="Paragrafoelenco"/>
        <w:numPr>
          <w:ilvl w:val="0"/>
          <w:numId w:val="2"/>
        </w:numPr>
        <w:spacing w:after="60"/>
        <w:ind w:hanging="357"/>
        <w:contextualSpacing w:val="0"/>
        <w:jc w:val="both"/>
        <w:rPr>
          <w:sz w:val="24"/>
          <w:szCs w:val="24"/>
        </w:rPr>
      </w:pPr>
      <w:r w:rsidRPr="001B40A3">
        <w:rPr>
          <w:b/>
          <w:bCs/>
          <w:sz w:val="24"/>
          <w:szCs w:val="24"/>
        </w:rPr>
        <w:t>Evaluate disposal and decommissioning options</w:t>
      </w:r>
      <w:r>
        <w:rPr>
          <w:sz w:val="24"/>
          <w:szCs w:val="24"/>
        </w:rPr>
        <w:t xml:space="preserve"> considering especially security</w:t>
      </w:r>
      <w:r w:rsidR="008A40D0">
        <w:rPr>
          <w:sz w:val="24"/>
          <w:szCs w:val="24"/>
        </w:rPr>
        <w:t xml:space="preserve"> management</w:t>
      </w:r>
      <w:r w:rsidR="007F3C92">
        <w:rPr>
          <w:sz w:val="24"/>
          <w:szCs w:val="24"/>
        </w:rPr>
        <w:t xml:space="preserve"> </w:t>
      </w:r>
      <w:proofErr w:type="gramStart"/>
      <w:r w:rsidR="007F3C92">
        <w:rPr>
          <w:sz w:val="24"/>
          <w:szCs w:val="24"/>
        </w:rPr>
        <w:t>and also</w:t>
      </w:r>
      <w:proofErr w:type="gramEnd"/>
      <w:r w:rsidR="007F3C92">
        <w:rPr>
          <w:sz w:val="24"/>
          <w:szCs w:val="24"/>
        </w:rPr>
        <w:t xml:space="preserve"> identifying a partner/vendor who can decommission the IT assets according to industry regulations</w:t>
      </w:r>
      <w:r>
        <w:rPr>
          <w:sz w:val="24"/>
          <w:szCs w:val="24"/>
        </w:rPr>
        <w:t>.</w:t>
      </w:r>
    </w:p>
    <w:p w14:paraId="75920E34" w14:textId="77777777" w:rsidR="00BC52D1" w:rsidRPr="00BC52D1" w:rsidRDefault="00BC52D1" w:rsidP="00266248">
      <w:pPr>
        <w:pStyle w:val="Paragrafoelenco"/>
        <w:numPr>
          <w:ilvl w:val="1"/>
          <w:numId w:val="2"/>
        </w:numPr>
        <w:spacing w:after="60"/>
        <w:ind w:hanging="357"/>
        <w:contextualSpacing w:val="0"/>
        <w:jc w:val="both"/>
        <w:rPr>
          <w:sz w:val="24"/>
          <w:szCs w:val="24"/>
        </w:rPr>
      </w:pPr>
      <w:r w:rsidRPr="00BC52D1">
        <w:rPr>
          <w:sz w:val="24"/>
          <w:szCs w:val="24"/>
        </w:rPr>
        <w:t>Data Security: Ensure that all data on the decommissioned hardware is securely erased following the bank's data destruction policy and regulatory requirements.</w:t>
      </w:r>
    </w:p>
    <w:p w14:paraId="7F37E669" w14:textId="77777777" w:rsidR="00BC52D1" w:rsidRPr="00BC52D1" w:rsidRDefault="00BC52D1" w:rsidP="00266248">
      <w:pPr>
        <w:pStyle w:val="Paragrafoelenco"/>
        <w:numPr>
          <w:ilvl w:val="1"/>
          <w:numId w:val="2"/>
        </w:numPr>
        <w:spacing w:after="60"/>
        <w:ind w:hanging="357"/>
        <w:contextualSpacing w:val="0"/>
        <w:jc w:val="both"/>
        <w:rPr>
          <w:sz w:val="24"/>
          <w:szCs w:val="24"/>
        </w:rPr>
      </w:pPr>
      <w:r w:rsidRPr="00BC52D1">
        <w:rPr>
          <w:sz w:val="24"/>
          <w:szCs w:val="24"/>
        </w:rPr>
        <w:t>Access Revocation: Revoke all access credentials and permissions associated with the decommissioned services to prevent unauthorized access.</w:t>
      </w:r>
    </w:p>
    <w:p w14:paraId="070E546C" w14:textId="1E8F3E5C" w:rsidR="00BC52D1" w:rsidRDefault="00BC52D1" w:rsidP="004B71AB">
      <w:pPr>
        <w:pStyle w:val="Paragrafoelenco"/>
        <w:numPr>
          <w:ilvl w:val="1"/>
          <w:numId w:val="2"/>
        </w:numPr>
        <w:spacing w:after="100"/>
        <w:ind w:left="1434" w:hanging="357"/>
        <w:contextualSpacing w:val="0"/>
        <w:jc w:val="both"/>
        <w:rPr>
          <w:sz w:val="24"/>
          <w:szCs w:val="24"/>
        </w:rPr>
      </w:pPr>
      <w:r w:rsidRPr="00BC52D1">
        <w:rPr>
          <w:sz w:val="24"/>
          <w:szCs w:val="24"/>
        </w:rPr>
        <w:t>Compliance Check: Verify that decommissioning steps comply with internal security policies, industry standards, and legal regulations.</w:t>
      </w:r>
    </w:p>
    <w:p w14:paraId="6D377613" w14:textId="0132CA6D" w:rsidR="00BC52D1" w:rsidRDefault="004B71AB" w:rsidP="001D110C">
      <w:pPr>
        <w:pStyle w:val="Paragrafoelenco"/>
        <w:numPr>
          <w:ilvl w:val="0"/>
          <w:numId w:val="2"/>
        </w:numPr>
        <w:spacing w:after="60"/>
        <w:ind w:hanging="357"/>
        <w:contextualSpacing w:val="0"/>
        <w:jc w:val="both"/>
        <w:rPr>
          <w:sz w:val="24"/>
          <w:szCs w:val="24"/>
        </w:rPr>
      </w:pPr>
      <w:r w:rsidRPr="001B40A3">
        <w:rPr>
          <w:b/>
          <w:bCs/>
          <w:sz w:val="24"/>
          <w:szCs w:val="24"/>
        </w:rPr>
        <w:t>Transition to new services</w:t>
      </w:r>
      <w:r w:rsidR="00CB6E43">
        <w:rPr>
          <w:sz w:val="24"/>
          <w:szCs w:val="24"/>
        </w:rPr>
        <w:t xml:space="preserve"> (important to be done before the effective decommission)</w:t>
      </w:r>
      <w:r>
        <w:rPr>
          <w:sz w:val="24"/>
          <w:szCs w:val="24"/>
        </w:rPr>
        <w:t>.</w:t>
      </w:r>
    </w:p>
    <w:p w14:paraId="20CDE713" w14:textId="60BB07FF" w:rsidR="001D110C" w:rsidRPr="001D110C" w:rsidRDefault="001D110C" w:rsidP="001D110C">
      <w:pPr>
        <w:pStyle w:val="Paragrafoelenco"/>
        <w:numPr>
          <w:ilvl w:val="1"/>
          <w:numId w:val="2"/>
        </w:numPr>
        <w:spacing w:after="60"/>
        <w:ind w:hanging="357"/>
        <w:contextualSpacing w:val="0"/>
        <w:jc w:val="both"/>
        <w:rPr>
          <w:sz w:val="24"/>
          <w:szCs w:val="24"/>
        </w:rPr>
      </w:pPr>
      <w:r>
        <w:rPr>
          <w:sz w:val="24"/>
          <w:szCs w:val="24"/>
        </w:rPr>
        <w:lastRenderedPageBreak/>
        <w:t>T</w:t>
      </w:r>
      <w:r w:rsidRPr="001D110C">
        <w:rPr>
          <w:sz w:val="24"/>
          <w:szCs w:val="24"/>
        </w:rPr>
        <w:t>ransition to New Services: Guide users to transition from Home Connectivity and USB Connectivity to the new Token Connectivity service or any other alternative solutions.</w:t>
      </w:r>
    </w:p>
    <w:p w14:paraId="30964F03" w14:textId="162691FB" w:rsidR="001D110C" w:rsidRDefault="001D110C" w:rsidP="00580C2F">
      <w:pPr>
        <w:pStyle w:val="Paragrafoelenco"/>
        <w:numPr>
          <w:ilvl w:val="1"/>
          <w:numId w:val="2"/>
        </w:numPr>
        <w:spacing w:after="100"/>
        <w:ind w:left="1434" w:hanging="357"/>
        <w:contextualSpacing w:val="0"/>
        <w:jc w:val="both"/>
        <w:rPr>
          <w:sz w:val="24"/>
          <w:szCs w:val="24"/>
        </w:rPr>
      </w:pPr>
      <w:r w:rsidRPr="001D110C">
        <w:rPr>
          <w:sz w:val="24"/>
          <w:szCs w:val="24"/>
        </w:rPr>
        <w:t>Training and Support: Provide necessary training and support to users to facilitate a smooth transition to the new services.</w:t>
      </w:r>
    </w:p>
    <w:p w14:paraId="3197E7FA" w14:textId="0E5CDA94" w:rsidR="004B71AB" w:rsidRDefault="00693440" w:rsidP="00580C2F">
      <w:pPr>
        <w:pStyle w:val="Paragrafoelenco"/>
        <w:numPr>
          <w:ilvl w:val="0"/>
          <w:numId w:val="2"/>
        </w:numPr>
        <w:spacing w:after="100"/>
        <w:ind w:left="714" w:hanging="357"/>
        <w:contextualSpacing w:val="0"/>
        <w:jc w:val="both"/>
        <w:rPr>
          <w:sz w:val="24"/>
          <w:szCs w:val="24"/>
        </w:rPr>
      </w:pPr>
      <w:r w:rsidRPr="001B40A3">
        <w:rPr>
          <w:b/>
          <w:bCs/>
          <w:sz w:val="24"/>
          <w:szCs w:val="24"/>
        </w:rPr>
        <w:t>Decommissioning of all IT assets related to old services</w:t>
      </w:r>
      <w:r>
        <w:rPr>
          <w:sz w:val="24"/>
          <w:szCs w:val="24"/>
        </w:rPr>
        <w:t>.</w:t>
      </w:r>
    </w:p>
    <w:p w14:paraId="76F75E1C" w14:textId="292D9E24" w:rsidR="00693440" w:rsidRDefault="00693440" w:rsidP="00580C2F">
      <w:pPr>
        <w:pStyle w:val="Paragrafoelenco"/>
        <w:numPr>
          <w:ilvl w:val="0"/>
          <w:numId w:val="2"/>
        </w:numPr>
        <w:spacing w:after="60"/>
        <w:ind w:left="714" w:hanging="357"/>
        <w:contextualSpacing w:val="0"/>
        <w:jc w:val="both"/>
        <w:rPr>
          <w:sz w:val="24"/>
          <w:szCs w:val="24"/>
        </w:rPr>
      </w:pPr>
      <w:r w:rsidRPr="001B40A3">
        <w:rPr>
          <w:b/>
          <w:bCs/>
          <w:sz w:val="24"/>
          <w:szCs w:val="24"/>
        </w:rPr>
        <w:t>Monitor and verify IT asset disposal and decommissioning</w:t>
      </w:r>
      <w:r>
        <w:rPr>
          <w:sz w:val="24"/>
          <w:szCs w:val="24"/>
        </w:rPr>
        <w:t xml:space="preserve">. </w:t>
      </w:r>
    </w:p>
    <w:p w14:paraId="4247972C" w14:textId="6B656BBB" w:rsidR="00FE65F7" w:rsidRDefault="00580C2F" w:rsidP="00FE65F7">
      <w:pPr>
        <w:pStyle w:val="Paragrafoelenco"/>
        <w:numPr>
          <w:ilvl w:val="1"/>
          <w:numId w:val="2"/>
        </w:numPr>
        <w:spacing w:after="100"/>
        <w:ind w:left="1434" w:hanging="357"/>
        <w:contextualSpacing w:val="0"/>
        <w:jc w:val="both"/>
        <w:rPr>
          <w:sz w:val="24"/>
          <w:szCs w:val="24"/>
        </w:rPr>
      </w:pPr>
      <w:r w:rsidRPr="00580C2F">
        <w:rPr>
          <w:sz w:val="24"/>
          <w:szCs w:val="24"/>
        </w:rPr>
        <w:t xml:space="preserve">You should track and document the movement and status of your IT assets throughout the process, using tools like GPS, RFID, or blockchain. You should also receive and review the reports and certificates from your vendor or partner, confirming that your IT assets have been disposed or decommissioned according to your specifications and standards. You should also audit and inspect the quality and accuracy of the reports and </w:t>
      </w:r>
      <w:r w:rsidR="001B65D1" w:rsidRPr="00580C2F">
        <w:rPr>
          <w:sz w:val="24"/>
          <w:szCs w:val="24"/>
        </w:rPr>
        <w:t>certificates and</w:t>
      </w:r>
      <w:r w:rsidRPr="00580C2F">
        <w:rPr>
          <w:sz w:val="24"/>
          <w:szCs w:val="24"/>
        </w:rPr>
        <w:t xml:space="preserve"> report any issues or discrepancies.</w:t>
      </w:r>
    </w:p>
    <w:p w14:paraId="17AE1F31" w14:textId="5AFDF167" w:rsidR="00FE65F7" w:rsidRDefault="00FE65F7" w:rsidP="00A604A0">
      <w:pPr>
        <w:pStyle w:val="Paragrafoelenco"/>
        <w:numPr>
          <w:ilvl w:val="0"/>
          <w:numId w:val="2"/>
        </w:numPr>
        <w:spacing w:after="60"/>
        <w:ind w:left="714" w:hanging="357"/>
        <w:contextualSpacing w:val="0"/>
        <w:jc w:val="both"/>
        <w:rPr>
          <w:sz w:val="24"/>
          <w:szCs w:val="24"/>
        </w:rPr>
      </w:pPr>
      <w:r w:rsidRPr="008102EA">
        <w:rPr>
          <w:b/>
          <w:bCs/>
          <w:sz w:val="24"/>
          <w:szCs w:val="24"/>
        </w:rPr>
        <w:t>Update and optimize IT asset lifecycle management</w:t>
      </w:r>
      <w:r>
        <w:rPr>
          <w:sz w:val="24"/>
          <w:szCs w:val="24"/>
        </w:rPr>
        <w:t xml:space="preserve">. </w:t>
      </w:r>
    </w:p>
    <w:p w14:paraId="4CFE57C2" w14:textId="136C17F4" w:rsidR="00A604A0" w:rsidRDefault="00A604A0" w:rsidP="00A604A0">
      <w:pPr>
        <w:pStyle w:val="Paragrafoelenco"/>
        <w:numPr>
          <w:ilvl w:val="1"/>
          <w:numId w:val="2"/>
        </w:numPr>
        <w:spacing w:after="0"/>
        <w:jc w:val="both"/>
        <w:rPr>
          <w:sz w:val="24"/>
          <w:szCs w:val="24"/>
        </w:rPr>
      </w:pPr>
      <w:r w:rsidRPr="00A604A0">
        <w:rPr>
          <w:sz w:val="24"/>
          <w:szCs w:val="24"/>
        </w:rPr>
        <w:t xml:space="preserve">You should update your IT asset inventory and records, reflecting the changes and outcomes of the disposal and decommissioning process. You should also </w:t>
      </w:r>
      <w:r w:rsidR="001D5BEA" w:rsidRPr="00A604A0">
        <w:rPr>
          <w:sz w:val="24"/>
          <w:szCs w:val="24"/>
        </w:rPr>
        <w:t>analyse</w:t>
      </w:r>
      <w:r w:rsidRPr="00A604A0">
        <w:rPr>
          <w:sz w:val="24"/>
          <w:szCs w:val="24"/>
        </w:rPr>
        <w:t xml:space="preserve"> and evaluate the performance and results of the process, identifying the strengths, weaknesses, opportunities, and threats. You should also use the insights and feedback to </w:t>
      </w:r>
      <w:r w:rsidRPr="00CB28B8">
        <w:rPr>
          <w:sz w:val="24"/>
          <w:szCs w:val="24"/>
          <w:u w:val="single"/>
        </w:rPr>
        <w:t>improve and optimize</w:t>
      </w:r>
      <w:r w:rsidR="00125EE2">
        <w:rPr>
          <w:sz w:val="24"/>
          <w:szCs w:val="24"/>
        </w:rPr>
        <w:t xml:space="preserve"> (guiding principle)</w:t>
      </w:r>
      <w:r w:rsidRPr="00A604A0">
        <w:rPr>
          <w:sz w:val="24"/>
          <w:szCs w:val="24"/>
        </w:rPr>
        <w:t xml:space="preserve"> your IT asset lifecycle management, such as enhancing your policies, procedures, tools, or skills.</w:t>
      </w:r>
    </w:p>
    <w:p w14:paraId="04A45C55" w14:textId="77777777" w:rsidR="002905DC" w:rsidRDefault="002905DC" w:rsidP="002905DC">
      <w:pPr>
        <w:spacing w:after="0"/>
        <w:jc w:val="both"/>
        <w:rPr>
          <w:sz w:val="24"/>
          <w:szCs w:val="24"/>
        </w:rPr>
      </w:pPr>
    </w:p>
    <w:p w14:paraId="62F3ACAF" w14:textId="77777777" w:rsidR="002905DC" w:rsidRDefault="002905DC" w:rsidP="002905DC">
      <w:pPr>
        <w:spacing w:after="0"/>
        <w:jc w:val="both"/>
        <w:rPr>
          <w:sz w:val="24"/>
          <w:szCs w:val="24"/>
        </w:rPr>
      </w:pPr>
    </w:p>
    <w:p w14:paraId="68AED57C" w14:textId="1FE4BE60"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.1 </w:t>
      </w:r>
      <w:r w:rsidR="002905DC" w:rsidRPr="00A005FA">
        <w:rPr>
          <w:b/>
          <w:bCs/>
          <w:sz w:val="28"/>
          <w:szCs w:val="28"/>
        </w:rPr>
        <w:t>Identify and inventory IT Assets</w:t>
      </w:r>
    </w:p>
    <w:p w14:paraId="09F548AB" w14:textId="77777777" w:rsidR="00C92475" w:rsidRDefault="00C92475" w:rsidP="00C92475">
      <w:pPr>
        <w:spacing w:after="0"/>
        <w:jc w:val="both"/>
        <w:rPr>
          <w:sz w:val="24"/>
          <w:szCs w:val="24"/>
        </w:rPr>
      </w:pPr>
    </w:p>
    <w:p w14:paraId="4A2D4944" w14:textId="3655C224" w:rsidR="00BB1DFD" w:rsidRDefault="00447B8E" w:rsidP="00BC0CA0">
      <w:pPr>
        <w:spacing w:after="0"/>
        <w:jc w:val="both"/>
        <w:rPr>
          <w:sz w:val="24"/>
          <w:szCs w:val="24"/>
        </w:rPr>
      </w:pPr>
      <w:r>
        <w:rPr>
          <w:sz w:val="24"/>
          <w:szCs w:val="24"/>
        </w:rPr>
        <w:t>Before analysing any possible decommissioning plan, an inventory of all IT assets related to the services to be decommissioned should be formali</w:t>
      </w:r>
      <w:r w:rsidR="0016443E">
        <w:rPr>
          <w:sz w:val="24"/>
          <w:szCs w:val="24"/>
        </w:rPr>
        <w:t>s</w:t>
      </w:r>
      <w:r>
        <w:rPr>
          <w:sz w:val="24"/>
          <w:szCs w:val="24"/>
        </w:rPr>
        <w:t xml:space="preserve">ed. </w:t>
      </w:r>
      <w:r w:rsidR="00CF7E68">
        <w:rPr>
          <w:sz w:val="24"/>
          <w:szCs w:val="24"/>
        </w:rPr>
        <w:t xml:space="preserve">In fact, </w:t>
      </w:r>
      <w:r w:rsidR="00CF7E68" w:rsidRPr="00CF7E68">
        <w:rPr>
          <w:sz w:val="24"/>
          <w:szCs w:val="24"/>
        </w:rPr>
        <w:t>IT asset management</w:t>
      </w:r>
      <w:r w:rsidR="00AA478C">
        <w:rPr>
          <w:sz w:val="24"/>
          <w:szCs w:val="24"/>
        </w:rPr>
        <w:t xml:space="preserve"> practice</w:t>
      </w:r>
      <w:r w:rsidR="00CF7E68" w:rsidRPr="00CF7E68">
        <w:rPr>
          <w:sz w:val="24"/>
          <w:szCs w:val="24"/>
        </w:rPr>
        <w:t xml:space="preserve"> requires accurate inventory information, which it keeps in an </w:t>
      </w:r>
      <w:r w:rsidR="00CF7E68" w:rsidRPr="00CF7E68">
        <w:rPr>
          <w:b/>
          <w:bCs/>
          <w:sz w:val="24"/>
          <w:szCs w:val="24"/>
        </w:rPr>
        <w:t>asset register</w:t>
      </w:r>
      <w:r w:rsidR="00BA299F">
        <w:rPr>
          <w:sz w:val="24"/>
          <w:szCs w:val="24"/>
        </w:rPr>
        <w:t xml:space="preserve"> </w:t>
      </w:r>
      <w:r w:rsidR="00A02263">
        <w:rPr>
          <w:sz w:val="24"/>
          <w:szCs w:val="24"/>
        </w:rPr>
        <w:t>that</w:t>
      </w:r>
      <w:r w:rsidR="00CF7E68">
        <w:rPr>
          <w:sz w:val="24"/>
          <w:szCs w:val="24"/>
        </w:rPr>
        <w:t xml:space="preserve"> can be a</w:t>
      </w:r>
      <w:r w:rsidR="00CF7E68" w:rsidRPr="00CF7E68">
        <w:rPr>
          <w:sz w:val="24"/>
          <w:szCs w:val="24"/>
        </w:rPr>
        <w:t xml:space="preserve"> database or list of assets, capturing key attributes such as ownership and financial value</w:t>
      </w:r>
      <w:r w:rsidR="00CF7E68">
        <w:rPr>
          <w:sz w:val="24"/>
          <w:szCs w:val="24"/>
        </w:rPr>
        <w:t xml:space="preserve">. </w:t>
      </w:r>
      <w:r w:rsidR="00707822" w:rsidRPr="00707822">
        <w:rPr>
          <w:sz w:val="24"/>
          <w:szCs w:val="24"/>
        </w:rPr>
        <w:t>This information can be gathered in an audit, but it is much better to capture it as part of the processes that change the status of assets, for example, when new hardware is delivered</w:t>
      </w:r>
      <w:r w:rsidR="00220D12">
        <w:rPr>
          <w:sz w:val="24"/>
          <w:szCs w:val="24"/>
        </w:rPr>
        <w:t xml:space="preserve"> </w:t>
      </w:r>
      <w:r w:rsidR="008F71D2">
        <w:rPr>
          <w:sz w:val="24"/>
          <w:szCs w:val="24"/>
        </w:rPr>
        <w:t xml:space="preserve">or decommissioned as in this case. </w:t>
      </w:r>
      <w:r w:rsidR="00BC0CA0">
        <w:rPr>
          <w:sz w:val="24"/>
          <w:szCs w:val="24"/>
        </w:rPr>
        <w:t xml:space="preserve">The idea is to use the asset register to </w:t>
      </w:r>
      <w:r w:rsidR="00BC0CA0" w:rsidRPr="00BC4EBF">
        <w:rPr>
          <w:sz w:val="24"/>
          <w:szCs w:val="24"/>
        </w:rPr>
        <w:t>interact with other practices</w:t>
      </w:r>
      <w:r w:rsidR="00BC0CA0">
        <w:rPr>
          <w:sz w:val="24"/>
          <w:szCs w:val="24"/>
        </w:rPr>
        <w:t xml:space="preserve"> such as </w:t>
      </w:r>
      <w:r w:rsidR="00BC0CA0" w:rsidRPr="00BC0CA0">
        <w:rPr>
          <w:sz w:val="24"/>
          <w:szCs w:val="24"/>
        </w:rPr>
        <w:t>service configuration management,</w:t>
      </w:r>
      <w:r w:rsidR="00BC0CA0">
        <w:rPr>
          <w:sz w:val="24"/>
          <w:szCs w:val="24"/>
        </w:rPr>
        <w:t xml:space="preserve"> </w:t>
      </w:r>
      <w:r w:rsidR="00BC0CA0" w:rsidRPr="00BC0CA0">
        <w:rPr>
          <w:sz w:val="24"/>
          <w:szCs w:val="24"/>
        </w:rPr>
        <w:t>incident management, change control, and deployment management</w:t>
      </w:r>
      <w:r w:rsidR="00BC0CA0">
        <w:rPr>
          <w:sz w:val="24"/>
          <w:szCs w:val="24"/>
        </w:rPr>
        <w:t xml:space="preserve"> in a way that</w:t>
      </w:r>
      <w:r w:rsidR="00BC0CA0" w:rsidRPr="00BC0CA0">
        <w:rPr>
          <w:sz w:val="24"/>
          <w:szCs w:val="24"/>
        </w:rPr>
        <w:t xml:space="preserve"> asset status information can be</w:t>
      </w:r>
      <w:r w:rsidR="00BC0CA0">
        <w:rPr>
          <w:sz w:val="24"/>
          <w:szCs w:val="24"/>
        </w:rPr>
        <w:t xml:space="preserve"> </w:t>
      </w:r>
      <w:r w:rsidR="00BC0CA0" w:rsidRPr="00BC0CA0">
        <w:rPr>
          <w:sz w:val="24"/>
          <w:szCs w:val="24"/>
        </w:rPr>
        <w:t>maintained with less effort</w:t>
      </w:r>
      <w:r w:rsidR="00BC0CA0">
        <w:rPr>
          <w:sz w:val="24"/>
          <w:szCs w:val="24"/>
        </w:rPr>
        <w:t>.</w:t>
      </w:r>
      <w:r w:rsidR="00D77D55">
        <w:rPr>
          <w:sz w:val="24"/>
          <w:szCs w:val="24"/>
        </w:rPr>
        <w:t xml:space="preserve"> </w:t>
      </w:r>
    </w:p>
    <w:p w14:paraId="691EA32F" w14:textId="77777777" w:rsidR="00740DFD" w:rsidRDefault="00740DFD" w:rsidP="00BC0CA0">
      <w:pPr>
        <w:spacing w:after="0"/>
        <w:jc w:val="both"/>
        <w:rPr>
          <w:sz w:val="24"/>
          <w:szCs w:val="24"/>
        </w:rPr>
      </w:pPr>
    </w:p>
    <w:p w14:paraId="2B8F5BB2" w14:textId="335AA89B" w:rsidR="00740DFD" w:rsidRDefault="005A3029" w:rsidP="00D848CE">
      <w:pPr>
        <w:spacing w:after="60"/>
        <w:jc w:val="both"/>
        <w:rPr>
          <w:sz w:val="24"/>
          <w:szCs w:val="24"/>
        </w:rPr>
      </w:pPr>
      <w:r>
        <w:rPr>
          <w:sz w:val="24"/>
          <w:szCs w:val="24"/>
        </w:rPr>
        <w:t xml:space="preserve">As discussed before, the bank wants to decommission two services: Home Connectivity and USB Connectivity, so it is fundamental to provide </w:t>
      </w:r>
      <w:r w:rsidR="007A1C9C">
        <w:rPr>
          <w:sz w:val="24"/>
          <w:szCs w:val="24"/>
        </w:rPr>
        <w:t xml:space="preserve">an asset register for both services </w:t>
      </w:r>
      <w:r w:rsidR="006514AA">
        <w:rPr>
          <w:sz w:val="24"/>
          <w:szCs w:val="24"/>
        </w:rPr>
        <w:t>to</w:t>
      </w:r>
      <w:r w:rsidR="007A1C9C">
        <w:rPr>
          <w:sz w:val="24"/>
          <w:szCs w:val="24"/>
        </w:rPr>
        <w:t xml:space="preserve"> identify all the components that make valuable th</w:t>
      </w:r>
      <w:r w:rsidR="005B52D9">
        <w:rPr>
          <w:sz w:val="24"/>
          <w:szCs w:val="24"/>
        </w:rPr>
        <w:t>at</w:t>
      </w:r>
      <w:r w:rsidR="007A1C9C">
        <w:rPr>
          <w:sz w:val="24"/>
          <w:szCs w:val="24"/>
        </w:rPr>
        <w:t xml:space="preserve"> services.</w:t>
      </w:r>
      <w:r w:rsidR="001D0FA3">
        <w:rPr>
          <w:sz w:val="24"/>
          <w:szCs w:val="24"/>
        </w:rPr>
        <w:t xml:space="preserve"> It follows the asset register that </w:t>
      </w:r>
      <w:r w:rsidR="00EF4F11">
        <w:rPr>
          <w:sz w:val="24"/>
          <w:szCs w:val="24"/>
        </w:rPr>
        <w:t>describes both services</w:t>
      </w:r>
      <w:r w:rsidR="00761612">
        <w:rPr>
          <w:sz w:val="24"/>
          <w:szCs w:val="24"/>
        </w:rPr>
        <w:t xml:space="preserve"> where every </w:t>
      </w:r>
      <w:r w:rsidR="00201850">
        <w:rPr>
          <w:sz w:val="24"/>
          <w:szCs w:val="24"/>
        </w:rPr>
        <w:t xml:space="preserve">asset is characterised by the following fields: </w:t>
      </w:r>
    </w:p>
    <w:p w14:paraId="7A20D69C" w14:textId="29A39942" w:rsidR="00DB2781" w:rsidRDefault="00DB2781" w:rsidP="00D848CE">
      <w:pPr>
        <w:pStyle w:val="Paragrafoelenco"/>
        <w:numPr>
          <w:ilvl w:val="0"/>
          <w:numId w:val="5"/>
        </w:numPr>
        <w:spacing w:after="60"/>
        <w:contextualSpacing w:val="0"/>
        <w:jc w:val="both"/>
        <w:rPr>
          <w:sz w:val="24"/>
          <w:szCs w:val="24"/>
        </w:rPr>
      </w:pPr>
      <w:r w:rsidRPr="00EB37AB">
        <w:rPr>
          <w:i/>
          <w:iCs/>
          <w:sz w:val="24"/>
          <w:szCs w:val="24"/>
        </w:rPr>
        <w:t>Asset ID</w:t>
      </w:r>
      <w:r w:rsidR="00950A62">
        <w:rPr>
          <w:sz w:val="24"/>
          <w:szCs w:val="24"/>
        </w:rPr>
        <w:t>: a unique identifier for that asset.</w:t>
      </w:r>
    </w:p>
    <w:p w14:paraId="32F63792" w14:textId="2254512B" w:rsidR="00DB2781" w:rsidRDefault="00DB2781" w:rsidP="00D848CE">
      <w:pPr>
        <w:pStyle w:val="Paragrafoelenco"/>
        <w:numPr>
          <w:ilvl w:val="0"/>
          <w:numId w:val="5"/>
        </w:numPr>
        <w:spacing w:after="60"/>
        <w:contextualSpacing w:val="0"/>
        <w:jc w:val="both"/>
        <w:rPr>
          <w:sz w:val="24"/>
          <w:szCs w:val="24"/>
        </w:rPr>
      </w:pPr>
      <w:r w:rsidRPr="00EB37AB">
        <w:rPr>
          <w:i/>
          <w:iCs/>
          <w:sz w:val="24"/>
          <w:szCs w:val="24"/>
        </w:rPr>
        <w:t xml:space="preserve">Asset </w:t>
      </w:r>
      <w:r w:rsidR="00950A62" w:rsidRPr="00EB37AB">
        <w:rPr>
          <w:i/>
          <w:iCs/>
          <w:sz w:val="24"/>
          <w:szCs w:val="24"/>
        </w:rPr>
        <w:t>D</w:t>
      </w:r>
      <w:r w:rsidRPr="00EB37AB">
        <w:rPr>
          <w:i/>
          <w:iCs/>
          <w:sz w:val="24"/>
          <w:szCs w:val="24"/>
        </w:rPr>
        <w:t>escription</w:t>
      </w:r>
      <w:r w:rsidR="00950A62">
        <w:rPr>
          <w:sz w:val="24"/>
          <w:szCs w:val="24"/>
        </w:rPr>
        <w:t xml:space="preserve">: </w:t>
      </w:r>
      <w:r w:rsidR="008A7E5E">
        <w:rPr>
          <w:sz w:val="24"/>
          <w:szCs w:val="24"/>
        </w:rPr>
        <w:t xml:space="preserve">a short description of the asset. </w:t>
      </w:r>
    </w:p>
    <w:p w14:paraId="551C946F" w14:textId="6B07849D" w:rsidR="00DB2781" w:rsidRPr="00DB2781" w:rsidRDefault="00DB2781" w:rsidP="00D848CE">
      <w:pPr>
        <w:pStyle w:val="Paragrafoelenco"/>
        <w:numPr>
          <w:ilvl w:val="0"/>
          <w:numId w:val="5"/>
        </w:numPr>
        <w:spacing w:after="60"/>
        <w:contextualSpacing w:val="0"/>
        <w:jc w:val="both"/>
        <w:rPr>
          <w:sz w:val="24"/>
          <w:szCs w:val="24"/>
        </w:rPr>
      </w:pPr>
      <w:r w:rsidRPr="00EB37AB">
        <w:rPr>
          <w:i/>
          <w:iCs/>
          <w:sz w:val="24"/>
          <w:szCs w:val="24"/>
        </w:rPr>
        <w:lastRenderedPageBreak/>
        <w:t>Ownership</w:t>
      </w:r>
      <w:r w:rsidRPr="00DB2781">
        <w:rPr>
          <w:sz w:val="24"/>
          <w:szCs w:val="24"/>
        </w:rPr>
        <w:t xml:space="preserve">: </w:t>
      </w:r>
      <w:r w:rsidR="00241971">
        <w:rPr>
          <w:sz w:val="24"/>
          <w:szCs w:val="24"/>
        </w:rPr>
        <w:t>the owner of the asset.</w:t>
      </w:r>
      <w:r w:rsidRPr="00DB2781">
        <w:rPr>
          <w:sz w:val="24"/>
          <w:szCs w:val="24"/>
        </w:rPr>
        <w:t xml:space="preserve"> </w:t>
      </w:r>
      <w:r w:rsidR="00BC7C7D">
        <w:rPr>
          <w:sz w:val="24"/>
          <w:szCs w:val="24"/>
        </w:rPr>
        <w:t xml:space="preserve">Here </w:t>
      </w:r>
      <w:r w:rsidRPr="00DB2781">
        <w:rPr>
          <w:sz w:val="24"/>
          <w:szCs w:val="24"/>
        </w:rPr>
        <w:t xml:space="preserve">the bank owns </w:t>
      </w:r>
      <w:proofErr w:type="gramStart"/>
      <w:r w:rsidR="009257EB">
        <w:rPr>
          <w:sz w:val="24"/>
          <w:szCs w:val="24"/>
        </w:rPr>
        <w:t>all of</w:t>
      </w:r>
      <w:proofErr w:type="gramEnd"/>
      <w:r w:rsidR="009257EB">
        <w:rPr>
          <w:sz w:val="24"/>
          <w:szCs w:val="24"/>
        </w:rPr>
        <w:t xml:space="preserve"> </w:t>
      </w:r>
      <w:r w:rsidRPr="00DB2781">
        <w:rPr>
          <w:sz w:val="24"/>
          <w:szCs w:val="24"/>
        </w:rPr>
        <w:t>these assets, though they are provided and supported by third-party suppliers.</w:t>
      </w:r>
    </w:p>
    <w:p w14:paraId="447742DC" w14:textId="17190B83" w:rsidR="00DB2781" w:rsidRPr="00DB2781" w:rsidRDefault="00DB2781" w:rsidP="00D848CE">
      <w:pPr>
        <w:pStyle w:val="Paragrafoelenco"/>
        <w:numPr>
          <w:ilvl w:val="0"/>
          <w:numId w:val="5"/>
        </w:numPr>
        <w:spacing w:after="60"/>
        <w:contextualSpacing w:val="0"/>
        <w:jc w:val="both"/>
        <w:rPr>
          <w:sz w:val="24"/>
          <w:szCs w:val="24"/>
        </w:rPr>
      </w:pPr>
      <w:r w:rsidRPr="00EB37AB">
        <w:rPr>
          <w:i/>
          <w:iCs/>
          <w:sz w:val="24"/>
          <w:szCs w:val="24"/>
        </w:rPr>
        <w:t>Financial Value</w:t>
      </w:r>
      <w:r w:rsidRPr="00DB2781">
        <w:rPr>
          <w:sz w:val="24"/>
          <w:szCs w:val="24"/>
        </w:rPr>
        <w:t>: the cost associated with each asset, which is important for financial reconciliation post-decommissioning.</w:t>
      </w:r>
    </w:p>
    <w:p w14:paraId="2E4CD846" w14:textId="022DFEC2" w:rsidR="00DB2781" w:rsidRPr="00DB2781" w:rsidRDefault="00DB2781" w:rsidP="00D848CE">
      <w:pPr>
        <w:pStyle w:val="Paragrafoelenco"/>
        <w:numPr>
          <w:ilvl w:val="0"/>
          <w:numId w:val="5"/>
        </w:numPr>
        <w:spacing w:after="60"/>
        <w:contextualSpacing w:val="0"/>
        <w:jc w:val="both"/>
        <w:rPr>
          <w:sz w:val="24"/>
          <w:szCs w:val="24"/>
        </w:rPr>
      </w:pPr>
      <w:r w:rsidRPr="00EB37AB">
        <w:rPr>
          <w:i/>
          <w:iCs/>
          <w:sz w:val="24"/>
          <w:szCs w:val="24"/>
        </w:rPr>
        <w:t>Acquisition Date</w:t>
      </w:r>
      <w:r w:rsidRPr="00DB2781">
        <w:rPr>
          <w:sz w:val="24"/>
          <w:szCs w:val="24"/>
        </w:rPr>
        <w:t xml:space="preserve">: </w:t>
      </w:r>
      <w:r w:rsidR="00B46CA6">
        <w:rPr>
          <w:sz w:val="24"/>
          <w:szCs w:val="24"/>
        </w:rPr>
        <w:t xml:space="preserve">acquisition date of that asset. </w:t>
      </w:r>
      <w:r w:rsidR="00F6098A">
        <w:rPr>
          <w:sz w:val="24"/>
          <w:szCs w:val="24"/>
        </w:rPr>
        <w:t>Note that a</w:t>
      </w:r>
      <w:r w:rsidRPr="00DB2781">
        <w:rPr>
          <w:sz w:val="24"/>
          <w:szCs w:val="24"/>
        </w:rPr>
        <w:t>cquisition dates vary as users may have joined the services at different times. Keeping track of these dates is important for understanding the lifecycle of the assets.</w:t>
      </w:r>
    </w:p>
    <w:p w14:paraId="5511D3EA" w14:textId="661F51A6" w:rsidR="00DB2781" w:rsidRPr="00DB2781" w:rsidRDefault="00DB2781" w:rsidP="00D848CE">
      <w:pPr>
        <w:pStyle w:val="Paragrafoelenco"/>
        <w:numPr>
          <w:ilvl w:val="0"/>
          <w:numId w:val="5"/>
        </w:numPr>
        <w:spacing w:after="60"/>
        <w:contextualSpacing w:val="0"/>
        <w:jc w:val="both"/>
        <w:rPr>
          <w:sz w:val="24"/>
          <w:szCs w:val="24"/>
        </w:rPr>
      </w:pPr>
      <w:r w:rsidRPr="00EB37AB">
        <w:rPr>
          <w:i/>
          <w:iCs/>
          <w:sz w:val="24"/>
          <w:szCs w:val="24"/>
        </w:rPr>
        <w:t>Supplier</w:t>
      </w:r>
      <w:r w:rsidRPr="00DB2781">
        <w:rPr>
          <w:sz w:val="24"/>
          <w:szCs w:val="24"/>
        </w:rPr>
        <w:t>: the suppliers involved helps manage the termination process and ensure compliance with contractual obligations.</w:t>
      </w:r>
    </w:p>
    <w:p w14:paraId="27FB93B9" w14:textId="77777777" w:rsidR="00DB2781" w:rsidRPr="00DB2781" w:rsidRDefault="00DB2781" w:rsidP="00D848CE">
      <w:pPr>
        <w:pStyle w:val="Paragrafoelenco"/>
        <w:numPr>
          <w:ilvl w:val="0"/>
          <w:numId w:val="5"/>
        </w:numPr>
        <w:spacing w:after="60"/>
        <w:contextualSpacing w:val="0"/>
        <w:jc w:val="both"/>
        <w:rPr>
          <w:sz w:val="24"/>
          <w:szCs w:val="24"/>
        </w:rPr>
      </w:pPr>
      <w:r w:rsidRPr="00EB37AB">
        <w:rPr>
          <w:i/>
          <w:iCs/>
          <w:sz w:val="24"/>
          <w:szCs w:val="24"/>
        </w:rPr>
        <w:t>Contract End Date</w:t>
      </w:r>
      <w:r w:rsidRPr="00DB2781">
        <w:rPr>
          <w:sz w:val="24"/>
          <w:szCs w:val="24"/>
        </w:rPr>
        <w:t>: This helps in planning the decommissioning process in alignment with contract terms to avoid penalties.</w:t>
      </w:r>
    </w:p>
    <w:p w14:paraId="18D882E2" w14:textId="5665A0A1" w:rsidR="00327441" w:rsidRDefault="00DB2781" w:rsidP="00327441">
      <w:pPr>
        <w:pStyle w:val="Paragrafoelenco"/>
        <w:numPr>
          <w:ilvl w:val="0"/>
          <w:numId w:val="5"/>
        </w:numPr>
        <w:spacing w:after="0"/>
        <w:jc w:val="both"/>
        <w:rPr>
          <w:sz w:val="24"/>
          <w:szCs w:val="24"/>
        </w:rPr>
      </w:pPr>
      <w:r w:rsidRPr="00EB37AB">
        <w:rPr>
          <w:i/>
          <w:iCs/>
          <w:sz w:val="24"/>
          <w:szCs w:val="24"/>
        </w:rPr>
        <w:t>Notes</w:t>
      </w:r>
      <w:r w:rsidRPr="00DB2781">
        <w:rPr>
          <w:sz w:val="24"/>
          <w:szCs w:val="24"/>
        </w:rPr>
        <w:t xml:space="preserve">: Additional notes provide context and details for each asset, ensuring clarity during the </w:t>
      </w:r>
      <w:r w:rsidR="003359E4">
        <w:rPr>
          <w:sz w:val="24"/>
          <w:szCs w:val="24"/>
        </w:rPr>
        <w:t>reading</w:t>
      </w:r>
      <w:r w:rsidRPr="00DB2781">
        <w:rPr>
          <w:sz w:val="24"/>
          <w:szCs w:val="24"/>
        </w:rPr>
        <w:t xml:space="preserve"> process.</w:t>
      </w:r>
    </w:p>
    <w:p w14:paraId="29878C3C" w14:textId="77777777" w:rsidR="00327441" w:rsidRDefault="00327441" w:rsidP="00327441">
      <w:pPr>
        <w:spacing w:after="0"/>
        <w:jc w:val="both"/>
        <w:rPr>
          <w:sz w:val="24"/>
          <w:szCs w:val="24"/>
        </w:rPr>
      </w:pPr>
    </w:p>
    <w:p w14:paraId="7A75F9FE" w14:textId="77777777" w:rsidR="00373143" w:rsidRDefault="00373143" w:rsidP="00327441">
      <w:pPr>
        <w:spacing w:after="0"/>
        <w:jc w:val="both"/>
        <w:rPr>
          <w:sz w:val="24"/>
          <w:szCs w:val="24"/>
        </w:rPr>
      </w:pPr>
    </w:p>
    <w:p w14:paraId="2F4312A7" w14:textId="7248648C" w:rsidR="0025005F" w:rsidRDefault="00327441" w:rsidP="006D5B9D">
      <w:pPr>
        <w:spacing w:after="100"/>
        <w:jc w:val="center"/>
        <w:rPr>
          <w:b/>
          <w:bCs/>
          <w:sz w:val="24"/>
          <w:szCs w:val="24"/>
          <w:lang w:val="it-IT"/>
        </w:rPr>
      </w:pPr>
      <w:r w:rsidRPr="00327441">
        <w:rPr>
          <w:b/>
          <w:bCs/>
          <w:sz w:val="24"/>
          <w:szCs w:val="24"/>
          <w:lang w:val="it-IT"/>
        </w:rPr>
        <w:t>Home Connectivity Service Assets</w:t>
      </w:r>
    </w:p>
    <w:tbl>
      <w:tblPr>
        <w:tblStyle w:val="Grigliatabella"/>
        <w:tblW w:w="0" w:type="auto"/>
        <w:tblLayout w:type="fixed"/>
        <w:tblLook w:val="04A0" w:firstRow="1" w:lastRow="0" w:firstColumn="1" w:lastColumn="0" w:noHBand="0" w:noVBand="1"/>
      </w:tblPr>
      <w:tblGrid>
        <w:gridCol w:w="988"/>
        <w:gridCol w:w="1417"/>
        <w:gridCol w:w="1418"/>
        <w:gridCol w:w="1134"/>
        <w:gridCol w:w="1417"/>
        <w:gridCol w:w="1134"/>
        <w:gridCol w:w="1134"/>
        <w:gridCol w:w="986"/>
      </w:tblGrid>
      <w:tr w:rsidR="007410E4" w14:paraId="009FAF5B" w14:textId="77777777" w:rsidTr="003741DA">
        <w:tc>
          <w:tcPr>
            <w:tcW w:w="988" w:type="dxa"/>
          </w:tcPr>
          <w:p w14:paraId="4043D3A0" w14:textId="1E57C02C" w:rsidR="009E0012" w:rsidRPr="00426D28" w:rsidRDefault="009E0012" w:rsidP="00D14D80">
            <w:pPr>
              <w:rPr>
                <w:b/>
                <w:bCs/>
                <w:lang w:val="it-IT"/>
              </w:rPr>
            </w:pPr>
            <w:r w:rsidRPr="00426D28">
              <w:rPr>
                <w:b/>
                <w:bCs/>
              </w:rPr>
              <w:t>Asset ID</w:t>
            </w:r>
          </w:p>
        </w:tc>
        <w:tc>
          <w:tcPr>
            <w:tcW w:w="1417" w:type="dxa"/>
          </w:tcPr>
          <w:p w14:paraId="051A769F" w14:textId="27741940" w:rsidR="009E0012" w:rsidRPr="00426D28" w:rsidRDefault="009E0012" w:rsidP="00D14D80">
            <w:pPr>
              <w:rPr>
                <w:b/>
                <w:bCs/>
                <w:lang w:val="it-IT"/>
              </w:rPr>
            </w:pPr>
            <w:r w:rsidRPr="00426D28">
              <w:rPr>
                <w:b/>
                <w:bCs/>
              </w:rPr>
              <w:t>Asset Description</w:t>
            </w:r>
          </w:p>
        </w:tc>
        <w:tc>
          <w:tcPr>
            <w:tcW w:w="1418" w:type="dxa"/>
          </w:tcPr>
          <w:p w14:paraId="63456EE7" w14:textId="2BF967BF" w:rsidR="009E0012" w:rsidRPr="00426D28" w:rsidRDefault="009E0012" w:rsidP="00D14D80">
            <w:pPr>
              <w:rPr>
                <w:b/>
                <w:bCs/>
                <w:lang w:val="it-IT"/>
              </w:rPr>
            </w:pPr>
            <w:r w:rsidRPr="00426D28">
              <w:rPr>
                <w:b/>
                <w:bCs/>
              </w:rPr>
              <w:t>Ownership</w:t>
            </w:r>
          </w:p>
        </w:tc>
        <w:tc>
          <w:tcPr>
            <w:tcW w:w="1134" w:type="dxa"/>
          </w:tcPr>
          <w:p w14:paraId="79BC7625" w14:textId="1A0DC668" w:rsidR="009E0012" w:rsidRPr="00426D28" w:rsidRDefault="009E0012" w:rsidP="00D14D80">
            <w:pPr>
              <w:rPr>
                <w:b/>
                <w:bCs/>
                <w:lang w:val="it-IT"/>
              </w:rPr>
            </w:pPr>
            <w:r w:rsidRPr="00426D28">
              <w:rPr>
                <w:b/>
                <w:bCs/>
              </w:rPr>
              <w:t>Financial Value</w:t>
            </w:r>
          </w:p>
        </w:tc>
        <w:tc>
          <w:tcPr>
            <w:tcW w:w="1417" w:type="dxa"/>
          </w:tcPr>
          <w:p w14:paraId="4E0D6EAA" w14:textId="1D814A37" w:rsidR="009E0012" w:rsidRPr="00426D28" w:rsidRDefault="009E0012" w:rsidP="00D14D80">
            <w:pPr>
              <w:rPr>
                <w:b/>
                <w:bCs/>
                <w:lang w:val="it-IT"/>
              </w:rPr>
            </w:pPr>
            <w:r w:rsidRPr="00426D28">
              <w:rPr>
                <w:b/>
                <w:bCs/>
              </w:rPr>
              <w:t>Acquisition Date</w:t>
            </w:r>
          </w:p>
        </w:tc>
        <w:tc>
          <w:tcPr>
            <w:tcW w:w="1134" w:type="dxa"/>
          </w:tcPr>
          <w:p w14:paraId="745B4818" w14:textId="0408EFEF" w:rsidR="009E0012" w:rsidRPr="00426D28" w:rsidRDefault="009E0012" w:rsidP="00D14D80">
            <w:pPr>
              <w:rPr>
                <w:b/>
                <w:bCs/>
                <w:lang w:val="it-IT"/>
              </w:rPr>
            </w:pPr>
            <w:r w:rsidRPr="00426D28">
              <w:rPr>
                <w:b/>
                <w:bCs/>
              </w:rPr>
              <w:t>Supplier</w:t>
            </w:r>
          </w:p>
        </w:tc>
        <w:tc>
          <w:tcPr>
            <w:tcW w:w="1134" w:type="dxa"/>
          </w:tcPr>
          <w:p w14:paraId="6CE9C6D7" w14:textId="65E95008" w:rsidR="009E0012" w:rsidRPr="00426D28" w:rsidRDefault="009E0012" w:rsidP="00D14D80">
            <w:pPr>
              <w:rPr>
                <w:b/>
                <w:bCs/>
                <w:lang w:val="it-IT"/>
              </w:rPr>
            </w:pPr>
            <w:r w:rsidRPr="00426D28">
              <w:rPr>
                <w:b/>
                <w:bCs/>
              </w:rPr>
              <w:t>Contract End Date</w:t>
            </w:r>
          </w:p>
        </w:tc>
        <w:tc>
          <w:tcPr>
            <w:tcW w:w="986" w:type="dxa"/>
          </w:tcPr>
          <w:p w14:paraId="5F7E0556" w14:textId="42B02330" w:rsidR="009E0012" w:rsidRPr="00426D28" w:rsidRDefault="009E0012" w:rsidP="00D14D80">
            <w:pPr>
              <w:rPr>
                <w:b/>
                <w:bCs/>
                <w:lang w:val="it-IT"/>
              </w:rPr>
            </w:pPr>
            <w:r w:rsidRPr="00426D28">
              <w:rPr>
                <w:b/>
                <w:bCs/>
              </w:rPr>
              <w:t>Notes</w:t>
            </w:r>
          </w:p>
        </w:tc>
      </w:tr>
      <w:tr w:rsidR="007410E4" w14:paraId="69FEE66A" w14:textId="77777777" w:rsidTr="003741DA">
        <w:tc>
          <w:tcPr>
            <w:tcW w:w="988" w:type="dxa"/>
          </w:tcPr>
          <w:p w14:paraId="0916D3E2" w14:textId="6E93281E" w:rsidR="009E0012" w:rsidRPr="00426D28" w:rsidRDefault="009E0012" w:rsidP="00D14D80">
            <w:pPr>
              <w:rPr>
                <w:b/>
                <w:bCs/>
                <w:lang w:val="it-IT"/>
              </w:rPr>
            </w:pPr>
            <w:r w:rsidRPr="00426D28">
              <w:t>HC001</w:t>
            </w:r>
          </w:p>
        </w:tc>
        <w:tc>
          <w:tcPr>
            <w:tcW w:w="1417" w:type="dxa"/>
          </w:tcPr>
          <w:p w14:paraId="4BCB43D1" w14:textId="1E76F652" w:rsidR="009E0012" w:rsidRPr="00426D28" w:rsidRDefault="009E0012" w:rsidP="00D14D80">
            <w:pPr>
              <w:rPr>
                <w:b/>
                <w:bCs/>
                <w:lang w:val="it-IT"/>
              </w:rPr>
            </w:pPr>
            <w:r w:rsidRPr="00426D28">
              <w:t>Desktop Hardware</w:t>
            </w:r>
          </w:p>
        </w:tc>
        <w:tc>
          <w:tcPr>
            <w:tcW w:w="1418" w:type="dxa"/>
          </w:tcPr>
          <w:p w14:paraId="4FF58F8A" w14:textId="54D45F29" w:rsidR="009E0012" w:rsidRPr="00426D28" w:rsidRDefault="009E0012" w:rsidP="00D14D80">
            <w:pPr>
              <w:rPr>
                <w:b/>
                <w:bCs/>
                <w:lang w:val="it-IT"/>
              </w:rPr>
            </w:pPr>
            <w:r w:rsidRPr="00426D28">
              <w:t>Bank</w:t>
            </w:r>
          </w:p>
        </w:tc>
        <w:tc>
          <w:tcPr>
            <w:tcW w:w="1134" w:type="dxa"/>
          </w:tcPr>
          <w:p w14:paraId="1A9084CA" w14:textId="72538AA6" w:rsidR="009E0012" w:rsidRPr="00426D28" w:rsidRDefault="009E0012" w:rsidP="00D14D80">
            <w:pPr>
              <w:rPr>
                <w:b/>
                <w:bCs/>
                <w:lang w:val="it-IT"/>
              </w:rPr>
            </w:pPr>
            <w:r w:rsidRPr="00426D28">
              <w:t>$800.45 per unit</w:t>
            </w:r>
          </w:p>
        </w:tc>
        <w:tc>
          <w:tcPr>
            <w:tcW w:w="1417" w:type="dxa"/>
          </w:tcPr>
          <w:p w14:paraId="35430330" w14:textId="09FAEB95" w:rsidR="009E0012" w:rsidRPr="00426D28" w:rsidRDefault="009E0012" w:rsidP="00D14D80">
            <w:pPr>
              <w:rPr>
                <w:b/>
                <w:bCs/>
                <w:lang w:val="it-IT"/>
              </w:rPr>
            </w:pPr>
            <w:r w:rsidRPr="00426D28">
              <w:t>2023-01-15</w:t>
            </w:r>
          </w:p>
        </w:tc>
        <w:tc>
          <w:tcPr>
            <w:tcW w:w="1134" w:type="dxa"/>
          </w:tcPr>
          <w:p w14:paraId="66DE1F0D" w14:textId="7A2C6E8B" w:rsidR="009E0012" w:rsidRPr="00426D28" w:rsidRDefault="009E0012" w:rsidP="00D14D80">
            <w:pPr>
              <w:rPr>
                <w:b/>
                <w:bCs/>
                <w:lang w:val="it-IT"/>
              </w:rPr>
            </w:pPr>
            <w:r w:rsidRPr="00426D28">
              <w:t>Supplier A</w:t>
            </w:r>
          </w:p>
        </w:tc>
        <w:tc>
          <w:tcPr>
            <w:tcW w:w="1134" w:type="dxa"/>
          </w:tcPr>
          <w:p w14:paraId="725A3506" w14:textId="1599CC46" w:rsidR="009E0012" w:rsidRPr="00426D28" w:rsidRDefault="009E0012" w:rsidP="00D14D80">
            <w:pPr>
              <w:rPr>
                <w:b/>
                <w:bCs/>
                <w:lang w:val="it-IT"/>
              </w:rPr>
            </w:pPr>
            <w:r w:rsidRPr="00426D28">
              <w:t>N/A</w:t>
            </w:r>
          </w:p>
        </w:tc>
        <w:tc>
          <w:tcPr>
            <w:tcW w:w="986" w:type="dxa"/>
          </w:tcPr>
          <w:p w14:paraId="09B11853" w14:textId="483E63FC" w:rsidR="009E0012" w:rsidRPr="00426D28" w:rsidRDefault="009E0012" w:rsidP="00D14D80">
            <w:pPr>
              <w:rPr>
                <w:b/>
                <w:bCs/>
                <w:lang w:val="it-IT"/>
              </w:rPr>
            </w:pPr>
            <w:r w:rsidRPr="00426D28">
              <w:t>200 units deployed to users</w:t>
            </w:r>
          </w:p>
        </w:tc>
      </w:tr>
      <w:tr w:rsidR="007410E4" w14:paraId="46E6C2AF" w14:textId="77777777" w:rsidTr="003741DA">
        <w:tc>
          <w:tcPr>
            <w:tcW w:w="988" w:type="dxa"/>
          </w:tcPr>
          <w:p w14:paraId="72DA6E89" w14:textId="1C8E8A20" w:rsidR="009E0012" w:rsidRPr="00426D28" w:rsidRDefault="009E0012" w:rsidP="00D14D80">
            <w:pPr>
              <w:rPr>
                <w:b/>
                <w:bCs/>
                <w:lang w:val="it-IT"/>
              </w:rPr>
            </w:pPr>
            <w:r w:rsidRPr="00426D28">
              <w:t>HC002</w:t>
            </w:r>
          </w:p>
        </w:tc>
        <w:tc>
          <w:tcPr>
            <w:tcW w:w="1417" w:type="dxa"/>
          </w:tcPr>
          <w:p w14:paraId="40CF6B8A" w14:textId="23559D5B" w:rsidR="009E0012" w:rsidRPr="00426D28" w:rsidRDefault="009E0012" w:rsidP="00D14D80">
            <w:pPr>
              <w:rPr>
                <w:b/>
                <w:bCs/>
                <w:lang w:val="it-IT"/>
              </w:rPr>
            </w:pPr>
            <w:r w:rsidRPr="00426D28">
              <w:t>Desktop Support</w:t>
            </w:r>
          </w:p>
        </w:tc>
        <w:tc>
          <w:tcPr>
            <w:tcW w:w="1418" w:type="dxa"/>
          </w:tcPr>
          <w:p w14:paraId="705D6B04" w14:textId="26827A96" w:rsidR="009E0012" w:rsidRPr="00426D28" w:rsidRDefault="009E0012" w:rsidP="00D14D80">
            <w:pPr>
              <w:rPr>
                <w:b/>
                <w:bCs/>
                <w:lang w:val="it-IT"/>
              </w:rPr>
            </w:pPr>
            <w:r w:rsidRPr="00426D28">
              <w:t>Bank</w:t>
            </w:r>
          </w:p>
        </w:tc>
        <w:tc>
          <w:tcPr>
            <w:tcW w:w="1134" w:type="dxa"/>
          </w:tcPr>
          <w:p w14:paraId="4ADF6925" w14:textId="76A58DC0" w:rsidR="009E0012" w:rsidRPr="00426D28" w:rsidRDefault="009E0012" w:rsidP="00D14D80">
            <w:pPr>
              <w:rPr>
                <w:b/>
                <w:bCs/>
                <w:lang w:val="it-IT"/>
              </w:rPr>
            </w:pPr>
            <w:r w:rsidRPr="00426D28">
              <w:t>$45.95 per month</w:t>
            </w:r>
          </w:p>
        </w:tc>
        <w:tc>
          <w:tcPr>
            <w:tcW w:w="1417" w:type="dxa"/>
          </w:tcPr>
          <w:p w14:paraId="77D19178" w14:textId="483C06F8" w:rsidR="009E0012" w:rsidRPr="00426D28" w:rsidRDefault="009E0012" w:rsidP="00D14D80">
            <w:pPr>
              <w:rPr>
                <w:b/>
                <w:bCs/>
                <w:lang w:val="it-IT"/>
              </w:rPr>
            </w:pPr>
            <w:r w:rsidRPr="00426D28">
              <w:t>2023-01-15</w:t>
            </w:r>
          </w:p>
        </w:tc>
        <w:tc>
          <w:tcPr>
            <w:tcW w:w="1134" w:type="dxa"/>
          </w:tcPr>
          <w:p w14:paraId="3DC6B16A" w14:textId="41E43AA0" w:rsidR="009E0012" w:rsidRPr="00426D28" w:rsidRDefault="009E0012" w:rsidP="00D14D80">
            <w:pPr>
              <w:rPr>
                <w:b/>
                <w:bCs/>
                <w:lang w:val="it-IT"/>
              </w:rPr>
            </w:pPr>
            <w:r w:rsidRPr="00426D28">
              <w:t>Supplier A</w:t>
            </w:r>
          </w:p>
        </w:tc>
        <w:tc>
          <w:tcPr>
            <w:tcW w:w="1134" w:type="dxa"/>
          </w:tcPr>
          <w:p w14:paraId="0A90FD10" w14:textId="6BA9E07E" w:rsidR="009E0012" w:rsidRPr="00426D28" w:rsidRDefault="009E0012" w:rsidP="00D14D80">
            <w:pPr>
              <w:rPr>
                <w:b/>
                <w:bCs/>
                <w:lang w:val="it-IT"/>
              </w:rPr>
            </w:pPr>
            <w:r w:rsidRPr="00426D28">
              <w:t>End of notice period</w:t>
            </w:r>
          </w:p>
        </w:tc>
        <w:tc>
          <w:tcPr>
            <w:tcW w:w="986" w:type="dxa"/>
          </w:tcPr>
          <w:p w14:paraId="77490236" w14:textId="6F162FD7" w:rsidR="009E0012" w:rsidRPr="00426D28" w:rsidRDefault="009E0012" w:rsidP="00D14D80">
            <w:pPr>
              <w:rPr>
                <w:b/>
                <w:bCs/>
                <w:lang w:val="it-IT"/>
              </w:rPr>
            </w:pPr>
            <w:r w:rsidRPr="00426D28">
              <w:t>Monthly support service</w:t>
            </w:r>
          </w:p>
        </w:tc>
      </w:tr>
      <w:tr w:rsidR="007410E4" w14:paraId="4D27562F" w14:textId="77777777" w:rsidTr="003741DA">
        <w:tc>
          <w:tcPr>
            <w:tcW w:w="988" w:type="dxa"/>
          </w:tcPr>
          <w:p w14:paraId="1DC79129" w14:textId="413644DD" w:rsidR="009E0012" w:rsidRPr="00426D28" w:rsidRDefault="009E0012" w:rsidP="00D14D80">
            <w:pPr>
              <w:rPr>
                <w:b/>
                <w:bCs/>
                <w:lang w:val="it-IT"/>
              </w:rPr>
            </w:pPr>
            <w:r w:rsidRPr="00426D28">
              <w:t>HC003</w:t>
            </w:r>
          </w:p>
        </w:tc>
        <w:tc>
          <w:tcPr>
            <w:tcW w:w="1417" w:type="dxa"/>
          </w:tcPr>
          <w:p w14:paraId="0C18A6B8" w14:textId="59FCB291" w:rsidR="009E0012" w:rsidRPr="00426D28" w:rsidRDefault="009E0012" w:rsidP="00D14D80">
            <w:pPr>
              <w:rPr>
                <w:b/>
                <w:bCs/>
                <w:lang w:val="it-IT"/>
              </w:rPr>
            </w:pPr>
            <w:r w:rsidRPr="00426D28">
              <w:t>Central DSL Connection</w:t>
            </w:r>
          </w:p>
        </w:tc>
        <w:tc>
          <w:tcPr>
            <w:tcW w:w="1418" w:type="dxa"/>
          </w:tcPr>
          <w:p w14:paraId="28C085A3" w14:textId="4E5B4E2D" w:rsidR="009E0012" w:rsidRPr="00426D28" w:rsidRDefault="009E0012" w:rsidP="00D14D80">
            <w:pPr>
              <w:rPr>
                <w:b/>
                <w:bCs/>
                <w:lang w:val="it-IT"/>
              </w:rPr>
            </w:pPr>
            <w:r w:rsidRPr="00426D28">
              <w:t>Bank</w:t>
            </w:r>
          </w:p>
        </w:tc>
        <w:tc>
          <w:tcPr>
            <w:tcW w:w="1134" w:type="dxa"/>
          </w:tcPr>
          <w:p w14:paraId="7CD378CE" w14:textId="1FD2E499" w:rsidR="009E0012" w:rsidRPr="00426D28" w:rsidRDefault="009E0012" w:rsidP="00D14D80">
            <w:pPr>
              <w:rPr>
                <w:b/>
                <w:bCs/>
                <w:lang w:val="it-IT"/>
              </w:rPr>
            </w:pPr>
            <w:r w:rsidRPr="00426D28">
              <w:t>$12,604 yearly</w:t>
            </w:r>
          </w:p>
        </w:tc>
        <w:tc>
          <w:tcPr>
            <w:tcW w:w="1417" w:type="dxa"/>
          </w:tcPr>
          <w:p w14:paraId="57CE78AF" w14:textId="789889A9" w:rsidR="009E0012" w:rsidRPr="00426D28" w:rsidRDefault="009E0012" w:rsidP="00D14D80">
            <w:pPr>
              <w:rPr>
                <w:b/>
                <w:bCs/>
                <w:lang w:val="it-IT"/>
              </w:rPr>
            </w:pPr>
            <w:r w:rsidRPr="00426D28">
              <w:t>2023-01-15</w:t>
            </w:r>
          </w:p>
        </w:tc>
        <w:tc>
          <w:tcPr>
            <w:tcW w:w="1134" w:type="dxa"/>
          </w:tcPr>
          <w:p w14:paraId="26F8C989" w14:textId="0EE60E8F" w:rsidR="009E0012" w:rsidRPr="00426D28" w:rsidRDefault="009E0012" w:rsidP="00D14D80">
            <w:pPr>
              <w:rPr>
                <w:b/>
                <w:bCs/>
                <w:lang w:val="it-IT"/>
              </w:rPr>
            </w:pPr>
            <w:r w:rsidRPr="00426D28">
              <w:t>ISP B</w:t>
            </w:r>
          </w:p>
        </w:tc>
        <w:tc>
          <w:tcPr>
            <w:tcW w:w="1134" w:type="dxa"/>
          </w:tcPr>
          <w:p w14:paraId="31585F31" w14:textId="2AC948A9" w:rsidR="009E0012" w:rsidRPr="00426D28" w:rsidRDefault="009E0012" w:rsidP="00D14D80">
            <w:pPr>
              <w:rPr>
                <w:b/>
                <w:bCs/>
                <w:lang w:val="it-IT"/>
              </w:rPr>
            </w:pPr>
            <w:r w:rsidRPr="00426D28">
              <w:t>End of notice period</w:t>
            </w:r>
          </w:p>
        </w:tc>
        <w:tc>
          <w:tcPr>
            <w:tcW w:w="986" w:type="dxa"/>
          </w:tcPr>
          <w:p w14:paraId="2648AD26" w14:textId="06F54487" w:rsidR="009E0012" w:rsidRPr="00426D28" w:rsidRDefault="009E0012" w:rsidP="00D14D80">
            <w:pPr>
              <w:rPr>
                <w:b/>
                <w:bCs/>
                <w:lang w:val="it-IT"/>
              </w:rPr>
            </w:pPr>
            <w:r w:rsidRPr="00426D28">
              <w:t>Central connection for service</w:t>
            </w:r>
          </w:p>
        </w:tc>
      </w:tr>
      <w:tr w:rsidR="007410E4" w14:paraId="413E49A3" w14:textId="77777777" w:rsidTr="003741DA">
        <w:tc>
          <w:tcPr>
            <w:tcW w:w="988" w:type="dxa"/>
          </w:tcPr>
          <w:p w14:paraId="79221892" w14:textId="0A52AD50" w:rsidR="009E0012" w:rsidRPr="00426D28" w:rsidRDefault="009E0012" w:rsidP="00D14D80">
            <w:pPr>
              <w:rPr>
                <w:b/>
                <w:bCs/>
                <w:lang w:val="it-IT"/>
              </w:rPr>
            </w:pPr>
            <w:r w:rsidRPr="00426D28">
              <w:t>HC004</w:t>
            </w:r>
          </w:p>
        </w:tc>
        <w:tc>
          <w:tcPr>
            <w:tcW w:w="1417" w:type="dxa"/>
          </w:tcPr>
          <w:p w14:paraId="2C158E87" w14:textId="20CF875E" w:rsidR="009E0012" w:rsidRPr="00426D28" w:rsidRDefault="009E0012" w:rsidP="00D14D80">
            <w:pPr>
              <w:rPr>
                <w:b/>
                <w:bCs/>
                <w:lang w:val="it-IT"/>
              </w:rPr>
            </w:pPr>
            <w:r w:rsidRPr="00426D28">
              <w:t>Internet Subscription</w:t>
            </w:r>
          </w:p>
        </w:tc>
        <w:tc>
          <w:tcPr>
            <w:tcW w:w="1418" w:type="dxa"/>
          </w:tcPr>
          <w:p w14:paraId="5209A3B0" w14:textId="5488E88E" w:rsidR="009E0012" w:rsidRPr="00426D28" w:rsidRDefault="009E0012" w:rsidP="00D14D80">
            <w:pPr>
              <w:rPr>
                <w:b/>
                <w:bCs/>
                <w:lang w:val="it-IT"/>
              </w:rPr>
            </w:pPr>
            <w:r w:rsidRPr="00426D28">
              <w:t>Bank</w:t>
            </w:r>
          </w:p>
        </w:tc>
        <w:tc>
          <w:tcPr>
            <w:tcW w:w="1134" w:type="dxa"/>
          </w:tcPr>
          <w:p w14:paraId="56D97E30" w14:textId="234E6D66" w:rsidR="009E0012" w:rsidRPr="00426D28" w:rsidRDefault="009E0012" w:rsidP="00D14D80">
            <w:pPr>
              <w:rPr>
                <w:b/>
                <w:bCs/>
                <w:lang w:val="it-IT"/>
              </w:rPr>
            </w:pPr>
            <w:r w:rsidRPr="00426D28">
              <w:t>$46.15 per user/month</w:t>
            </w:r>
          </w:p>
        </w:tc>
        <w:tc>
          <w:tcPr>
            <w:tcW w:w="1417" w:type="dxa"/>
          </w:tcPr>
          <w:p w14:paraId="70CADCD0" w14:textId="12C7A56B" w:rsidR="009E0012" w:rsidRPr="00426D28" w:rsidRDefault="009E0012" w:rsidP="00D14D80">
            <w:pPr>
              <w:rPr>
                <w:b/>
                <w:bCs/>
                <w:lang w:val="it-IT"/>
              </w:rPr>
            </w:pPr>
            <w:r w:rsidRPr="00426D28">
              <w:t>Various (3000 users)</w:t>
            </w:r>
          </w:p>
        </w:tc>
        <w:tc>
          <w:tcPr>
            <w:tcW w:w="1134" w:type="dxa"/>
          </w:tcPr>
          <w:p w14:paraId="31860E8D" w14:textId="1021B8AA" w:rsidR="009E0012" w:rsidRPr="00426D28" w:rsidRDefault="009E0012" w:rsidP="00D14D80">
            <w:pPr>
              <w:rPr>
                <w:b/>
                <w:bCs/>
                <w:lang w:val="it-IT"/>
              </w:rPr>
            </w:pPr>
            <w:r w:rsidRPr="00426D28">
              <w:t>ISP B</w:t>
            </w:r>
          </w:p>
        </w:tc>
        <w:tc>
          <w:tcPr>
            <w:tcW w:w="1134" w:type="dxa"/>
          </w:tcPr>
          <w:p w14:paraId="7EE8FBC7" w14:textId="78B60D79" w:rsidR="009E0012" w:rsidRPr="00426D28" w:rsidRDefault="009E0012" w:rsidP="00D14D80">
            <w:pPr>
              <w:rPr>
                <w:b/>
                <w:bCs/>
                <w:lang w:val="it-IT"/>
              </w:rPr>
            </w:pPr>
            <w:r w:rsidRPr="00426D28">
              <w:t>End of notice period</w:t>
            </w:r>
          </w:p>
        </w:tc>
        <w:tc>
          <w:tcPr>
            <w:tcW w:w="986" w:type="dxa"/>
          </w:tcPr>
          <w:p w14:paraId="4B100936" w14:textId="7B2FD23D" w:rsidR="009E0012" w:rsidRPr="00426D28" w:rsidRDefault="009E0012" w:rsidP="00D14D80">
            <w:pPr>
              <w:rPr>
                <w:b/>
                <w:bCs/>
                <w:lang w:val="it-IT"/>
              </w:rPr>
            </w:pPr>
            <w:r w:rsidRPr="00426D28">
              <w:t>Monthly subscription per user</w:t>
            </w:r>
          </w:p>
        </w:tc>
      </w:tr>
      <w:tr w:rsidR="007410E4" w14:paraId="1167DD96" w14:textId="77777777" w:rsidTr="003741DA">
        <w:tc>
          <w:tcPr>
            <w:tcW w:w="988" w:type="dxa"/>
          </w:tcPr>
          <w:p w14:paraId="0D9BD712" w14:textId="74A174F4" w:rsidR="009E0012" w:rsidRPr="00426D28" w:rsidRDefault="009E0012" w:rsidP="00D14D80">
            <w:pPr>
              <w:rPr>
                <w:b/>
                <w:bCs/>
                <w:lang w:val="it-IT"/>
              </w:rPr>
            </w:pPr>
            <w:r w:rsidRPr="00426D28">
              <w:t>HC005</w:t>
            </w:r>
          </w:p>
        </w:tc>
        <w:tc>
          <w:tcPr>
            <w:tcW w:w="1417" w:type="dxa"/>
          </w:tcPr>
          <w:p w14:paraId="2E9693C0" w14:textId="7110AC26" w:rsidR="009E0012" w:rsidRPr="00426D28" w:rsidRDefault="009E0012" w:rsidP="00D14D80">
            <w:pPr>
              <w:rPr>
                <w:b/>
                <w:bCs/>
                <w:lang w:val="it-IT"/>
              </w:rPr>
            </w:pPr>
            <w:r w:rsidRPr="00426D28">
              <w:t>Installation Fee</w:t>
            </w:r>
          </w:p>
        </w:tc>
        <w:tc>
          <w:tcPr>
            <w:tcW w:w="1418" w:type="dxa"/>
          </w:tcPr>
          <w:p w14:paraId="61AEE7CB" w14:textId="27A92338" w:rsidR="009E0012" w:rsidRPr="00426D28" w:rsidRDefault="009E0012" w:rsidP="00D14D80">
            <w:pPr>
              <w:rPr>
                <w:b/>
                <w:bCs/>
                <w:lang w:val="it-IT"/>
              </w:rPr>
            </w:pPr>
            <w:r w:rsidRPr="00426D28">
              <w:t>Bank</w:t>
            </w:r>
          </w:p>
        </w:tc>
        <w:tc>
          <w:tcPr>
            <w:tcW w:w="1134" w:type="dxa"/>
          </w:tcPr>
          <w:p w14:paraId="0DFF35AF" w14:textId="1EB8E719" w:rsidR="009E0012" w:rsidRPr="00426D28" w:rsidRDefault="009E0012" w:rsidP="00D14D80">
            <w:pPr>
              <w:rPr>
                <w:b/>
                <w:bCs/>
                <w:lang w:val="it-IT"/>
              </w:rPr>
            </w:pPr>
            <w:r w:rsidRPr="00426D28">
              <w:t>$110 per installation</w:t>
            </w:r>
          </w:p>
        </w:tc>
        <w:tc>
          <w:tcPr>
            <w:tcW w:w="1417" w:type="dxa"/>
          </w:tcPr>
          <w:p w14:paraId="12BB335F" w14:textId="3686760F" w:rsidR="009E0012" w:rsidRPr="00426D28" w:rsidRDefault="009E0012" w:rsidP="00D14D80">
            <w:pPr>
              <w:rPr>
                <w:b/>
                <w:bCs/>
                <w:lang w:val="it-IT"/>
              </w:rPr>
            </w:pPr>
            <w:r w:rsidRPr="00426D28">
              <w:t>Various (3000 users)</w:t>
            </w:r>
          </w:p>
        </w:tc>
        <w:tc>
          <w:tcPr>
            <w:tcW w:w="1134" w:type="dxa"/>
          </w:tcPr>
          <w:p w14:paraId="32AE9137" w14:textId="5F6BFE54" w:rsidR="009E0012" w:rsidRPr="00426D28" w:rsidRDefault="009E0012" w:rsidP="00D14D80">
            <w:pPr>
              <w:rPr>
                <w:b/>
                <w:bCs/>
                <w:lang w:val="it-IT"/>
              </w:rPr>
            </w:pPr>
            <w:r w:rsidRPr="00426D28">
              <w:t>ISP B</w:t>
            </w:r>
          </w:p>
        </w:tc>
        <w:tc>
          <w:tcPr>
            <w:tcW w:w="1134" w:type="dxa"/>
          </w:tcPr>
          <w:p w14:paraId="6E05AC51" w14:textId="4D08D766" w:rsidR="009E0012" w:rsidRPr="00426D28" w:rsidRDefault="009E0012" w:rsidP="00D14D80">
            <w:pPr>
              <w:rPr>
                <w:b/>
                <w:bCs/>
                <w:lang w:val="it-IT"/>
              </w:rPr>
            </w:pPr>
            <w:r w:rsidRPr="00426D28">
              <w:t>N/A</w:t>
            </w:r>
          </w:p>
        </w:tc>
        <w:tc>
          <w:tcPr>
            <w:tcW w:w="986" w:type="dxa"/>
          </w:tcPr>
          <w:p w14:paraId="6AB08840" w14:textId="673C39B2" w:rsidR="009E0012" w:rsidRPr="00426D28" w:rsidRDefault="009E0012" w:rsidP="00D14D80">
            <w:pPr>
              <w:rPr>
                <w:b/>
                <w:bCs/>
                <w:lang w:val="it-IT"/>
              </w:rPr>
            </w:pPr>
            <w:r w:rsidRPr="00426D28">
              <w:t>One-time installation fee</w:t>
            </w:r>
          </w:p>
        </w:tc>
      </w:tr>
      <w:tr w:rsidR="007410E4" w:rsidRPr="009E0012" w14:paraId="40EAE5DD" w14:textId="77777777" w:rsidTr="003741DA">
        <w:tc>
          <w:tcPr>
            <w:tcW w:w="988" w:type="dxa"/>
          </w:tcPr>
          <w:p w14:paraId="58AC9144" w14:textId="0C7E531C" w:rsidR="009E0012" w:rsidRPr="00426D28" w:rsidRDefault="009E0012" w:rsidP="00D14D80">
            <w:pPr>
              <w:rPr>
                <w:b/>
                <w:bCs/>
                <w:lang w:val="it-IT"/>
              </w:rPr>
            </w:pPr>
            <w:r w:rsidRPr="00426D28">
              <w:t>HC006</w:t>
            </w:r>
          </w:p>
        </w:tc>
        <w:tc>
          <w:tcPr>
            <w:tcW w:w="1417" w:type="dxa"/>
          </w:tcPr>
          <w:p w14:paraId="6F4DCC5F" w14:textId="65470CCC" w:rsidR="009E0012" w:rsidRPr="00426D28" w:rsidRDefault="009E0012" w:rsidP="00D14D80">
            <w:pPr>
              <w:rPr>
                <w:b/>
                <w:bCs/>
                <w:lang w:val="it-IT"/>
              </w:rPr>
            </w:pPr>
            <w:r w:rsidRPr="00426D28">
              <w:t>VOIP Telephone Set</w:t>
            </w:r>
          </w:p>
        </w:tc>
        <w:tc>
          <w:tcPr>
            <w:tcW w:w="1418" w:type="dxa"/>
          </w:tcPr>
          <w:p w14:paraId="16A63D38" w14:textId="71C2CDB7" w:rsidR="009E0012" w:rsidRPr="00426D28" w:rsidRDefault="009E0012" w:rsidP="00D14D80">
            <w:pPr>
              <w:rPr>
                <w:b/>
                <w:bCs/>
                <w:lang w:val="it-IT"/>
              </w:rPr>
            </w:pPr>
            <w:r w:rsidRPr="00426D28">
              <w:t>Bank</w:t>
            </w:r>
          </w:p>
        </w:tc>
        <w:tc>
          <w:tcPr>
            <w:tcW w:w="1134" w:type="dxa"/>
          </w:tcPr>
          <w:p w14:paraId="0287459E" w14:textId="595ADCFD" w:rsidR="009E0012" w:rsidRPr="00426D28" w:rsidRDefault="009E0012" w:rsidP="00D14D80">
            <w:pPr>
              <w:rPr>
                <w:b/>
                <w:bCs/>
                <w:lang w:val="it-IT"/>
              </w:rPr>
            </w:pPr>
            <w:r w:rsidRPr="00426D28">
              <w:t>$100.83 per unit</w:t>
            </w:r>
          </w:p>
        </w:tc>
        <w:tc>
          <w:tcPr>
            <w:tcW w:w="1417" w:type="dxa"/>
          </w:tcPr>
          <w:p w14:paraId="1A8681B0" w14:textId="0DDCCB54" w:rsidR="009E0012" w:rsidRPr="00426D28" w:rsidRDefault="009E0012" w:rsidP="00D14D80">
            <w:pPr>
              <w:rPr>
                <w:b/>
                <w:bCs/>
                <w:lang w:val="it-IT"/>
              </w:rPr>
            </w:pPr>
            <w:r w:rsidRPr="00426D28">
              <w:t>2023-06-01</w:t>
            </w:r>
          </w:p>
        </w:tc>
        <w:tc>
          <w:tcPr>
            <w:tcW w:w="1134" w:type="dxa"/>
          </w:tcPr>
          <w:p w14:paraId="3529F4C3" w14:textId="6A70FAD4" w:rsidR="009E0012" w:rsidRPr="00426D28" w:rsidRDefault="009E0012" w:rsidP="00D14D80">
            <w:pPr>
              <w:rPr>
                <w:b/>
                <w:bCs/>
                <w:lang w:val="it-IT"/>
              </w:rPr>
            </w:pPr>
            <w:r w:rsidRPr="00426D28">
              <w:t>Supplier C</w:t>
            </w:r>
          </w:p>
        </w:tc>
        <w:tc>
          <w:tcPr>
            <w:tcW w:w="1134" w:type="dxa"/>
          </w:tcPr>
          <w:p w14:paraId="259FB3AF" w14:textId="0B538264" w:rsidR="009E0012" w:rsidRPr="00426D28" w:rsidRDefault="009E0012" w:rsidP="00D14D80">
            <w:pPr>
              <w:rPr>
                <w:b/>
                <w:bCs/>
                <w:lang w:val="it-IT"/>
              </w:rPr>
            </w:pPr>
            <w:r w:rsidRPr="00426D28">
              <w:t>N/A</w:t>
            </w:r>
          </w:p>
        </w:tc>
        <w:tc>
          <w:tcPr>
            <w:tcW w:w="986" w:type="dxa"/>
          </w:tcPr>
          <w:p w14:paraId="7ABD080D" w14:textId="1DBDF4F8" w:rsidR="009E0012" w:rsidRPr="00426D28" w:rsidRDefault="009E0012" w:rsidP="00D14D80">
            <w:pPr>
              <w:rPr>
                <w:b/>
                <w:bCs/>
              </w:rPr>
            </w:pPr>
            <w:r w:rsidRPr="00426D28">
              <w:t>Deployed to CCA Home Connectivity users</w:t>
            </w:r>
          </w:p>
        </w:tc>
      </w:tr>
    </w:tbl>
    <w:p w14:paraId="5322E876" w14:textId="77777777" w:rsidR="009E0012" w:rsidRPr="00327441" w:rsidRDefault="009E0012" w:rsidP="00327441">
      <w:pPr>
        <w:spacing w:after="0"/>
        <w:jc w:val="both"/>
        <w:rPr>
          <w:b/>
          <w:bCs/>
          <w:sz w:val="24"/>
          <w:szCs w:val="24"/>
        </w:rPr>
      </w:pPr>
    </w:p>
    <w:p w14:paraId="131A3CED" w14:textId="28B4E2F4" w:rsidR="00327441" w:rsidRPr="006D5B9D" w:rsidRDefault="00327441" w:rsidP="006D5B9D">
      <w:pPr>
        <w:spacing w:after="100"/>
        <w:jc w:val="center"/>
        <w:rPr>
          <w:b/>
          <w:bCs/>
          <w:sz w:val="24"/>
          <w:szCs w:val="24"/>
          <w:lang w:val="it-IT"/>
        </w:rPr>
      </w:pPr>
      <w:r w:rsidRPr="00327441">
        <w:rPr>
          <w:b/>
          <w:bCs/>
          <w:sz w:val="24"/>
          <w:szCs w:val="24"/>
          <w:lang w:val="it-IT"/>
        </w:rPr>
        <w:lastRenderedPageBreak/>
        <w:t>USB Connectivity Service Assets</w:t>
      </w:r>
    </w:p>
    <w:tbl>
      <w:tblPr>
        <w:tblStyle w:val="Grigliatabella"/>
        <w:tblW w:w="0" w:type="auto"/>
        <w:tblLayout w:type="fixed"/>
        <w:tblLook w:val="04A0" w:firstRow="1" w:lastRow="0" w:firstColumn="1" w:lastColumn="0" w:noHBand="0" w:noVBand="1"/>
      </w:tblPr>
      <w:tblGrid>
        <w:gridCol w:w="988"/>
        <w:gridCol w:w="1417"/>
        <w:gridCol w:w="1418"/>
        <w:gridCol w:w="1134"/>
        <w:gridCol w:w="1417"/>
        <w:gridCol w:w="1134"/>
        <w:gridCol w:w="1134"/>
        <w:gridCol w:w="986"/>
      </w:tblGrid>
      <w:tr w:rsidR="00100C37" w14:paraId="10B2D6EC" w14:textId="77777777" w:rsidTr="003741DA">
        <w:tc>
          <w:tcPr>
            <w:tcW w:w="988" w:type="dxa"/>
          </w:tcPr>
          <w:p w14:paraId="6AF3F939" w14:textId="0679F415" w:rsidR="00100C37" w:rsidRDefault="00100C37" w:rsidP="00100C37">
            <w:pPr>
              <w:jc w:val="both"/>
              <w:rPr>
                <w:sz w:val="24"/>
                <w:szCs w:val="24"/>
              </w:rPr>
            </w:pPr>
            <w:r w:rsidRPr="00426D28">
              <w:rPr>
                <w:b/>
                <w:bCs/>
              </w:rPr>
              <w:t>Asset ID</w:t>
            </w:r>
          </w:p>
        </w:tc>
        <w:tc>
          <w:tcPr>
            <w:tcW w:w="1417" w:type="dxa"/>
          </w:tcPr>
          <w:p w14:paraId="2CACE9A8" w14:textId="0F9587E6" w:rsidR="00100C37" w:rsidRDefault="00100C37" w:rsidP="00100C37">
            <w:pPr>
              <w:jc w:val="both"/>
              <w:rPr>
                <w:sz w:val="24"/>
                <w:szCs w:val="24"/>
              </w:rPr>
            </w:pPr>
            <w:r w:rsidRPr="00426D28">
              <w:rPr>
                <w:b/>
                <w:bCs/>
              </w:rPr>
              <w:t>Asset Description</w:t>
            </w:r>
          </w:p>
        </w:tc>
        <w:tc>
          <w:tcPr>
            <w:tcW w:w="1418" w:type="dxa"/>
          </w:tcPr>
          <w:p w14:paraId="008CA5E1" w14:textId="768B33DB" w:rsidR="00100C37" w:rsidRDefault="00100C37" w:rsidP="00100C37">
            <w:pPr>
              <w:jc w:val="both"/>
              <w:rPr>
                <w:sz w:val="24"/>
                <w:szCs w:val="24"/>
              </w:rPr>
            </w:pPr>
            <w:r w:rsidRPr="00426D28">
              <w:rPr>
                <w:b/>
                <w:bCs/>
              </w:rPr>
              <w:t>Ownership</w:t>
            </w:r>
          </w:p>
        </w:tc>
        <w:tc>
          <w:tcPr>
            <w:tcW w:w="1134" w:type="dxa"/>
          </w:tcPr>
          <w:p w14:paraId="2EC46608" w14:textId="55514654" w:rsidR="00100C37" w:rsidRDefault="00100C37" w:rsidP="00100C37">
            <w:pPr>
              <w:jc w:val="both"/>
              <w:rPr>
                <w:sz w:val="24"/>
                <w:szCs w:val="24"/>
              </w:rPr>
            </w:pPr>
            <w:r w:rsidRPr="00426D28">
              <w:rPr>
                <w:b/>
                <w:bCs/>
              </w:rPr>
              <w:t>Financial Value</w:t>
            </w:r>
          </w:p>
        </w:tc>
        <w:tc>
          <w:tcPr>
            <w:tcW w:w="1417" w:type="dxa"/>
          </w:tcPr>
          <w:p w14:paraId="3F8B0AB6" w14:textId="2A03E267" w:rsidR="00100C37" w:rsidRDefault="00100C37" w:rsidP="00100C37">
            <w:pPr>
              <w:jc w:val="both"/>
              <w:rPr>
                <w:sz w:val="24"/>
                <w:szCs w:val="24"/>
              </w:rPr>
            </w:pPr>
            <w:r w:rsidRPr="00426D28">
              <w:rPr>
                <w:b/>
                <w:bCs/>
              </w:rPr>
              <w:t>Acquisition Date</w:t>
            </w:r>
          </w:p>
        </w:tc>
        <w:tc>
          <w:tcPr>
            <w:tcW w:w="1134" w:type="dxa"/>
          </w:tcPr>
          <w:p w14:paraId="5426CA3C" w14:textId="721153BE" w:rsidR="00100C37" w:rsidRDefault="00100C37" w:rsidP="00100C37">
            <w:pPr>
              <w:jc w:val="both"/>
              <w:rPr>
                <w:sz w:val="24"/>
                <w:szCs w:val="24"/>
              </w:rPr>
            </w:pPr>
            <w:r w:rsidRPr="00426D28">
              <w:rPr>
                <w:b/>
                <w:bCs/>
              </w:rPr>
              <w:t>Supplier</w:t>
            </w:r>
          </w:p>
        </w:tc>
        <w:tc>
          <w:tcPr>
            <w:tcW w:w="1134" w:type="dxa"/>
          </w:tcPr>
          <w:p w14:paraId="6F294758" w14:textId="1DC6A76C" w:rsidR="00100C37" w:rsidRDefault="00100C37" w:rsidP="00100C37">
            <w:pPr>
              <w:jc w:val="both"/>
              <w:rPr>
                <w:sz w:val="24"/>
                <w:szCs w:val="24"/>
              </w:rPr>
            </w:pPr>
            <w:r w:rsidRPr="00426D28">
              <w:rPr>
                <w:b/>
                <w:bCs/>
              </w:rPr>
              <w:t>Contract End Date</w:t>
            </w:r>
          </w:p>
        </w:tc>
        <w:tc>
          <w:tcPr>
            <w:tcW w:w="986" w:type="dxa"/>
          </w:tcPr>
          <w:p w14:paraId="1DA2FC39" w14:textId="69119666" w:rsidR="00100C37" w:rsidRDefault="00100C37" w:rsidP="00100C37">
            <w:pPr>
              <w:jc w:val="both"/>
              <w:rPr>
                <w:sz w:val="24"/>
                <w:szCs w:val="24"/>
              </w:rPr>
            </w:pPr>
            <w:r w:rsidRPr="00426D28">
              <w:rPr>
                <w:b/>
                <w:bCs/>
              </w:rPr>
              <w:t>Notes</w:t>
            </w:r>
          </w:p>
        </w:tc>
      </w:tr>
      <w:tr w:rsidR="00100C37" w14:paraId="287E4442" w14:textId="77777777" w:rsidTr="003741DA">
        <w:tc>
          <w:tcPr>
            <w:tcW w:w="988" w:type="dxa"/>
          </w:tcPr>
          <w:p w14:paraId="37EBE8C3" w14:textId="0321390C" w:rsidR="00100C37" w:rsidRDefault="00100C37" w:rsidP="003741DA">
            <w:pPr>
              <w:rPr>
                <w:sz w:val="24"/>
                <w:szCs w:val="24"/>
              </w:rPr>
            </w:pPr>
            <w:r w:rsidRPr="00C066B6">
              <w:t>USB001</w:t>
            </w:r>
          </w:p>
        </w:tc>
        <w:tc>
          <w:tcPr>
            <w:tcW w:w="1417" w:type="dxa"/>
          </w:tcPr>
          <w:p w14:paraId="704D5030" w14:textId="2C963D01" w:rsidR="00100C37" w:rsidRDefault="00100C37" w:rsidP="003741DA">
            <w:pPr>
              <w:rPr>
                <w:sz w:val="24"/>
                <w:szCs w:val="24"/>
              </w:rPr>
            </w:pPr>
            <w:r w:rsidRPr="00C066B6">
              <w:t>USB Token</w:t>
            </w:r>
          </w:p>
        </w:tc>
        <w:tc>
          <w:tcPr>
            <w:tcW w:w="1418" w:type="dxa"/>
          </w:tcPr>
          <w:p w14:paraId="610A28FD" w14:textId="1AAF1953" w:rsidR="00100C37" w:rsidRDefault="00100C37" w:rsidP="003741DA">
            <w:pPr>
              <w:rPr>
                <w:sz w:val="24"/>
                <w:szCs w:val="24"/>
              </w:rPr>
            </w:pPr>
            <w:r w:rsidRPr="00C066B6">
              <w:t>Bank</w:t>
            </w:r>
          </w:p>
        </w:tc>
        <w:tc>
          <w:tcPr>
            <w:tcW w:w="1134" w:type="dxa"/>
          </w:tcPr>
          <w:p w14:paraId="5DD34CF2" w14:textId="4A6B33FB" w:rsidR="00100C37" w:rsidRDefault="00100C37" w:rsidP="003741DA">
            <w:pPr>
              <w:rPr>
                <w:sz w:val="24"/>
                <w:szCs w:val="24"/>
              </w:rPr>
            </w:pPr>
            <w:r w:rsidRPr="00C066B6">
              <w:t>$0 (free)</w:t>
            </w:r>
          </w:p>
        </w:tc>
        <w:tc>
          <w:tcPr>
            <w:tcW w:w="1417" w:type="dxa"/>
          </w:tcPr>
          <w:p w14:paraId="0E3BD45B" w14:textId="0DB6122F" w:rsidR="00100C37" w:rsidRDefault="00100C37" w:rsidP="003741DA">
            <w:pPr>
              <w:rPr>
                <w:sz w:val="24"/>
                <w:szCs w:val="24"/>
              </w:rPr>
            </w:pPr>
            <w:r w:rsidRPr="00C066B6">
              <w:t>2023-02-10</w:t>
            </w:r>
          </w:p>
        </w:tc>
        <w:tc>
          <w:tcPr>
            <w:tcW w:w="1134" w:type="dxa"/>
          </w:tcPr>
          <w:p w14:paraId="284E64E0" w14:textId="1CE43B11" w:rsidR="00100C37" w:rsidRDefault="00100C37" w:rsidP="003741DA">
            <w:pPr>
              <w:rPr>
                <w:sz w:val="24"/>
                <w:szCs w:val="24"/>
              </w:rPr>
            </w:pPr>
            <w:r w:rsidRPr="00C066B6">
              <w:t>Supplier D</w:t>
            </w:r>
          </w:p>
        </w:tc>
        <w:tc>
          <w:tcPr>
            <w:tcW w:w="1134" w:type="dxa"/>
          </w:tcPr>
          <w:p w14:paraId="6280B998" w14:textId="7ABAB22B" w:rsidR="00100C37" w:rsidRDefault="00100C37" w:rsidP="003741DA">
            <w:pPr>
              <w:rPr>
                <w:sz w:val="24"/>
                <w:szCs w:val="24"/>
              </w:rPr>
            </w:pPr>
            <w:r w:rsidRPr="00C066B6">
              <w:t>N/A</w:t>
            </w:r>
          </w:p>
        </w:tc>
        <w:tc>
          <w:tcPr>
            <w:tcW w:w="986" w:type="dxa"/>
          </w:tcPr>
          <w:p w14:paraId="7F5CDC59" w14:textId="67522842" w:rsidR="00100C37" w:rsidRDefault="00100C37" w:rsidP="003741DA">
            <w:pPr>
              <w:rPr>
                <w:sz w:val="24"/>
                <w:szCs w:val="24"/>
              </w:rPr>
            </w:pPr>
            <w:r w:rsidRPr="00C066B6">
              <w:t>Provided free of charge</w:t>
            </w:r>
          </w:p>
        </w:tc>
      </w:tr>
      <w:tr w:rsidR="00100C37" w14:paraId="1862541A" w14:textId="77777777" w:rsidTr="003741DA">
        <w:tc>
          <w:tcPr>
            <w:tcW w:w="988" w:type="dxa"/>
          </w:tcPr>
          <w:p w14:paraId="0F0D709F" w14:textId="55DF69EE" w:rsidR="00100C37" w:rsidRDefault="00100C37" w:rsidP="003741DA">
            <w:pPr>
              <w:rPr>
                <w:sz w:val="24"/>
                <w:szCs w:val="24"/>
              </w:rPr>
            </w:pPr>
            <w:r w:rsidRPr="00C066B6">
              <w:t>USB002</w:t>
            </w:r>
          </w:p>
        </w:tc>
        <w:tc>
          <w:tcPr>
            <w:tcW w:w="1417" w:type="dxa"/>
          </w:tcPr>
          <w:p w14:paraId="11A632AC" w14:textId="76EFB642" w:rsidR="00100C37" w:rsidRDefault="00100C37" w:rsidP="003741DA">
            <w:pPr>
              <w:rPr>
                <w:sz w:val="24"/>
                <w:szCs w:val="24"/>
              </w:rPr>
            </w:pPr>
            <w:r w:rsidRPr="00C066B6">
              <w:t>Internet Subscription</w:t>
            </w:r>
          </w:p>
        </w:tc>
        <w:tc>
          <w:tcPr>
            <w:tcW w:w="1418" w:type="dxa"/>
          </w:tcPr>
          <w:p w14:paraId="2FF298B9" w14:textId="65300A45" w:rsidR="00100C37" w:rsidRDefault="00100C37" w:rsidP="003741DA">
            <w:pPr>
              <w:rPr>
                <w:sz w:val="24"/>
                <w:szCs w:val="24"/>
              </w:rPr>
            </w:pPr>
            <w:r w:rsidRPr="00C066B6">
              <w:t>Bank</w:t>
            </w:r>
          </w:p>
        </w:tc>
        <w:tc>
          <w:tcPr>
            <w:tcW w:w="1134" w:type="dxa"/>
          </w:tcPr>
          <w:p w14:paraId="08D9B971" w14:textId="7F06E27D" w:rsidR="00100C37" w:rsidRDefault="00100C37" w:rsidP="003741DA">
            <w:pPr>
              <w:rPr>
                <w:sz w:val="24"/>
                <w:szCs w:val="24"/>
              </w:rPr>
            </w:pPr>
            <w:r w:rsidRPr="00C066B6">
              <w:t>$28.39 per user/month</w:t>
            </w:r>
          </w:p>
        </w:tc>
        <w:tc>
          <w:tcPr>
            <w:tcW w:w="1417" w:type="dxa"/>
          </w:tcPr>
          <w:p w14:paraId="23ABDB6D" w14:textId="462BC50E" w:rsidR="00100C37" w:rsidRDefault="00100C37" w:rsidP="003741DA">
            <w:pPr>
              <w:rPr>
                <w:sz w:val="24"/>
                <w:szCs w:val="24"/>
              </w:rPr>
            </w:pPr>
            <w:r w:rsidRPr="00C066B6">
              <w:t>Various (7000 users)</w:t>
            </w:r>
          </w:p>
        </w:tc>
        <w:tc>
          <w:tcPr>
            <w:tcW w:w="1134" w:type="dxa"/>
          </w:tcPr>
          <w:p w14:paraId="130DA0FE" w14:textId="18337671" w:rsidR="00100C37" w:rsidRDefault="00100C37" w:rsidP="003741DA">
            <w:pPr>
              <w:rPr>
                <w:sz w:val="24"/>
                <w:szCs w:val="24"/>
              </w:rPr>
            </w:pPr>
            <w:r w:rsidRPr="00C066B6">
              <w:t>ISP E</w:t>
            </w:r>
          </w:p>
        </w:tc>
        <w:tc>
          <w:tcPr>
            <w:tcW w:w="1134" w:type="dxa"/>
          </w:tcPr>
          <w:p w14:paraId="0CE5F330" w14:textId="0953840D" w:rsidR="00100C37" w:rsidRDefault="00100C37" w:rsidP="003741DA">
            <w:pPr>
              <w:rPr>
                <w:sz w:val="24"/>
                <w:szCs w:val="24"/>
              </w:rPr>
            </w:pPr>
            <w:r w:rsidRPr="00C066B6">
              <w:t>End of notice period</w:t>
            </w:r>
          </w:p>
        </w:tc>
        <w:tc>
          <w:tcPr>
            <w:tcW w:w="986" w:type="dxa"/>
          </w:tcPr>
          <w:p w14:paraId="6CAF33C7" w14:textId="63FDA6A2" w:rsidR="00100C37" w:rsidRDefault="00100C37" w:rsidP="003741DA">
            <w:pPr>
              <w:rPr>
                <w:sz w:val="24"/>
                <w:szCs w:val="24"/>
              </w:rPr>
            </w:pPr>
            <w:r w:rsidRPr="00C066B6">
              <w:t>Monthly subscription per user</w:t>
            </w:r>
          </w:p>
        </w:tc>
      </w:tr>
    </w:tbl>
    <w:p w14:paraId="1275E021" w14:textId="77777777" w:rsidR="00100C37" w:rsidRPr="00327441" w:rsidRDefault="00100C37" w:rsidP="00327441">
      <w:pPr>
        <w:spacing w:after="0"/>
        <w:jc w:val="both"/>
        <w:rPr>
          <w:sz w:val="24"/>
          <w:szCs w:val="24"/>
        </w:rPr>
      </w:pPr>
    </w:p>
    <w:p w14:paraId="0047867E" w14:textId="77777777" w:rsidR="00BB1DFD" w:rsidRPr="00BB1DFD" w:rsidRDefault="00BB1DFD" w:rsidP="00C92475">
      <w:pPr>
        <w:spacing w:after="0"/>
        <w:jc w:val="both"/>
        <w:rPr>
          <w:sz w:val="24"/>
          <w:szCs w:val="24"/>
        </w:rPr>
      </w:pPr>
    </w:p>
    <w:p w14:paraId="547BCF33" w14:textId="260BDAC2"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.2 </w:t>
      </w:r>
      <w:r w:rsidR="00960D82">
        <w:rPr>
          <w:b/>
          <w:bCs/>
          <w:sz w:val="28"/>
          <w:szCs w:val="28"/>
        </w:rPr>
        <w:t>Costs assessment</w:t>
      </w:r>
    </w:p>
    <w:p w14:paraId="49F6D90B" w14:textId="77777777" w:rsidR="00C92475" w:rsidRDefault="00C92475" w:rsidP="00C92475">
      <w:pPr>
        <w:spacing w:after="0"/>
        <w:jc w:val="both"/>
        <w:rPr>
          <w:sz w:val="24"/>
          <w:szCs w:val="24"/>
        </w:rPr>
      </w:pPr>
    </w:p>
    <w:p w14:paraId="5C723684" w14:textId="77777777" w:rsidR="00446F18" w:rsidRDefault="00011D3F" w:rsidP="00E37989">
      <w:pPr>
        <w:spacing w:after="0"/>
        <w:jc w:val="both"/>
        <w:rPr>
          <w:sz w:val="24"/>
          <w:szCs w:val="24"/>
        </w:rPr>
      </w:pPr>
      <w:r>
        <w:rPr>
          <w:sz w:val="24"/>
          <w:szCs w:val="24"/>
        </w:rPr>
        <w:t xml:space="preserve">Through the asset register it is possible to </w:t>
      </w:r>
      <w:r w:rsidR="009354E1">
        <w:rPr>
          <w:sz w:val="24"/>
          <w:szCs w:val="24"/>
        </w:rPr>
        <w:t xml:space="preserve">observe the current costs of the assets that shape Home Connectivity and USB Connectivity services. </w:t>
      </w:r>
      <w:r w:rsidR="00AC7AC6">
        <w:rPr>
          <w:sz w:val="24"/>
          <w:szCs w:val="24"/>
        </w:rPr>
        <w:t xml:space="preserve">Before taking any decision, it is fundamental to assess </w:t>
      </w:r>
      <w:r w:rsidR="00E37989" w:rsidRPr="00E37989">
        <w:rPr>
          <w:sz w:val="24"/>
          <w:szCs w:val="24"/>
        </w:rPr>
        <w:t xml:space="preserve">the current costs associated with </w:t>
      </w:r>
      <w:r w:rsidR="00F22F78">
        <w:rPr>
          <w:sz w:val="24"/>
          <w:szCs w:val="24"/>
        </w:rPr>
        <w:t xml:space="preserve">keeping </w:t>
      </w:r>
      <w:r w:rsidR="00F22F78" w:rsidRPr="00E37989">
        <w:rPr>
          <w:sz w:val="24"/>
          <w:szCs w:val="24"/>
        </w:rPr>
        <w:t>these</w:t>
      </w:r>
      <w:r w:rsidR="00E37989" w:rsidRPr="00E37989">
        <w:rPr>
          <w:sz w:val="24"/>
          <w:szCs w:val="24"/>
        </w:rPr>
        <w:t xml:space="preserve"> services and potential savings from decommissioning.</w:t>
      </w:r>
      <w:r w:rsidR="007B2C04">
        <w:rPr>
          <w:sz w:val="24"/>
          <w:szCs w:val="24"/>
        </w:rPr>
        <w:t xml:space="preserve"> </w:t>
      </w:r>
      <w:r w:rsidR="00902956">
        <w:rPr>
          <w:sz w:val="24"/>
          <w:szCs w:val="24"/>
        </w:rPr>
        <w:t xml:space="preserve">Since </w:t>
      </w:r>
      <w:r w:rsidR="00BF2B9C">
        <w:rPr>
          <w:sz w:val="24"/>
          <w:szCs w:val="24"/>
        </w:rPr>
        <w:t xml:space="preserve">the transition to the new </w:t>
      </w:r>
      <w:r w:rsidR="00BF2B9C" w:rsidRPr="00BF2B9C">
        <w:rPr>
          <w:sz w:val="24"/>
          <w:szCs w:val="24"/>
        </w:rPr>
        <w:t>IT Service Token Connectivity</w:t>
      </w:r>
      <w:r w:rsidR="00BF2B9C">
        <w:rPr>
          <w:sz w:val="24"/>
          <w:szCs w:val="24"/>
        </w:rPr>
        <w:t xml:space="preserve"> will lead the bank to spend zero</w:t>
      </w:r>
      <w:r w:rsidR="00C16EC5">
        <w:rPr>
          <w:sz w:val="24"/>
          <w:szCs w:val="24"/>
        </w:rPr>
        <w:t xml:space="preserve"> leaving so the internet subscription to the users</w:t>
      </w:r>
      <w:r w:rsidR="00B07113">
        <w:rPr>
          <w:sz w:val="24"/>
          <w:szCs w:val="24"/>
        </w:rPr>
        <w:t xml:space="preserve">, it is convenient to </w:t>
      </w:r>
      <w:r w:rsidR="00A423C8">
        <w:rPr>
          <w:sz w:val="24"/>
          <w:szCs w:val="24"/>
        </w:rPr>
        <w:t>decommission all the IT assets that characterised the old services</w:t>
      </w:r>
      <w:r w:rsidR="0012112D">
        <w:rPr>
          <w:sz w:val="24"/>
          <w:szCs w:val="24"/>
        </w:rPr>
        <w:t xml:space="preserve">. </w:t>
      </w:r>
    </w:p>
    <w:p w14:paraId="7872981E" w14:textId="616735AA" w:rsidR="00BB1DFD" w:rsidRDefault="00DE4440" w:rsidP="00C92475">
      <w:pPr>
        <w:spacing w:after="0"/>
        <w:jc w:val="both"/>
        <w:rPr>
          <w:sz w:val="24"/>
          <w:szCs w:val="24"/>
        </w:rPr>
      </w:pPr>
      <w:r>
        <w:rPr>
          <w:sz w:val="24"/>
          <w:szCs w:val="24"/>
        </w:rPr>
        <w:t>A careful focus needs to be done on the ongoing agreements with third-party suppliers who distribute and maintain the IT assets. It is important to consider any outstanding</w:t>
      </w:r>
      <w:r w:rsidR="00E37989" w:rsidRPr="00E37989">
        <w:rPr>
          <w:sz w:val="24"/>
          <w:szCs w:val="24"/>
        </w:rPr>
        <w:t xml:space="preserve"> payments with suppliers</w:t>
      </w:r>
      <w:r w:rsidR="004B7943">
        <w:rPr>
          <w:sz w:val="24"/>
          <w:szCs w:val="24"/>
        </w:rPr>
        <w:t xml:space="preserve">, understanding the bank obligations and the actual expiration of the contracts. </w:t>
      </w:r>
      <w:r w:rsidR="007C530B">
        <w:rPr>
          <w:sz w:val="24"/>
          <w:szCs w:val="24"/>
        </w:rPr>
        <w:t xml:space="preserve">After doing that analysis the bank </w:t>
      </w:r>
      <w:r w:rsidR="00F03331">
        <w:rPr>
          <w:sz w:val="24"/>
          <w:szCs w:val="24"/>
        </w:rPr>
        <w:t xml:space="preserve">will have more information to effectively plan the dismission of IT assets, considering </w:t>
      </w:r>
      <w:r w:rsidR="003758A5">
        <w:rPr>
          <w:sz w:val="24"/>
          <w:szCs w:val="24"/>
        </w:rPr>
        <w:t xml:space="preserve">both </w:t>
      </w:r>
      <w:r w:rsidR="00F03331">
        <w:rPr>
          <w:sz w:val="24"/>
          <w:szCs w:val="24"/>
        </w:rPr>
        <w:t>hardware and contracts</w:t>
      </w:r>
      <w:r w:rsidR="006A34C9">
        <w:rPr>
          <w:sz w:val="24"/>
          <w:szCs w:val="24"/>
        </w:rPr>
        <w:t xml:space="preserve">, </w:t>
      </w:r>
      <w:r w:rsidR="003758A5">
        <w:rPr>
          <w:sz w:val="24"/>
          <w:szCs w:val="24"/>
        </w:rPr>
        <w:t>at the minimum possible cost</w:t>
      </w:r>
      <w:r w:rsidR="00F03331">
        <w:rPr>
          <w:sz w:val="24"/>
          <w:szCs w:val="24"/>
        </w:rPr>
        <w:t xml:space="preserve">. </w:t>
      </w:r>
    </w:p>
    <w:p w14:paraId="6CEF61AB" w14:textId="5D891BCE" w:rsidR="00723292" w:rsidRDefault="00DA1D7E" w:rsidP="00C92475">
      <w:pPr>
        <w:spacing w:after="0"/>
        <w:jc w:val="both"/>
        <w:rPr>
          <w:sz w:val="24"/>
          <w:szCs w:val="24"/>
        </w:rPr>
      </w:pPr>
      <w:r>
        <w:rPr>
          <w:sz w:val="24"/>
          <w:szCs w:val="24"/>
        </w:rPr>
        <w:t xml:space="preserve">This </w:t>
      </w:r>
      <w:r w:rsidR="00616AB1">
        <w:rPr>
          <w:sz w:val="24"/>
          <w:szCs w:val="24"/>
        </w:rPr>
        <w:t>analysis</w:t>
      </w:r>
      <w:r w:rsidR="00723292">
        <w:rPr>
          <w:sz w:val="24"/>
          <w:szCs w:val="24"/>
        </w:rPr>
        <w:t xml:space="preserve"> </w:t>
      </w:r>
      <w:r w:rsidR="00DE3828">
        <w:rPr>
          <w:sz w:val="24"/>
          <w:szCs w:val="24"/>
        </w:rPr>
        <w:t>should</w:t>
      </w:r>
      <w:r w:rsidR="00723292">
        <w:rPr>
          <w:sz w:val="24"/>
          <w:szCs w:val="24"/>
        </w:rPr>
        <w:t xml:space="preserve"> be conducted </w:t>
      </w:r>
      <w:r>
        <w:rPr>
          <w:sz w:val="24"/>
          <w:szCs w:val="24"/>
        </w:rPr>
        <w:t>in collaboration with</w:t>
      </w:r>
      <w:r w:rsidR="00723292">
        <w:rPr>
          <w:sz w:val="24"/>
          <w:szCs w:val="24"/>
        </w:rPr>
        <w:t xml:space="preserve"> the Finance Department of the bank </w:t>
      </w:r>
      <w:r w:rsidR="00296879">
        <w:rPr>
          <w:sz w:val="24"/>
          <w:szCs w:val="24"/>
        </w:rPr>
        <w:t xml:space="preserve">who can contribute positively </w:t>
      </w:r>
      <w:r w:rsidR="00616AB1">
        <w:rPr>
          <w:sz w:val="24"/>
          <w:szCs w:val="24"/>
        </w:rPr>
        <w:t>to</w:t>
      </w:r>
      <w:r w:rsidR="00296879">
        <w:rPr>
          <w:sz w:val="24"/>
          <w:szCs w:val="24"/>
        </w:rPr>
        <w:t xml:space="preserve"> identify the most convenient plan</w:t>
      </w:r>
      <w:r w:rsidR="00CE710F">
        <w:rPr>
          <w:sz w:val="24"/>
          <w:szCs w:val="24"/>
        </w:rPr>
        <w:t>.</w:t>
      </w:r>
    </w:p>
    <w:p w14:paraId="51AE9626" w14:textId="77777777" w:rsidR="00723292" w:rsidRDefault="00723292" w:rsidP="00C92475">
      <w:pPr>
        <w:spacing w:after="0"/>
        <w:jc w:val="both"/>
        <w:rPr>
          <w:sz w:val="24"/>
          <w:szCs w:val="24"/>
        </w:rPr>
      </w:pPr>
    </w:p>
    <w:p w14:paraId="1907B41A" w14:textId="77777777" w:rsidR="00E77402" w:rsidRPr="00BB1DFD" w:rsidRDefault="00E77402" w:rsidP="00C92475">
      <w:pPr>
        <w:spacing w:after="0"/>
        <w:jc w:val="both"/>
        <w:rPr>
          <w:sz w:val="24"/>
          <w:szCs w:val="24"/>
        </w:rPr>
      </w:pPr>
    </w:p>
    <w:p w14:paraId="2CC8AC1F" w14:textId="73A528BF"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.3 </w:t>
      </w:r>
      <w:r w:rsidR="002905DC" w:rsidRPr="00A005FA">
        <w:rPr>
          <w:b/>
          <w:bCs/>
          <w:sz w:val="28"/>
          <w:szCs w:val="28"/>
        </w:rPr>
        <w:t>Communication with stakeholders</w:t>
      </w:r>
    </w:p>
    <w:p w14:paraId="50728ED7" w14:textId="77777777" w:rsidR="00C92475" w:rsidRDefault="00C92475" w:rsidP="00C92475">
      <w:pPr>
        <w:spacing w:after="0"/>
        <w:jc w:val="both"/>
        <w:rPr>
          <w:sz w:val="24"/>
          <w:szCs w:val="24"/>
        </w:rPr>
      </w:pPr>
    </w:p>
    <w:p w14:paraId="0159904A" w14:textId="77777777" w:rsidR="00FE5A48" w:rsidRDefault="00B7377D" w:rsidP="00C92475">
      <w:pPr>
        <w:spacing w:after="0"/>
        <w:jc w:val="both"/>
        <w:rPr>
          <w:sz w:val="24"/>
          <w:szCs w:val="24"/>
        </w:rPr>
      </w:pPr>
      <w:r w:rsidRPr="00B7377D">
        <w:rPr>
          <w:sz w:val="24"/>
          <w:szCs w:val="24"/>
        </w:rPr>
        <w:t xml:space="preserve">To ensure a smooth transition during the decommissioning of the Home Connectivity and USB Connectivity services, effective communication with both internal stakeholders and third-party suppliers is crucial. </w:t>
      </w:r>
    </w:p>
    <w:p w14:paraId="18D3134E" w14:textId="77777777" w:rsidR="00FE5A48" w:rsidRDefault="00B7377D" w:rsidP="00C92475">
      <w:pPr>
        <w:spacing w:after="0"/>
        <w:jc w:val="both"/>
        <w:rPr>
          <w:sz w:val="24"/>
          <w:szCs w:val="24"/>
        </w:rPr>
      </w:pPr>
      <w:r w:rsidRPr="00B7377D">
        <w:rPr>
          <w:sz w:val="24"/>
          <w:szCs w:val="24"/>
        </w:rPr>
        <w:t xml:space="preserve">For internal stakeholders, particularly the employees using these services, it's essential to clearly inform them about the decommissioning plan, timelines, and available alternatives such as Token Connectivity. Transparency in communication builds trust and reduces resistance, while engaging employees in the transition process fosters their participation and support. </w:t>
      </w:r>
    </w:p>
    <w:p w14:paraId="017BC1E9" w14:textId="640116C3" w:rsidR="00BB1DFD" w:rsidRDefault="00B7377D" w:rsidP="00C92475">
      <w:pPr>
        <w:spacing w:after="0"/>
        <w:jc w:val="both"/>
        <w:rPr>
          <w:sz w:val="24"/>
          <w:szCs w:val="24"/>
        </w:rPr>
      </w:pPr>
      <w:r w:rsidRPr="00B7377D">
        <w:rPr>
          <w:sz w:val="24"/>
          <w:szCs w:val="24"/>
        </w:rPr>
        <w:t xml:space="preserve">For third-party suppliers, notifying them about the service termination as per contractual agreements and documenting all communications is vital. Adhering to notice periods and maintaining clear documentation ensures compliance with contractual obligations and avoids penalties. Collaborating closely with suppliers facilitates a coordinated transition and ensures that alternative services are in place before fully decommissioning the current services. </w:t>
      </w:r>
      <w:r w:rsidRPr="00B7377D">
        <w:rPr>
          <w:sz w:val="24"/>
          <w:szCs w:val="24"/>
        </w:rPr>
        <w:lastRenderedPageBreak/>
        <w:t>Professional and respectful communication helps maintain positive relationships with suppliers for future collaborations and supports effective change management in line with the ITIL4 framework's principles of focusing on value, starting where you are, collaborating, and promoting visibility.</w:t>
      </w:r>
    </w:p>
    <w:p w14:paraId="15061417" w14:textId="77777777" w:rsidR="00BB1DFD" w:rsidRDefault="00BB1DFD" w:rsidP="00C92475">
      <w:pPr>
        <w:spacing w:after="0"/>
        <w:jc w:val="both"/>
        <w:rPr>
          <w:sz w:val="24"/>
          <w:szCs w:val="24"/>
        </w:rPr>
      </w:pPr>
    </w:p>
    <w:p w14:paraId="094D6032" w14:textId="77777777" w:rsidR="00E77402" w:rsidRPr="00BB1DFD" w:rsidRDefault="00E77402" w:rsidP="00C92475">
      <w:pPr>
        <w:spacing w:after="0"/>
        <w:jc w:val="both"/>
        <w:rPr>
          <w:sz w:val="24"/>
          <w:szCs w:val="24"/>
        </w:rPr>
      </w:pPr>
    </w:p>
    <w:p w14:paraId="297FFDE0" w14:textId="3989839B" w:rsidR="002905DC" w:rsidRPr="00A005FA" w:rsidRDefault="00707606" w:rsidP="00C92475">
      <w:pPr>
        <w:spacing w:after="0"/>
        <w:jc w:val="both"/>
        <w:rPr>
          <w:b/>
          <w:bCs/>
          <w:sz w:val="28"/>
          <w:szCs w:val="28"/>
        </w:rPr>
      </w:pPr>
      <w:r>
        <w:rPr>
          <w:b/>
          <w:bCs/>
          <w:sz w:val="28"/>
          <w:szCs w:val="28"/>
        </w:rPr>
        <w:t>5</w:t>
      </w:r>
      <w:r w:rsidR="00D9313C" w:rsidRPr="00A005FA">
        <w:rPr>
          <w:b/>
          <w:bCs/>
          <w:sz w:val="28"/>
          <w:szCs w:val="28"/>
        </w:rPr>
        <w:t xml:space="preserve">.4 </w:t>
      </w:r>
      <w:r w:rsidR="002905DC" w:rsidRPr="00A005FA">
        <w:rPr>
          <w:b/>
          <w:bCs/>
          <w:sz w:val="28"/>
          <w:szCs w:val="28"/>
        </w:rPr>
        <w:t>Evaluate disposal and decommissioning options</w:t>
      </w:r>
    </w:p>
    <w:p w14:paraId="5D309A4E" w14:textId="77777777" w:rsidR="00C92475" w:rsidRDefault="00C92475" w:rsidP="00C92475">
      <w:pPr>
        <w:spacing w:after="0"/>
        <w:jc w:val="both"/>
        <w:rPr>
          <w:sz w:val="24"/>
          <w:szCs w:val="24"/>
        </w:rPr>
      </w:pPr>
    </w:p>
    <w:p w14:paraId="0AB600BF" w14:textId="11796F83" w:rsidR="00BB1DFD" w:rsidRDefault="00BB1DFD" w:rsidP="00C92475">
      <w:pPr>
        <w:spacing w:after="0"/>
        <w:jc w:val="both"/>
        <w:rPr>
          <w:sz w:val="24"/>
          <w:szCs w:val="24"/>
        </w:rPr>
      </w:pPr>
      <w:r>
        <w:rPr>
          <w:sz w:val="24"/>
          <w:szCs w:val="24"/>
        </w:rPr>
        <w:t>…</w:t>
      </w:r>
    </w:p>
    <w:p w14:paraId="652298D9" w14:textId="77777777" w:rsidR="00BB1DFD" w:rsidRDefault="00BB1DFD" w:rsidP="00C92475">
      <w:pPr>
        <w:spacing w:after="0"/>
        <w:jc w:val="both"/>
        <w:rPr>
          <w:sz w:val="24"/>
          <w:szCs w:val="24"/>
        </w:rPr>
      </w:pPr>
    </w:p>
    <w:p w14:paraId="7E2AF4B4" w14:textId="77777777" w:rsidR="00E77402" w:rsidRPr="00BB1DFD" w:rsidRDefault="00E77402" w:rsidP="00C92475">
      <w:pPr>
        <w:spacing w:after="0"/>
        <w:jc w:val="both"/>
        <w:rPr>
          <w:sz w:val="24"/>
          <w:szCs w:val="24"/>
        </w:rPr>
      </w:pPr>
    </w:p>
    <w:p w14:paraId="5556E594" w14:textId="420B4005"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.5 </w:t>
      </w:r>
      <w:r w:rsidR="002905DC" w:rsidRPr="00A005FA">
        <w:rPr>
          <w:b/>
          <w:bCs/>
          <w:sz w:val="28"/>
          <w:szCs w:val="28"/>
        </w:rPr>
        <w:t>Transition to new services</w:t>
      </w:r>
    </w:p>
    <w:p w14:paraId="0B6E4F59" w14:textId="77777777" w:rsidR="00C92475" w:rsidRDefault="00C92475" w:rsidP="00C92475">
      <w:pPr>
        <w:spacing w:after="0"/>
        <w:jc w:val="both"/>
        <w:rPr>
          <w:sz w:val="24"/>
          <w:szCs w:val="24"/>
        </w:rPr>
      </w:pPr>
    </w:p>
    <w:p w14:paraId="316CBFF0" w14:textId="1E17DAB9" w:rsidR="00011D3F" w:rsidRPr="00011D3F" w:rsidRDefault="00011D3F" w:rsidP="00011D3F">
      <w:pPr>
        <w:spacing w:after="0"/>
        <w:jc w:val="both"/>
        <w:rPr>
          <w:i/>
          <w:iCs/>
          <w:sz w:val="24"/>
          <w:szCs w:val="24"/>
        </w:rPr>
      </w:pPr>
      <w:r>
        <w:rPr>
          <w:sz w:val="24"/>
          <w:szCs w:val="24"/>
        </w:rPr>
        <w:t>From the assignment: “</w:t>
      </w:r>
      <w:r w:rsidRPr="00011D3F">
        <w:rPr>
          <w:i/>
          <w:iCs/>
          <w:sz w:val="24"/>
          <w:szCs w:val="24"/>
        </w:rPr>
        <w:t>service transition: It is difficult to secure the involvement of internal customers in the</w:t>
      </w:r>
      <w:r w:rsidRPr="00011D3F">
        <w:rPr>
          <w:i/>
          <w:iCs/>
          <w:sz w:val="24"/>
          <w:szCs w:val="24"/>
        </w:rPr>
        <w:t xml:space="preserve"> </w:t>
      </w:r>
      <w:r w:rsidRPr="00011D3F">
        <w:rPr>
          <w:i/>
          <w:iCs/>
          <w:sz w:val="24"/>
          <w:szCs w:val="24"/>
        </w:rPr>
        <w:t>implementation of new and changed IT services, although they are willing to</w:t>
      </w:r>
    </w:p>
    <w:p w14:paraId="39AA9FE6" w14:textId="6FE6D1DD" w:rsidR="00E77402" w:rsidRDefault="00011D3F" w:rsidP="00011D3F">
      <w:pPr>
        <w:spacing w:after="0"/>
        <w:jc w:val="both"/>
        <w:rPr>
          <w:sz w:val="24"/>
          <w:szCs w:val="24"/>
        </w:rPr>
      </w:pPr>
      <w:r w:rsidRPr="00011D3F">
        <w:rPr>
          <w:i/>
          <w:iCs/>
          <w:sz w:val="24"/>
          <w:szCs w:val="24"/>
        </w:rPr>
        <w:t>be involved in IT service design. Once internal customers have specified what</w:t>
      </w:r>
      <w:r w:rsidRPr="00011D3F">
        <w:rPr>
          <w:i/>
          <w:iCs/>
          <w:sz w:val="24"/>
          <w:szCs w:val="24"/>
        </w:rPr>
        <w:t xml:space="preserve"> </w:t>
      </w:r>
      <w:r w:rsidRPr="00011D3F">
        <w:rPr>
          <w:i/>
          <w:iCs/>
          <w:sz w:val="24"/>
          <w:szCs w:val="24"/>
        </w:rPr>
        <w:t>they want, they expect the IT department to deliver the IT service without their</w:t>
      </w:r>
      <w:r w:rsidRPr="00011D3F">
        <w:rPr>
          <w:i/>
          <w:iCs/>
          <w:sz w:val="24"/>
          <w:szCs w:val="24"/>
        </w:rPr>
        <w:t xml:space="preserve"> </w:t>
      </w:r>
      <w:r w:rsidRPr="00011D3F">
        <w:rPr>
          <w:i/>
          <w:iCs/>
          <w:sz w:val="24"/>
          <w:szCs w:val="24"/>
        </w:rPr>
        <w:t>further involvement</w:t>
      </w:r>
      <w:r w:rsidRPr="00011D3F">
        <w:rPr>
          <w:sz w:val="24"/>
          <w:szCs w:val="24"/>
        </w:rPr>
        <w:t>.</w:t>
      </w:r>
      <w:r>
        <w:rPr>
          <w:sz w:val="24"/>
          <w:szCs w:val="24"/>
        </w:rPr>
        <w:t>”</w:t>
      </w:r>
    </w:p>
    <w:p w14:paraId="5D847CB4" w14:textId="77777777" w:rsidR="00E77402" w:rsidRDefault="00E77402" w:rsidP="00C92475">
      <w:pPr>
        <w:spacing w:after="0"/>
        <w:jc w:val="both"/>
        <w:rPr>
          <w:sz w:val="24"/>
          <w:szCs w:val="24"/>
        </w:rPr>
      </w:pPr>
    </w:p>
    <w:p w14:paraId="485692C1" w14:textId="77777777" w:rsidR="00E77402" w:rsidRPr="00BB1DFD" w:rsidRDefault="00E77402" w:rsidP="00C92475">
      <w:pPr>
        <w:spacing w:after="0"/>
        <w:jc w:val="both"/>
        <w:rPr>
          <w:sz w:val="24"/>
          <w:szCs w:val="24"/>
        </w:rPr>
      </w:pPr>
    </w:p>
    <w:p w14:paraId="5030CAB2" w14:textId="5C971710"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.6 </w:t>
      </w:r>
      <w:r w:rsidR="002905DC" w:rsidRPr="00A005FA">
        <w:rPr>
          <w:b/>
          <w:bCs/>
          <w:sz w:val="28"/>
          <w:szCs w:val="28"/>
        </w:rPr>
        <w:t>Decommissioning of all IT assets related to old services</w:t>
      </w:r>
    </w:p>
    <w:p w14:paraId="2E8C845A" w14:textId="77777777" w:rsidR="00C92475" w:rsidRDefault="00C92475" w:rsidP="00C92475">
      <w:pPr>
        <w:spacing w:after="0"/>
        <w:jc w:val="both"/>
        <w:rPr>
          <w:sz w:val="24"/>
          <w:szCs w:val="24"/>
        </w:rPr>
      </w:pPr>
    </w:p>
    <w:p w14:paraId="73CE394D" w14:textId="0CF0E492" w:rsidR="00BB1DFD" w:rsidRDefault="00BB1DFD" w:rsidP="00C92475">
      <w:pPr>
        <w:spacing w:after="0"/>
        <w:jc w:val="both"/>
        <w:rPr>
          <w:sz w:val="24"/>
          <w:szCs w:val="24"/>
        </w:rPr>
      </w:pPr>
      <w:r>
        <w:rPr>
          <w:sz w:val="24"/>
          <w:szCs w:val="24"/>
        </w:rPr>
        <w:t>…</w:t>
      </w:r>
    </w:p>
    <w:p w14:paraId="49010F8C" w14:textId="77777777" w:rsidR="00BB1DFD" w:rsidRDefault="00BB1DFD" w:rsidP="00C92475">
      <w:pPr>
        <w:spacing w:after="0"/>
        <w:jc w:val="both"/>
        <w:rPr>
          <w:sz w:val="24"/>
          <w:szCs w:val="24"/>
        </w:rPr>
      </w:pPr>
    </w:p>
    <w:p w14:paraId="506FD489" w14:textId="77777777" w:rsidR="00E77402" w:rsidRPr="00BB1DFD" w:rsidRDefault="00E77402" w:rsidP="00C92475">
      <w:pPr>
        <w:spacing w:after="0"/>
        <w:jc w:val="both"/>
        <w:rPr>
          <w:sz w:val="24"/>
          <w:szCs w:val="24"/>
        </w:rPr>
      </w:pPr>
    </w:p>
    <w:p w14:paraId="7ADCED4C" w14:textId="1F23969D" w:rsidR="002905DC" w:rsidRPr="00A005FA" w:rsidRDefault="00707606" w:rsidP="00C92475">
      <w:pPr>
        <w:spacing w:after="0"/>
        <w:jc w:val="both"/>
        <w:rPr>
          <w:sz w:val="28"/>
          <w:szCs w:val="28"/>
        </w:rPr>
      </w:pPr>
      <w:r>
        <w:rPr>
          <w:b/>
          <w:bCs/>
          <w:sz w:val="28"/>
          <w:szCs w:val="28"/>
        </w:rPr>
        <w:t>5</w:t>
      </w:r>
      <w:r w:rsidR="00D9313C" w:rsidRPr="00A005FA">
        <w:rPr>
          <w:b/>
          <w:bCs/>
          <w:sz w:val="28"/>
          <w:szCs w:val="28"/>
        </w:rPr>
        <w:t xml:space="preserve">.7 </w:t>
      </w:r>
      <w:r w:rsidR="002905DC" w:rsidRPr="00A005FA">
        <w:rPr>
          <w:b/>
          <w:bCs/>
          <w:sz w:val="28"/>
          <w:szCs w:val="28"/>
        </w:rPr>
        <w:t>Monitor and verify IT asset disposal and decommissioning</w:t>
      </w:r>
    </w:p>
    <w:p w14:paraId="20279380" w14:textId="77777777" w:rsidR="00C92475" w:rsidRDefault="00C92475" w:rsidP="00C92475">
      <w:pPr>
        <w:spacing w:after="0"/>
        <w:jc w:val="both"/>
        <w:rPr>
          <w:sz w:val="24"/>
          <w:szCs w:val="24"/>
        </w:rPr>
      </w:pPr>
    </w:p>
    <w:p w14:paraId="3578A920" w14:textId="77327DE7" w:rsidR="00BB1DFD" w:rsidRDefault="00BB1DFD" w:rsidP="00C92475">
      <w:pPr>
        <w:spacing w:after="0"/>
        <w:jc w:val="both"/>
        <w:rPr>
          <w:sz w:val="24"/>
          <w:szCs w:val="24"/>
        </w:rPr>
      </w:pPr>
      <w:r>
        <w:rPr>
          <w:sz w:val="24"/>
          <w:szCs w:val="24"/>
        </w:rPr>
        <w:t>…</w:t>
      </w:r>
    </w:p>
    <w:p w14:paraId="37C93A6B" w14:textId="77777777" w:rsidR="00BB1DFD" w:rsidRDefault="00BB1DFD" w:rsidP="00C92475">
      <w:pPr>
        <w:spacing w:after="0"/>
        <w:jc w:val="both"/>
        <w:rPr>
          <w:sz w:val="24"/>
          <w:szCs w:val="24"/>
        </w:rPr>
      </w:pPr>
    </w:p>
    <w:p w14:paraId="3E8E7E67" w14:textId="77777777" w:rsidR="00E77402" w:rsidRPr="00BB1DFD" w:rsidRDefault="00E77402" w:rsidP="00C92475">
      <w:pPr>
        <w:spacing w:after="0"/>
        <w:jc w:val="both"/>
        <w:rPr>
          <w:sz w:val="24"/>
          <w:szCs w:val="24"/>
        </w:rPr>
      </w:pPr>
    </w:p>
    <w:p w14:paraId="4F897DE0" w14:textId="7AB109F7" w:rsidR="002905DC" w:rsidRDefault="00707606" w:rsidP="00B138E3">
      <w:pPr>
        <w:spacing w:after="0"/>
        <w:jc w:val="both"/>
        <w:rPr>
          <w:b/>
          <w:bCs/>
          <w:sz w:val="28"/>
          <w:szCs w:val="28"/>
        </w:rPr>
      </w:pPr>
      <w:r>
        <w:rPr>
          <w:b/>
          <w:bCs/>
          <w:sz w:val="28"/>
          <w:szCs w:val="28"/>
        </w:rPr>
        <w:t>5</w:t>
      </w:r>
      <w:r w:rsidR="00D9313C" w:rsidRPr="00A005FA">
        <w:rPr>
          <w:b/>
          <w:bCs/>
          <w:sz w:val="28"/>
          <w:szCs w:val="28"/>
        </w:rPr>
        <w:t xml:space="preserve">.8 </w:t>
      </w:r>
      <w:r w:rsidR="002905DC" w:rsidRPr="00A005FA">
        <w:rPr>
          <w:b/>
          <w:bCs/>
          <w:sz w:val="28"/>
          <w:szCs w:val="28"/>
        </w:rPr>
        <w:t>Update and optimize IT asset lifecycle management</w:t>
      </w:r>
    </w:p>
    <w:p w14:paraId="390C0E60" w14:textId="77777777" w:rsidR="00B138E3" w:rsidRPr="00B138E3" w:rsidRDefault="00B138E3" w:rsidP="00B138E3">
      <w:pPr>
        <w:spacing w:after="0"/>
        <w:jc w:val="both"/>
        <w:rPr>
          <w:sz w:val="24"/>
          <w:szCs w:val="24"/>
        </w:rPr>
      </w:pPr>
    </w:p>
    <w:p w14:paraId="1C3E673B" w14:textId="1E905111" w:rsidR="00A2411C" w:rsidRDefault="00BB1DFD" w:rsidP="00A2411C">
      <w:pPr>
        <w:spacing w:after="0"/>
        <w:jc w:val="both"/>
        <w:rPr>
          <w:sz w:val="24"/>
          <w:szCs w:val="24"/>
        </w:rPr>
      </w:pPr>
      <w:r>
        <w:rPr>
          <w:sz w:val="24"/>
          <w:szCs w:val="24"/>
        </w:rPr>
        <w:t>…</w:t>
      </w:r>
    </w:p>
    <w:p w14:paraId="40F26A7E" w14:textId="77777777" w:rsidR="00A2411C" w:rsidRDefault="00A2411C" w:rsidP="00A2411C">
      <w:pPr>
        <w:spacing w:after="0"/>
        <w:jc w:val="both"/>
        <w:rPr>
          <w:sz w:val="24"/>
          <w:szCs w:val="24"/>
        </w:rPr>
      </w:pPr>
    </w:p>
    <w:p w14:paraId="3495FE7B" w14:textId="77777777" w:rsidR="008B621F" w:rsidRDefault="008B621F" w:rsidP="00A2411C">
      <w:pPr>
        <w:spacing w:after="0"/>
        <w:jc w:val="both"/>
        <w:rPr>
          <w:sz w:val="24"/>
          <w:szCs w:val="24"/>
        </w:rPr>
      </w:pPr>
    </w:p>
    <w:p w14:paraId="211CAC01" w14:textId="77777777" w:rsidR="008B621F" w:rsidRDefault="008B621F" w:rsidP="00A2411C">
      <w:pPr>
        <w:spacing w:after="0"/>
        <w:jc w:val="both"/>
        <w:rPr>
          <w:sz w:val="24"/>
          <w:szCs w:val="24"/>
        </w:rPr>
      </w:pPr>
    </w:p>
    <w:p w14:paraId="557BAB8D" w14:textId="77777777" w:rsidR="008B621F" w:rsidRDefault="008B621F" w:rsidP="00A2411C">
      <w:pPr>
        <w:spacing w:after="0"/>
        <w:jc w:val="both"/>
        <w:rPr>
          <w:sz w:val="24"/>
          <w:szCs w:val="24"/>
        </w:rPr>
      </w:pPr>
    </w:p>
    <w:p w14:paraId="05A4FF96" w14:textId="77777777" w:rsidR="008B621F" w:rsidRDefault="008B621F" w:rsidP="00A2411C">
      <w:pPr>
        <w:spacing w:after="0"/>
        <w:jc w:val="both"/>
        <w:rPr>
          <w:sz w:val="24"/>
          <w:szCs w:val="24"/>
        </w:rPr>
      </w:pPr>
    </w:p>
    <w:p w14:paraId="36B430D7" w14:textId="77777777" w:rsidR="00A2411C" w:rsidRDefault="00A2411C" w:rsidP="00A2411C">
      <w:pPr>
        <w:spacing w:after="0"/>
        <w:jc w:val="both"/>
        <w:rPr>
          <w:sz w:val="24"/>
          <w:szCs w:val="24"/>
        </w:rPr>
      </w:pPr>
    </w:p>
    <w:p w14:paraId="79C91C49" w14:textId="77777777" w:rsidR="00A325E4" w:rsidRDefault="00A325E4" w:rsidP="00A2411C">
      <w:pPr>
        <w:spacing w:after="0"/>
        <w:jc w:val="both"/>
        <w:rPr>
          <w:sz w:val="24"/>
          <w:szCs w:val="24"/>
        </w:rPr>
      </w:pPr>
      <w:r>
        <w:rPr>
          <w:sz w:val="24"/>
          <w:szCs w:val="24"/>
        </w:rPr>
        <w:t>Sources</w:t>
      </w:r>
      <w:r w:rsidR="00A2411C">
        <w:rPr>
          <w:sz w:val="24"/>
          <w:szCs w:val="24"/>
        </w:rPr>
        <w:t xml:space="preserve">: </w:t>
      </w:r>
    </w:p>
    <w:p w14:paraId="13477192" w14:textId="6791AE31" w:rsidR="00A2411C" w:rsidRDefault="00A325E4" w:rsidP="00A325E4">
      <w:pPr>
        <w:pStyle w:val="Paragrafoelenco"/>
        <w:numPr>
          <w:ilvl w:val="0"/>
          <w:numId w:val="4"/>
        </w:numPr>
        <w:spacing w:after="0"/>
        <w:jc w:val="both"/>
        <w:rPr>
          <w:sz w:val="24"/>
          <w:szCs w:val="24"/>
        </w:rPr>
      </w:pPr>
      <w:hyperlink r:id="rId5" w:history="1">
        <w:r w:rsidRPr="00A97BF6">
          <w:rPr>
            <w:rStyle w:val="Collegamentoipertestuale"/>
            <w:sz w:val="24"/>
            <w:szCs w:val="24"/>
          </w:rPr>
          <w:t>https://www.linkedin.com/advice/0/how-do-you-plan-execute-asset-disposal</w:t>
        </w:r>
      </w:hyperlink>
      <w:r w:rsidR="00A2411C" w:rsidRPr="00A325E4">
        <w:rPr>
          <w:sz w:val="24"/>
          <w:szCs w:val="24"/>
        </w:rPr>
        <w:t xml:space="preserve"> </w:t>
      </w:r>
    </w:p>
    <w:p w14:paraId="70452555" w14:textId="002BBAF2" w:rsidR="00A325E4" w:rsidRPr="00A325E4" w:rsidRDefault="00A325E4" w:rsidP="00A325E4">
      <w:pPr>
        <w:pStyle w:val="Paragrafoelenco"/>
        <w:numPr>
          <w:ilvl w:val="0"/>
          <w:numId w:val="4"/>
        </w:numPr>
        <w:spacing w:after="0"/>
        <w:jc w:val="both"/>
        <w:rPr>
          <w:sz w:val="24"/>
          <w:szCs w:val="24"/>
        </w:rPr>
      </w:pPr>
      <w:r>
        <w:rPr>
          <w:sz w:val="24"/>
          <w:szCs w:val="24"/>
        </w:rPr>
        <w:t>IT Asset Management practice (chapter of the book)</w:t>
      </w:r>
      <w:r w:rsidR="002A0EB9">
        <w:rPr>
          <w:sz w:val="24"/>
          <w:szCs w:val="24"/>
        </w:rPr>
        <w:t xml:space="preserve"> – pages 124-127</w:t>
      </w:r>
    </w:p>
    <w:sectPr w:rsidR="00A325E4" w:rsidRPr="00A325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6D9"/>
    <w:multiLevelType w:val="hybridMultilevel"/>
    <w:tmpl w:val="8C5E57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F2AE8"/>
    <w:multiLevelType w:val="hybridMultilevel"/>
    <w:tmpl w:val="9AF06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46F7E"/>
    <w:multiLevelType w:val="hybridMultilevel"/>
    <w:tmpl w:val="8C5E57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AE1CC8"/>
    <w:multiLevelType w:val="hybridMultilevel"/>
    <w:tmpl w:val="A22E3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F61C02"/>
    <w:multiLevelType w:val="hybridMultilevel"/>
    <w:tmpl w:val="7F543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0718563">
    <w:abstractNumId w:val="3"/>
  </w:num>
  <w:num w:numId="2" w16cid:durableId="1988893740">
    <w:abstractNumId w:val="0"/>
  </w:num>
  <w:num w:numId="3" w16cid:durableId="355421872">
    <w:abstractNumId w:val="2"/>
  </w:num>
  <w:num w:numId="4" w16cid:durableId="896628342">
    <w:abstractNumId w:val="4"/>
  </w:num>
  <w:num w:numId="5" w16cid:durableId="212738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EA"/>
    <w:rsid w:val="0000358D"/>
    <w:rsid w:val="00011D3F"/>
    <w:rsid w:val="000A7235"/>
    <w:rsid w:val="000E0954"/>
    <w:rsid w:val="000E0A1A"/>
    <w:rsid w:val="00100C37"/>
    <w:rsid w:val="00106F93"/>
    <w:rsid w:val="0012112D"/>
    <w:rsid w:val="00123E87"/>
    <w:rsid w:val="00125EE2"/>
    <w:rsid w:val="0016443E"/>
    <w:rsid w:val="001662E6"/>
    <w:rsid w:val="0017227E"/>
    <w:rsid w:val="001866FC"/>
    <w:rsid w:val="001B40A3"/>
    <w:rsid w:val="001B65D1"/>
    <w:rsid w:val="001D0FA3"/>
    <w:rsid w:val="001D110C"/>
    <w:rsid w:val="001D594D"/>
    <w:rsid w:val="001D5BEA"/>
    <w:rsid w:val="001D7D9C"/>
    <w:rsid w:val="001F2749"/>
    <w:rsid w:val="001F444D"/>
    <w:rsid w:val="00201850"/>
    <w:rsid w:val="00205F4B"/>
    <w:rsid w:val="0020708D"/>
    <w:rsid w:val="00220D12"/>
    <w:rsid w:val="00241971"/>
    <w:rsid w:val="0025005F"/>
    <w:rsid w:val="00263617"/>
    <w:rsid w:val="00266248"/>
    <w:rsid w:val="0028189F"/>
    <w:rsid w:val="002905DC"/>
    <w:rsid w:val="002939EA"/>
    <w:rsid w:val="00296879"/>
    <w:rsid w:val="002A0EB9"/>
    <w:rsid w:val="002A4A92"/>
    <w:rsid w:val="002A71F7"/>
    <w:rsid w:val="002C735C"/>
    <w:rsid w:val="002F23F1"/>
    <w:rsid w:val="002F23FE"/>
    <w:rsid w:val="00327441"/>
    <w:rsid w:val="00330F9E"/>
    <w:rsid w:val="00333DE7"/>
    <w:rsid w:val="003359E4"/>
    <w:rsid w:val="00347F3F"/>
    <w:rsid w:val="00366191"/>
    <w:rsid w:val="003707DA"/>
    <w:rsid w:val="00373143"/>
    <w:rsid w:val="003741DA"/>
    <w:rsid w:val="003758A5"/>
    <w:rsid w:val="003B6153"/>
    <w:rsid w:val="003C03A6"/>
    <w:rsid w:val="003C2D45"/>
    <w:rsid w:val="003E3D25"/>
    <w:rsid w:val="00401E22"/>
    <w:rsid w:val="00426D28"/>
    <w:rsid w:val="00434E08"/>
    <w:rsid w:val="00446F18"/>
    <w:rsid w:val="00447B8E"/>
    <w:rsid w:val="0048730A"/>
    <w:rsid w:val="00491B20"/>
    <w:rsid w:val="004A0D77"/>
    <w:rsid w:val="004B0B28"/>
    <w:rsid w:val="004B71AB"/>
    <w:rsid w:val="004B7943"/>
    <w:rsid w:val="0056057E"/>
    <w:rsid w:val="00580C2F"/>
    <w:rsid w:val="005827B3"/>
    <w:rsid w:val="005A3029"/>
    <w:rsid w:val="005B52D9"/>
    <w:rsid w:val="005B55EA"/>
    <w:rsid w:val="00610103"/>
    <w:rsid w:val="00616AB1"/>
    <w:rsid w:val="00630366"/>
    <w:rsid w:val="00635E1A"/>
    <w:rsid w:val="006514AA"/>
    <w:rsid w:val="0066137F"/>
    <w:rsid w:val="006640CF"/>
    <w:rsid w:val="00693440"/>
    <w:rsid w:val="006A34C9"/>
    <w:rsid w:val="006D3367"/>
    <w:rsid w:val="006D5B9D"/>
    <w:rsid w:val="006E3BF0"/>
    <w:rsid w:val="00707606"/>
    <w:rsid w:val="00707822"/>
    <w:rsid w:val="00723292"/>
    <w:rsid w:val="00740DFD"/>
    <w:rsid w:val="007410E4"/>
    <w:rsid w:val="00747445"/>
    <w:rsid w:val="00751094"/>
    <w:rsid w:val="00761612"/>
    <w:rsid w:val="007921A5"/>
    <w:rsid w:val="007A1C9C"/>
    <w:rsid w:val="007B2C04"/>
    <w:rsid w:val="007C530B"/>
    <w:rsid w:val="007F3C92"/>
    <w:rsid w:val="007F4FFC"/>
    <w:rsid w:val="007F72B5"/>
    <w:rsid w:val="008102EA"/>
    <w:rsid w:val="00813B9D"/>
    <w:rsid w:val="008630EF"/>
    <w:rsid w:val="008977E8"/>
    <w:rsid w:val="008A40D0"/>
    <w:rsid w:val="008A7E5E"/>
    <w:rsid w:val="008B621F"/>
    <w:rsid w:val="008D0C1E"/>
    <w:rsid w:val="008F21CE"/>
    <w:rsid w:val="008F71D2"/>
    <w:rsid w:val="00902956"/>
    <w:rsid w:val="0091068D"/>
    <w:rsid w:val="009257EB"/>
    <w:rsid w:val="009354E1"/>
    <w:rsid w:val="00950A62"/>
    <w:rsid w:val="00960D82"/>
    <w:rsid w:val="00992483"/>
    <w:rsid w:val="009D7E7A"/>
    <w:rsid w:val="009E0012"/>
    <w:rsid w:val="00A005FA"/>
    <w:rsid w:val="00A02263"/>
    <w:rsid w:val="00A2411C"/>
    <w:rsid w:val="00A325E4"/>
    <w:rsid w:val="00A423C8"/>
    <w:rsid w:val="00A467ED"/>
    <w:rsid w:val="00A604A0"/>
    <w:rsid w:val="00A717F5"/>
    <w:rsid w:val="00A94D6C"/>
    <w:rsid w:val="00AA281B"/>
    <w:rsid w:val="00AA478C"/>
    <w:rsid w:val="00AC257A"/>
    <w:rsid w:val="00AC5022"/>
    <w:rsid w:val="00AC7AC6"/>
    <w:rsid w:val="00AD0E7D"/>
    <w:rsid w:val="00AE730E"/>
    <w:rsid w:val="00AF22C1"/>
    <w:rsid w:val="00B03A8D"/>
    <w:rsid w:val="00B07113"/>
    <w:rsid w:val="00B135AA"/>
    <w:rsid w:val="00B138E3"/>
    <w:rsid w:val="00B13D7E"/>
    <w:rsid w:val="00B14A3E"/>
    <w:rsid w:val="00B42DF7"/>
    <w:rsid w:val="00B46CA6"/>
    <w:rsid w:val="00B7377D"/>
    <w:rsid w:val="00B75D8C"/>
    <w:rsid w:val="00B77D7F"/>
    <w:rsid w:val="00B83F2F"/>
    <w:rsid w:val="00BA299F"/>
    <w:rsid w:val="00BB1DFD"/>
    <w:rsid w:val="00BC0CA0"/>
    <w:rsid w:val="00BC4EBF"/>
    <w:rsid w:val="00BC52D1"/>
    <w:rsid w:val="00BC7C7D"/>
    <w:rsid w:val="00BD2FC0"/>
    <w:rsid w:val="00BE74B0"/>
    <w:rsid w:val="00BF2B9C"/>
    <w:rsid w:val="00BF5B9C"/>
    <w:rsid w:val="00C14A37"/>
    <w:rsid w:val="00C16EC5"/>
    <w:rsid w:val="00C235BA"/>
    <w:rsid w:val="00C574CF"/>
    <w:rsid w:val="00C7652C"/>
    <w:rsid w:val="00C777D2"/>
    <w:rsid w:val="00C82AE7"/>
    <w:rsid w:val="00C92475"/>
    <w:rsid w:val="00CB28B8"/>
    <w:rsid w:val="00CB6E43"/>
    <w:rsid w:val="00CE16A7"/>
    <w:rsid w:val="00CE4AE2"/>
    <w:rsid w:val="00CE710F"/>
    <w:rsid w:val="00CF7E68"/>
    <w:rsid w:val="00D14D80"/>
    <w:rsid w:val="00D77D55"/>
    <w:rsid w:val="00D848CE"/>
    <w:rsid w:val="00D9313C"/>
    <w:rsid w:val="00DA1D7E"/>
    <w:rsid w:val="00DB2781"/>
    <w:rsid w:val="00DE3828"/>
    <w:rsid w:val="00DE4440"/>
    <w:rsid w:val="00E22F89"/>
    <w:rsid w:val="00E37989"/>
    <w:rsid w:val="00E52DE8"/>
    <w:rsid w:val="00E56951"/>
    <w:rsid w:val="00E61AFC"/>
    <w:rsid w:val="00E77402"/>
    <w:rsid w:val="00E95804"/>
    <w:rsid w:val="00EB37AB"/>
    <w:rsid w:val="00EB53CF"/>
    <w:rsid w:val="00EC64E0"/>
    <w:rsid w:val="00EE798A"/>
    <w:rsid w:val="00EF4F11"/>
    <w:rsid w:val="00F03331"/>
    <w:rsid w:val="00F135C5"/>
    <w:rsid w:val="00F22F78"/>
    <w:rsid w:val="00F23B61"/>
    <w:rsid w:val="00F6098A"/>
    <w:rsid w:val="00FE02A6"/>
    <w:rsid w:val="00FE5A48"/>
    <w:rsid w:val="00FE65F7"/>
    <w:rsid w:val="00FE7D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1A7D"/>
  <w15:chartTrackingRefBased/>
  <w15:docId w15:val="{8DCC6208-D2E3-460F-A6EF-66640249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9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9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939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939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939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939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939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939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939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39EA"/>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2939EA"/>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2939EA"/>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2939EA"/>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2939EA"/>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2939EA"/>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2939EA"/>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2939EA"/>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2939EA"/>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29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39EA"/>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2939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939EA"/>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2939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939EA"/>
    <w:rPr>
      <w:i/>
      <w:iCs/>
      <w:color w:val="404040" w:themeColor="text1" w:themeTint="BF"/>
      <w:lang w:val="en-GB"/>
    </w:rPr>
  </w:style>
  <w:style w:type="paragraph" w:styleId="Paragrafoelenco">
    <w:name w:val="List Paragraph"/>
    <w:basedOn w:val="Normale"/>
    <w:uiPriority w:val="34"/>
    <w:qFormat/>
    <w:rsid w:val="002939EA"/>
    <w:pPr>
      <w:ind w:left="720"/>
      <w:contextualSpacing/>
    </w:pPr>
  </w:style>
  <w:style w:type="character" w:styleId="Enfasiintensa">
    <w:name w:val="Intense Emphasis"/>
    <w:basedOn w:val="Carpredefinitoparagrafo"/>
    <w:uiPriority w:val="21"/>
    <w:qFormat/>
    <w:rsid w:val="002939EA"/>
    <w:rPr>
      <w:i/>
      <w:iCs/>
      <w:color w:val="0F4761" w:themeColor="accent1" w:themeShade="BF"/>
    </w:rPr>
  </w:style>
  <w:style w:type="paragraph" w:styleId="Citazioneintensa">
    <w:name w:val="Intense Quote"/>
    <w:basedOn w:val="Normale"/>
    <w:next w:val="Normale"/>
    <w:link w:val="CitazioneintensaCarattere"/>
    <w:uiPriority w:val="30"/>
    <w:qFormat/>
    <w:rsid w:val="0029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939EA"/>
    <w:rPr>
      <w:i/>
      <w:iCs/>
      <w:color w:val="0F4761" w:themeColor="accent1" w:themeShade="BF"/>
      <w:lang w:val="en-GB"/>
    </w:rPr>
  </w:style>
  <w:style w:type="character" w:styleId="Riferimentointenso">
    <w:name w:val="Intense Reference"/>
    <w:basedOn w:val="Carpredefinitoparagrafo"/>
    <w:uiPriority w:val="32"/>
    <w:qFormat/>
    <w:rsid w:val="002939EA"/>
    <w:rPr>
      <w:b/>
      <w:bCs/>
      <w:smallCaps/>
      <w:color w:val="0F4761" w:themeColor="accent1" w:themeShade="BF"/>
      <w:spacing w:val="5"/>
    </w:rPr>
  </w:style>
  <w:style w:type="character" w:styleId="Collegamentoipertestuale">
    <w:name w:val="Hyperlink"/>
    <w:basedOn w:val="Carpredefinitoparagrafo"/>
    <w:uiPriority w:val="99"/>
    <w:unhideWhenUsed/>
    <w:rsid w:val="00A2411C"/>
    <w:rPr>
      <w:color w:val="467886" w:themeColor="hyperlink"/>
      <w:u w:val="single"/>
    </w:rPr>
  </w:style>
  <w:style w:type="character" w:styleId="Menzionenonrisolta">
    <w:name w:val="Unresolved Mention"/>
    <w:basedOn w:val="Carpredefinitoparagrafo"/>
    <w:uiPriority w:val="99"/>
    <w:semiHidden/>
    <w:unhideWhenUsed/>
    <w:rsid w:val="00A2411C"/>
    <w:rPr>
      <w:color w:val="605E5C"/>
      <w:shd w:val="clear" w:color="auto" w:fill="E1DFDD"/>
    </w:rPr>
  </w:style>
  <w:style w:type="table" w:styleId="Grigliatabella">
    <w:name w:val="Table Grid"/>
    <w:basedOn w:val="Tabellanormale"/>
    <w:uiPriority w:val="39"/>
    <w:rsid w:val="009E0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9E0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71979">
      <w:bodyDiv w:val="1"/>
      <w:marLeft w:val="0"/>
      <w:marRight w:val="0"/>
      <w:marTop w:val="0"/>
      <w:marBottom w:val="0"/>
      <w:divBdr>
        <w:top w:val="none" w:sz="0" w:space="0" w:color="auto"/>
        <w:left w:val="none" w:sz="0" w:space="0" w:color="auto"/>
        <w:bottom w:val="none" w:sz="0" w:space="0" w:color="auto"/>
        <w:right w:val="none" w:sz="0" w:space="0" w:color="auto"/>
      </w:divBdr>
    </w:div>
    <w:div w:id="416173523">
      <w:bodyDiv w:val="1"/>
      <w:marLeft w:val="0"/>
      <w:marRight w:val="0"/>
      <w:marTop w:val="0"/>
      <w:marBottom w:val="0"/>
      <w:divBdr>
        <w:top w:val="none" w:sz="0" w:space="0" w:color="auto"/>
        <w:left w:val="none" w:sz="0" w:space="0" w:color="auto"/>
        <w:bottom w:val="none" w:sz="0" w:space="0" w:color="auto"/>
        <w:right w:val="none" w:sz="0" w:space="0" w:color="auto"/>
      </w:divBdr>
    </w:div>
    <w:div w:id="461193639">
      <w:bodyDiv w:val="1"/>
      <w:marLeft w:val="0"/>
      <w:marRight w:val="0"/>
      <w:marTop w:val="0"/>
      <w:marBottom w:val="0"/>
      <w:divBdr>
        <w:top w:val="none" w:sz="0" w:space="0" w:color="auto"/>
        <w:left w:val="none" w:sz="0" w:space="0" w:color="auto"/>
        <w:bottom w:val="none" w:sz="0" w:space="0" w:color="auto"/>
        <w:right w:val="none" w:sz="0" w:space="0" w:color="auto"/>
      </w:divBdr>
    </w:div>
    <w:div w:id="1005325348">
      <w:bodyDiv w:val="1"/>
      <w:marLeft w:val="0"/>
      <w:marRight w:val="0"/>
      <w:marTop w:val="0"/>
      <w:marBottom w:val="0"/>
      <w:divBdr>
        <w:top w:val="none" w:sz="0" w:space="0" w:color="auto"/>
        <w:left w:val="none" w:sz="0" w:space="0" w:color="auto"/>
        <w:bottom w:val="none" w:sz="0" w:space="0" w:color="auto"/>
        <w:right w:val="none" w:sz="0" w:space="0" w:color="auto"/>
      </w:divBdr>
    </w:div>
    <w:div w:id="1129937223">
      <w:bodyDiv w:val="1"/>
      <w:marLeft w:val="0"/>
      <w:marRight w:val="0"/>
      <w:marTop w:val="0"/>
      <w:marBottom w:val="0"/>
      <w:divBdr>
        <w:top w:val="none" w:sz="0" w:space="0" w:color="auto"/>
        <w:left w:val="none" w:sz="0" w:space="0" w:color="auto"/>
        <w:bottom w:val="none" w:sz="0" w:space="0" w:color="auto"/>
        <w:right w:val="none" w:sz="0" w:space="0" w:color="auto"/>
      </w:divBdr>
    </w:div>
    <w:div w:id="1277518975">
      <w:bodyDiv w:val="1"/>
      <w:marLeft w:val="0"/>
      <w:marRight w:val="0"/>
      <w:marTop w:val="0"/>
      <w:marBottom w:val="0"/>
      <w:divBdr>
        <w:top w:val="none" w:sz="0" w:space="0" w:color="auto"/>
        <w:left w:val="none" w:sz="0" w:space="0" w:color="auto"/>
        <w:bottom w:val="none" w:sz="0" w:space="0" w:color="auto"/>
        <w:right w:val="none" w:sz="0" w:space="0" w:color="auto"/>
      </w:divBdr>
    </w:div>
    <w:div w:id="1345009046">
      <w:bodyDiv w:val="1"/>
      <w:marLeft w:val="0"/>
      <w:marRight w:val="0"/>
      <w:marTop w:val="0"/>
      <w:marBottom w:val="0"/>
      <w:divBdr>
        <w:top w:val="none" w:sz="0" w:space="0" w:color="auto"/>
        <w:left w:val="none" w:sz="0" w:space="0" w:color="auto"/>
        <w:bottom w:val="none" w:sz="0" w:space="0" w:color="auto"/>
        <w:right w:val="none" w:sz="0" w:space="0" w:color="auto"/>
      </w:divBdr>
    </w:div>
    <w:div w:id="1356689207">
      <w:bodyDiv w:val="1"/>
      <w:marLeft w:val="0"/>
      <w:marRight w:val="0"/>
      <w:marTop w:val="0"/>
      <w:marBottom w:val="0"/>
      <w:divBdr>
        <w:top w:val="none" w:sz="0" w:space="0" w:color="auto"/>
        <w:left w:val="none" w:sz="0" w:space="0" w:color="auto"/>
        <w:bottom w:val="none" w:sz="0" w:space="0" w:color="auto"/>
        <w:right w:val="none" w:sz="0" w:space="0" w:color="auto"/>
      </w:divBdr>
    </w:div>
    <w:div w:id="1825464958">
      <w:bodyDiv w:val="1"/>
      <w:marLeft w:val="0"/>
      <w:marRight w:val="0"/>
      <w:marTop w:val="0"/>
      <w:marBottom w:val="0"/>
      <w:divBdr>
        <w:top w:val="none" w:sz="0" w:space="0" w:color="auto"/>
        <w:left w:val="none" w:sz="0" w:space="0" w:color="auto"/>
        <w:bottom w:val="none" w:sz="0" w:space="0" w:color="auto"/>
        <w:right w:val="none" w:sz="0" w:space="0" w:color="auto"/>
      </w:divBdr>
    </w:div>
    <w:div w:id="1847742758">
      <w:bodyDiv w:val="1"/>
      <w:marLeft w:val="0"/>
      <w:marRight w:val="0"/>
      <w:marTop w:val="0"/>
      <w:marBottom w:val="0"/>
      <w:divBdr>
        <w:top w:val="none" w:sz="0" w:space="0" w:color="auto"/>
        <w:left w:val="none" w:sz="0" w:space="0" w:color="auto"/>
        <w:bottom w:val="none" w:sz="0" w:space="0" w:color="auto"/>
        <w:right w:val="none" w:sz="0" w:space="0" w:color="auto"/>
      </w:divBdr>
    </w:div>
    <w:div w:id="1850098752">
      <w:bodyDiv w:val="1"/>
      <w:marLeft w:val="0"/>
      <w:marRight w:val="0"/>
      <w:marTop w:val="0"/>
      <w:marBottom w:val="0"/>
      <w:divBdr>
        <w:top w:val="none" w:sz="0" w:space="0" w:color="auto"/>
        <w:left w:val="none" w:sz="0" w:space="0" w:color="auto"/>
        <w:bottom w:val="none" w:sz="0" w:space="0" w:color="auto"/>
        <w:right w:val="none" w:sz="0" w:space="0" w:color="auto"/>
      </w:divBdr>
    </w:div>
    <w:div w:id="2074311038">
      <w:bodyDiv w:val="1"/>
      <w:marLeft w:val="0"/>
      <w:marRight w:val="0"/>
      <w:marTop w:val="0"/>
      <w:marBottom w:val="0"/>
      <w:divBdr>
        <w:top w:val="none" w:sz="0" w:space="0" w:color="auto"/>
        <w:left w:val="none" w:sz="0" w:space="0" w:color="auto"/>
        <w:bottom w:val="none" w:sz="0" w:space="0" w:color="auto"/>
        <w:right w:val="none" w:sz="0" w:space="0" w:color="auto"/>
      </w:divBdr>
    </w:div>
    <w:div w:id="2080977373">
      <w:bodyDiv w:val="1"/>
      <w:marLeft w:val="0"/>
      <w:marRight w:val="0"/>
      <w:marTop w:val="0"/>
      <w:marBottom w:val="0"/>
      <w:divBdr>
        <w:top w:val="none" w:sz="0" w:space="0" w:color="auto"/>
        <w:left w:val="none" w:sz="0" w:space="0" w:color="auto"/>
        <w:bottom w:val="none" w:sz="0" w:space="0" w:color="auto"/>
        <w:right w:val="none" w:sz="0" w:space="0" w:color="auto"/>
      </w:divBdr>
    </w:div>
    <w:div w:id="21286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advice/0/how-do-you-plan-execute-asset-disposa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1644</Words>
  <Characters>9377</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535</cp:revision>
  <dcterms:created xsi:type="dcterms:W3CDTF">2024-07-21T14:37:00Z</dcterms:created>
  <dcterms:modified xsi:type="dcterms:W3CDTF">2024-07-22T10:07:00Z</dcterms:modified>
</cp:coreProperties>
</file>