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F6606" w14:textId="675BDC53" w:rsidR="00366191" w:rsidRDefault="00EB53CF" w:rsidP="00EB53CF">
      <w:pPr>
        <w:spacing w:after="0"/>
        <w:rPr>
          <w:b/>
          <w:bCs/>
          <w:sz w:val="32"/>
          <w:szCs w:val="32"/>
        </w:rPr>
      </w:pPr>
      <w:r w:rsidRPr="00EB53CF">
        <w:rPr>
          <w:b/>
          <w:bCs/>
          <w:sz w:val="32"/>
          <w:szCs w:val="32"/>
        </w:rPr>
        <w:t>DECOMMISSIONING PLAN</w:t>
      </w:r>
    </w:p>
    <w:p w14:paraId="54D7FAF3" w14:textId="77777777" w:rsidR="00EB53CF" w:rsidRDefault="00EB53CF" w:rsidP="00EB53CF">
      <w:pPr>
        <w:spacing w:after="0"/>
        <w:rPr>
          <w:sz w:val="24"/>
          <w:szCs w:val="24"/>
        </w:rPr>
      </w:pPr>
    </w:p>
    <w:p w14:paraId="66E61B06" w14:textId="5812B36F" w:rsidR="00EB53CF" w:rsidRDefault="00B13D7E" w:rsidP="00747445">
      <w:pPr>
        <w:spacing w:after="0"/>
        <w:jc w:val="both"/>
        <w:rPr>
          <w:sz w:val="24"/>
          <w:szCs w:val="24"/>
        </w:rPr>
      </w:pPr>
      <w:r>
        <w:rPr>
          <w:sz w:val="24"/>
          <w:szCs w:val="24"/>
        </w:rPr>
        <w:t>To effectively decommissioning Home Connectivity and USB Connectivity services an effective plan should be designed</w:t>
      </w:r>
      <w:r w:rsidR="0091068D">
        <w:rPr>
          <w:sz w:val="24"/>
          <w:szCs w:val="24"/>
        </w:rPr>
        <w:t xml:space="preserve"> considering different factors </w:t>
      </w:r>
      <w:r w:rsidR="00C777D2">
        <w:rPr>
          <w:sz w:val="24"/>
          <w:szCs w:val="24"/>
        </w:rPr>
        <w:t>such as</w:t>
      </w:r>
      <w:r w:rsidR="0091068D">
        <w:rPr>
          <w:sz w:val="24"/>
          <w:szCs w:val="24"/>
        </w:rPr>
        <w:t xml:space="preserve"> value of IT assets, ongoing agreements </w:t>
      </w:r>
      <w:r w:rsidR="003E3D25">
        <w:rPr>
          <w:sz w:val="24"/>
          <w:szCs w:val="24"/>
        </w:rPr>
        <w:t xml:space="preserve">and obligations </w:t>
      </w:r>
      <w:r w:rsidR="0091068D">
        <w:rPr>
          <w:sz w:val="24"/>
          <w:szCs w:val="24"/>
        </w:rPr>
        <w:t>with third-party suppliers</w:t>
      </w:r>
      <w:r w:rsidR="00630366">
        <w:rPr>
          <w:sz w:val="24"/>
          <w:szCs w:val="24"/>
        </w:rPr>
        <w:t>, security policies, impact assessment plans</w:t>
      </w:r>
      <w:r w:rsidR="004B0B28">
        <w:rPr>
          <w:sz w:val="24"/>
          <w:szCs w:val="24"/>
        </w:rPr>
        <w:t xml:space="preserve"> and all pertinent analysis</w:t>
      </w:r>
      <w:r w:rsidR="00123E87">
        <w:rPr>
          <w:sz w:val="24"/>
          <w:szCs w:val="24"/>
        </w:rPr>
        <w:t xml:space="preserve"> before decommissioning the services</w:t>
      </w:r>
      <w:r w:rsidR="00630366">
        <w:rPr>
          <w:sz w:val="24"/>
          <w:szCs w:val="24"/>
        </w:rPr>
        <w:t>.</w:t>
      </w:r>
    </w:p>
    <w:p w14:paraId="6AA101F5" w14:textId="77777777" w:rsidR="00AF22C1" w:rsidRDefault="00AF22C1" w:rsidP="00747445">
      <w:pPr>
        <w:spacing w:after="0"/>
        <w:jc w:val="both"/>
        <w:rPr>
          <w:sz w:val="24"/>
          <w:szCs w:val="24"/>
        </w:rPr>
      </w:pPr>
    </w:p>
    <w:p w14:paraId="45666A53" w14:textId="103C86E1" w:rsidR="00BE74B0" w:rsidRDefault="00AF22C1" w:rsidP="00747445">
      <w:pPr>
        <w:spacing w:after="0"/>
        <w:jc w:val="both"/>
        <w:rPr>
          <w:sz w:val="24"/>
          <w:szCs w:val="24"/>
        </w:rPr>
      </w:pPr>
      <w:r>
        <w:rPr>
          <w:sz w:val="24"/>
          <w:szCs w:val="24"/>
        </w:rPr>
        <w:t xml:space="preserve">ITIL4 provides a </w:t>
      </w:r>
      <w:r w:rsidR="00F135C5">
        <w:rPr>
          <w:sz w:val="24"/>
          <w:szCs w:val="24"/>
        </w:rPr>
        <w:t>practice, named “IT Asset Management”,</w:t>
      </w:r>
      <w:r>
        <w:rPr>
          <w:sz w:val="24"/>
          <w:szCs w:val="24"/>
        </w:rPr>
        <w:t xml:space="preserve"> that </w:t>
      </w:r>
      <w:r w:rsidR="00F135C5">
        <w:rPr>
          <w:sz w:val="24"/>
          <w:szCs w:val="24"/>
        </w:rPr>
        <w:t>manages</w:t>
      </w:r>
      <w:r>
        <w:rPr>
          <w:sz w:val="24"/>
          <w:szCs w:val="24"/>
        </w:rPr>
        <w:t xml:space="preserve"> the lifecycle of all IT assets, so a</w:t>
      </w:r>
      <w:r w:rsidRPr="00AF22C1">
        <w:rPr>
          <w:sz w:val="24"/>
          <w:szCs w:val="24"/>
        </w:rPr>
        <w:t>ny financially valuable component that can contribute to the delivery of an IT product or service</w:t>
      </w:r>
      <w:r>
        <w:rPr>
          <w:sz w:val="24"/>
          <w:szCs w:val="24"/>
        </w:rPr>
        <w:t xml:space="preserve">, </w:t>
      </w:r>
      <w:r w:rsidR="00CE4AE2">
        <w:rPr>
          <w:sz w:val="24"/>
          <w:szCs w:val="24"/>
        </w:rPr>
        <w:t>for an organi</w:t>
      </w:r>
      <w:r w:rsidR="00610103">
        <w:rPr>
          <w:sz w:val="24"/>
          <w:szCs w:val="24"/>
        </w:rPr>
        <w:t>z</w:t>
      </w:r>
      <w:r w:rsidR="00CE4AE2">
        <w:rPr>
          <w:sz w:val="24"/>
          <w:szCs w:val="24"/>
        </w:rPr>
        <w:t xml:space="preserve">ation. </w:t>
      </w:r>
      <w:r w:rsidR="00BE74B0">
        <w:rPr>
          <w:sz w:val="24"/>
          <w:szCs w:val="24"/>
        </w:rPr>
        <w:t xml:space="preserve">A definition of this practice is reported here to highlight the key message of this practice. </w:t>
      </w:r>
    </w:p>
    <w:p w14:paraId="65003424" w14:textId="6E8B2243" w:rsidR="00BE74B0" w:rsidRDefault="00BE74B0" w:rsidP="00FE02A6">
      <w:pPr>
        <w:spacing w:after="0"/>
        <w:jc w:val="both"/>
        <w:rPr>
          <w:sz w:val="24"/>
          <w:szCs w:val="24"/>
        </w:rPr>
      </w:pPr>
      <w:r w:rsidRPr="00BE74B0">
        <w:rPr>
          <w:sz w:val="24"/>
          <w:szCs w:val="24"/>
        </w:rPr>
        <w:t>The purpose of the IT asset management practice is to plan and manage the full lifecycle of all</w:t>
      </w:r>
      <w:r>
        <w:rPr>
          <w:sz w:val="24"/>
          <w:szCs w:val="24"/>
        </w:rPr>
        <w:t xml:space="preserve"> </w:t>
      </w:r>
      <w:r w:rsidRPr="00BE74B0">
        <w:rPr>
          <w:sz w:val="24"/>
          <w:szCs w:val="24"/>
        </w:rPr>
        <w:t>IT assets,</w:t>
      </w:r>
      <w:r>
        <w:rPr>
          <w:sz w:val="24"/>
          <w:szCs w:val="24"/>
        </w:rPr>
        <w:t xml:space="preserve"> </w:t>
      </w:r>
      <w:r w:rsidRPr="00BE74B0">
        <w:rPr>
          <w:sz w:val="24"/>
          <w:szCs w:val="24"/>
        </w:rPr>
        <w:t>to help the organization:</w:t>
      </w:r>
      <w:r w:rsidR="00FE02A6">
        <w:rPr>
          <w:sz w:val="24"/>
          <w:szCs w:val="24"/>
        </w:rPr>
        <w:t xml:space="preserve"> </w:t>
      </w:r>
      <w:r w:rsidRPr="00FE02A6">
        <w:rPr>
          <w:sz w:val="24"/>
          <w:szCs w:val="24"/>
        </w:rPr>
        <w:t>maximize value</w:t>
      </w:r>
      <w:r w:rsidRPr="00FE02A6">
        <w:rPr>
          <w:sz w:val="24"/>
          <w:szCs w:val="24"/>
        </w:rPr>
        <w:t>;</w:t>
      </w:r>
      <w:r w:rsidR="00FE02A6">
        <w:rPr>
          <w:sz w:val="24"/>
          <w:szCs w:val="24"/>
        </w:rPr>
        <w:t xml:space="preserve"> </w:t>
      </w:r>
      <w:r w:rsidRPr="00FE02A6">
        <w:rPr>
          <w:sz w:val="24"/>
          <w:szCs w:val="24"/>
        </w:rPr>
        <w:t>control costs</w:t>
      </w:r>
      <w:r w:rsidRPr="00FE02A6">
        <w:rPr>
          <w:sz w:val="24"/>
          <w:szCs w:val="24"/>
        </w:rPr>
        <w:t>;</w:t>
      </w:r>
      <w:r w:rsidR="00FE02A6">
        <w:rPr>
          <w:sz w:val="24"/>
          <w:szCs w:val="24"/>
        </w:rPr>
        <w:t xml:space="preserve"> </w:t>
      </w:r>
      <w:r w:rsidRPr="00FE02A6">
        <w:rPr>
          <w:sz w:val="24"/>
          <w:szCs w:val="24"/>
        </w:rPr>
        <w:t>manage risks</w:t>
      </w:r>
      <w:r w:rsidRPr="00FE02A6">
        <w:rPr>
          <w:sz w:val="24"/>
          <w:szCs w:val="24"/>
        </w:rPr>
        <w:t>;</w:t>
      </w:r>
      <w:r w:rsidR="00FE02A6">
        <w:rPr>
          <w:sz w:val="24"/>
          <w:szCs w:val="24"/>
        </w:rPr>
        <w:t xml:space="preserve"> </w:t>
      </w:r>
      <w:r w:rsidRPr="00FE02A6">
        <w:rPr>
          <w:sz w:val="24"/>
          <w:szCs w:val="24"/>
        </w:rPr>
        <w:t>support decision-making about purchase, re-use, retirement, and disposal of assets</w:t>
      </w:r>
      <w:r w:rsidRPr="00FE02A6">
        <w:rPr>
          <w:sz w:val="24"/>
          <w:szCs w:val="24"/>
        </w:rPr>
        <w:t>;</w:t>
      </w:r>
      <w:r w:rsidR="00FE02A6">
        <w:rPr>
          <w:sz w:val="24"/>
          <w:szCs w:val="24"/>
        </w:rPr>
        <w:t xml:space="preserve"> </w:t>
      </w:r>
      <w:r w:rsidRPr="00FE02A6">
        <w:rPr>
          <w:sz w:val="24"/>
          <w:szCs w:val="24"/>
        </w:rPr>
        <w:t>meet regulatory and contractual requirements.</w:t>
      </w:r>
    </w:p>
    <w:p w14:paraId="2C21E81B" w14:textId="77777777" w:rsidR="00263617" w:rsidRDefault="00263617" w:rsidP="00FE02A6">
      <w:pPr>
        <w:spacing w:after="0"/>
        <w:jc w:val="both"/>
        <w:rPr>
          <w:sz w:val="24"/>
          <w:szCs w:val="24"/>
        </w:rPr>
      </w:pPr>
    </w:p>
    <w:p w14:paraId="35513777" w14:textId="5FDB75C0" w:rsidR="00263617" w:rsidRDefault="00330F9E" w:rsidP="00FE02A6">
      <w:pPr>
        <w:spacing w:after="0"/>
        <w:jc w:val="both"/>
        <w:rPr>
          <w:sz w:val="24"/>
          <w:szCs w:val="24"/>
        </w:rPr>
      </w:pPr>
      <w:r>
        <w:rPr>
          <w:sz w:val="24"/>
          <w:szCs w:val="24"/>
        </w:rPr>
        <w:t>Considering th</w:t>
      </w:r>
      <w:r w:rsidR="00B42DF7">
        <w:rPr>
          <w:sz w:val="24"/>
          <w:szCs w:val="24"/>
        </w:rPr>
        <w:t>at the</w:t>
      </w:r>
      <w:r>
        <w:rPr>
          <w:sz w:val="24"/>
          <w:szCs w:val="24"/>
        </w:rPr>
        <w:t xml:space="preserve"> IT Asset Management practice</w:t>
      </w:r>
      <w:r w:rsidR="00B42DF7">
        <w:rPr>
          <w:sz w:val="24"/>
          <w:szCs w:val="24"/>
        </w:rPr>
        <w:t xml:space="preserve"> is strictly correlated to the purpose of this document,</w:t>
      </w:r>
      <w:r>
        <w:rPr>
          <w:sz w:val="24"/>
          <w:szCs w:val="24"/>
        </w:rPr>
        <w:t xml:space="preserve"> the whole decommissioning plan should be based on the practice purposes</w:t>
      </w:r>
      <w:r w:rsidR="00CE16A7">
        <w:rPr>
          <w:sz w:val="24"/>
          <w:szCs w:val="24"/>
        </w:rPr>
        <w:t xml:space="preserve"> and obviously considering all other relevant elements of ITIL4 framework</w:t>
      </w:r>
      <w:r>
        <w:rPr>
          <w:sz w:val="24"/>
          <w:szCs w:val="24"/>
        </w:rPr>
        <w:t xml:space="preserve">. </w:t>
      </w:r>
    </w:p>
    <w:p w14:paraId="221909E1" w14:textId="77777777" w:rsidR="00AD0E7D" w:rsidRDefault="00AD0E7D" w:rsidP="00FE02A6">
      <w:pPr>
        <w:spacing w:after="0"/>
        <w:jc w:val="both"/>
        <w:rPr>
          <w:sz w:val="24"/>
          <w:szCs w:val="24"/>
        </w:rPr>
      </w:pPr>
    </w:p>
    <w:p w14:paraId="58884F7C" w14:textId="2F2BF65B" w:rsidR="00AD0E7D" w:rsidRDefault="00AD0E7D" w:rsidP="00BC52D1">
      <w:pPr>
        <w:spacing w:after="100"/>
        <w:jc w:val="both"/>
        <w:rPr>
          <w:sz w:val="24"/>
          <w:szCs w:val="24"/>
        </w:rPr>
      </w:pPr>
      <w:r>
        <w:rPr>
          <w:sz w:val="24"/>
          <w:szCs w:val="24"/>
        </w:rPr>
        <w:t xml:space="preserve">According to what discussed, the decommissioning plan can be characterised by the following </w:t>
      </w:r>
      <w:r w:rsidR="00491B20">
        <w:rPr>
          <w:sz w:val="24"/>
          <w:szCs w:val="24"/>
        </w:rPr>
        <w:t xml:space="preserve">high-level </w:t>
      </w:r>
      <w:r>
        <w:rPr>
          <w:sz w:val="24"/>
          <w:szCs w:val="24"/>
        </w:rPr>
        <w:t>steps:</w:t>
      </w:r>
    </w:p>
    <w:p w14:paraId="5AFB0437" w14:textId="30EE0178" w:rsidR="00AD0E7D" w:rsidRPr="002C735C" w:rsidRDefault="00AD0E7D" w:rsidP="002C735C">
      <w:pPr>
        <w:pStyle w:val="Paragrafoelenco"/>
        <w:numPr>
          <w:ilvl w:val="0"/>
          <w:numId w:val="2"/>
        </w:numPr>
        <w:spacing w:after="100"/>
        <w:ind w:left="714" w:hanging="357"/>
        <w:contextualSpacing w:val="0"/>
        <w:jc w:val="both"/>
        <w:rPr>
          <w:sz w:val="24"/>
          <w:szCs w:val="24"/>
        </w:rPr>
      </w:pPr>
      <w:r w:rsidRPr="002C735C">
        <w:rPr>
          <w:b/>
          <w:bCs/>
          <w:sz w:val="24"/>
          <w:szCs w:val="24"/>
        </w:rPr>
        <w:t>Identify and inventory IT Assets</w:t>
      </w:r>
      <w:r w:rsidR="002A71F7" w:rsidRPr="002C735C">
        <w:rPr>
          <w:sz w:val="24"/>
          <w:szCs w:val="24"/>
        </w:rPr>
        <w:t>.</w:t>
      </w:r>
    </w:p>
    <w:p w14:paraId="23EAEB96" w14:textId="70FF4EDE" w:rsidR="002F23F1" w:rsidRDefault="002F23F1" w:rsidP="002C735C">
      <w:pPr>
        <w:pStyle w:val="Paragrafoelenco"/>
        <w:numPr>
          <w:ilvl w:val="0"/>
          <w:numId w:val="2"/>
        </w:numPr>
        <w:spacing w:after="60"/>
        <w:ind w:left="714" w:hanging="357"/>
        <w:contextualSpacing w:val="0"/>
        <w:jc w:val="both"/>
        <w:rPr>
          <w:sz w:val="24"/>
          <w:szCs w:val="24"/>
        </w:rPr>
      </w:pPr>
      <w:r w:rsidRPr="000E0A1A">
        <w:rPr>
          <w:b/>
          <w:bCs/>
          <w:sz w:val="24"/>
          <w:szCs w:val="24"/>
        </w:rPr>
        <w:t>Assess the current costs associated with maintaining these services and potential savings from decommissioning</w:t>
      </w:r>
      <w:r w:rsidRPr="002F23F1">
        <w:rPr>
          <w:sz w:val="24"/>
          <w:szCs w:val="24"/>
        </w:rPr>
        <w:t>.</w:t>
      </w:r>
    </w:p>
    <w:p w14:paraId="65DEA849" w14:textId="2408D597" w:rsidR="002C735C" w:rsidRDefault="002C735C" w:rsidP="002C735C">
      <w:pPr>
        <w:pStyle w:val="Paragrafoelenco"/>
        <w:numPr>
          <w:ilvl w:val="1"/>
          <w:numId w:val="2"/>
        </w:numPr>
        <w:spacing w:after="100"/>
        <w:contextualSpacing w:val="0"/>
        <w:jc w:val="both"/>
        <w:rPr>
          <w:sz w:val="24"/>
          <w:szCs w:val="24"/>
        </w:rPr>
      </w:pPr>
      <w:r w:rsidRPr="002C735C">
        <w:rPr>
          <w:sz w:val="24"/>
          <w:szCs w:val="24"/>
        </w:rPr>
        <w:t>Review agreements with third-party suppliers who distribute the IT assets</w:t>
      </w:r>
      <w:r w:rsidR="008F21CE">
        <w:rPr>
          <w:sz w:val="24"/>
          <w:szCs w:val="24"/>
        </w:rPr>
        <w:t xml:space="preserve">, considering </w:t>
      </w:r>
      <w:r w:rsidR="008F21CE" w:rsidRPr="008F21CE">
        <w:rPr>
          <w:sz w:val="24"/>
          <w:szCs w:val="24"/>
        </w:rPr>
        <w:t>any outstanding payments with suppliers as per contractual terms.</w:t>
      </w:r>
    </w:p>
    <w:p w14:paraId="3E8EE0D8" w14:textId="3E3DF6BC" w:rsidR="002F23F1" w:rsidRDefault="002A71F7" w:rsidP="00BC52D1">
      <w:pPr>
        <w:pStyle w:val="Paragrafoelenco"/>
        <w:numPr>
          <w:ilvl w:val="0"/>
          <w:numId w:val="2"/>
        </w:numPr>
        <w:spacing w:after="100"/>
        <w:ind w:left="714" w:hanging="357"/>
        <w:contextualSpacing w:val="0"/>
        <w:jc w:val="both"/>
        <w:rPr>
          <w:sz w:val="24"/>
          <w:szCs w:val="24"/>
        </w:rPr>
      </w:pPr>
      <w:r w:rsidRPr="001B40A3">
        <w:rPr>
          <w:b/>
          <w:bCs/>
          <w:sz w:val="24"/>
          <w:szCs w:val="24"/>
        </w:rPr>
        <w:t>Communication with internal stakeholders</w:t>
      </w:r>
      <w:r>
        <w:rPr>
          <w:sz w:val="24"/>
          <w:szCs w:val="24"/>
        </w:rPr>
        <w:t>: i</w:t>
      </w:r>
      <w:r w:rsidRPr="002A71F7">
        <w:rPr>
          <w:sz w:val="24"/>
          <w:szCs w:val="24"/>
        </w:rPr>
        <w:t>nform employees, particularly those using the services, about the decommissioning plan, timelines, and any alternative services available (such as Token Connectivity).</w:t>
      </w:r>
    </w:p>
    <w:p w14:paraId="2579C4D8" w14:textId="57FC06EF" w:rsidR="00BC52D1" w:rsidRDefault="00BC52D1" w:rsidP="00266248">
      <w:pPr>
        <w:pStyle w:val="Paragrafoelenco"/>
        <w:numPr>
          <w:ilvl w:val="0"/>
          <w:numId w:val="2"/>
        </w:numPr>
        <w:spacing w:after="60"/>
        <w:ind w:hanging="357"/>
        <w:contextualSpacing w:val="0"/>
        <w:jc w:val="both"/>
        <w:rPr>
          <w:sz w:val="24"/>
          <w:szCs w:val="24"/>
        </w:rPr>
      </w:pPr>
      <w:r w:rsidRPr="001B40A3">
        <w:rPr>
          <w:b/>
          <w:bCs/>
          <w:sz w:val="24"/>
          <w:szCs w:val="24"/>
        </w:rPr>
        <w:t>Evaluate disposal and decommissioning options</w:t>
      </w:r>
      <w:r>
        <w:rPr>
          <w:sz w:val="24"/>
          <w:szCs w:val="24"/>
        </w:rPr>
        <w:t xml:space="preserve"> considering especially security</w:t>
      </w:r>
      <w:r w:rsidR="008A40D0">
        <w:rPr>
          <w:sz w:val="24"/>
          <w:szCs w:val="24"/>
        </w:rPr>
        <w:t xml:space="preserve"> management</w:t>
      </w:r>
      <w:r w:rsidR="007F3C92">
        <w:rPr>
          <w:sz w:val="24"/>
          <w:szCs w:val="24"/>
        </w:rPr>
        <w:t xml:space="preserve"> and also identifying a partner/vendor who can decommission the IT assets according to industry regulations</w:t>
      </w:r>
      <w:r>
        <w:rPr>
          <w:sz w:val="24"/>
          <w:szCs w:val="24"/>
        </w:rPr>
        <w:t>.</w:t>
      </w:r>
    </w:p>
    <w:p w14:paraId="75920E34" w14:textId="77777777" w:rsidR="00BC52D1" w:rsidRPr="00BC52D1" w:rsidRDefault="00BC52D1" w:rsidP="00266248">
      <w:pPr>
        <w:pStyle w:val="Paragrafoelenco"/>
        <w:numPr>
          <w:ilvl w:val="1"/>
          <w:numId w:val="2"/>
        </w:numPr>
        <w:spacing w:after="60"/>
        <w:ind w:hanging="357"/>
        <w:contextualSpacing w:val="0"/>
        <w:jc w:val="both"/>
        <w:rPr>
          <w:sz w:val="24"/>
          <w:szCs w:val="24"/>
        </w:rPr>
      </w:pPr>
      <w:r w:rsidRPr="00BC52D1">
        <w:rPr>
          <w:sz w:val="24"/>
          <w:szCs w:val="24"/>
        </w:rPr>
        <w:t>Data Security: Ensure that all data on the decommissioned hardware is securely erased following the bank's data destruction policy and regulatory requirements.</w:t>
      </w:r>
    </w:p>
    <w:p w14:paraId="7F37E669" w14:textId="77777777" w:rsidR="00BC52D1" w:rsidRPr="00BC52D1" w:rsidRDefault="00BC52D1" w:rsidP="00266248">
      <w:pPr>
        <w:pStyle w:val="Paragrafoelenco"/>
        <w:numPr>
          <w:ilvl w:val="1"/>
          <w:numId w:val="2"/>
        </w:numPr>
        <w:spacing w:after="60"/>
        <w:ind w:hanging="357"/>
        <w:contextualSpacing w:val="0"/>
        <w:jc w:val="both"/>
        <w:rPr>
          <w:sz w:val="24"/>
          <w:szCs w:val="24"/>
        </w:rPr>
      </w:pPr>
      <w:r w:rsidRPr="00BC52D1">
        <w:rPr>
          <w:sz w:val="24"/>
          <w:szCs w:val="24"/>
        </w:rPr>
        <w:t>Access Revocation: Revoke all access credentials and permissions associated with the decommissioned services to prevent unauthorized access.</w:t>
      </w:r>
    </w:p>
    <w:p w14:paraId="070E546C" w14:textId="1E8F3E5C" w:rsidR="00BC52D1" w:rsidRDefault="00BC52D1" w:rsidP="004B71AB">
      <w:pPr>
        <w:pStyle w:val="Paragrafoelenco"/>
        <w:numPr>
          <w:ilvl w:val="1"/>
          <w:numId w:val="2"/>
        </w:numPr>
        <w:spacing w:after="100"/>
        <w:ind w:left="1434" w:hanging="357"/>
        <w:contextualSpacing w:val="0"/>
        <w:jc w:val="both"/>
        <w:rPr>
          <w:sz w:val="24"/>
          <w:szCs w:val="24"/>
        </w:rPr>
      </w:pPr>
      <w:r w:rsidRPr="00BC52D1">
        <w:rPr>
          <w:sz w:val="24"/>
          <w:szCs w:val="24"/>
        </w:rPr>
        <w:t>Compliance Check: Verify that decommissioning steps comply with internal security policies, industry standards, and legal regulations.</w:t>
      </w:r>
    </w:p>
    <w:p w14:paraId="6D377613" w14:textId="0132CA6D" w:rsidR="00BC52D1" w:rsidRDefault="004B71AB" w:rsidP="001D110C">
      <w:pPr>
        <w:pStyle w:val="Paragrafoelenco"/>
        <w:numPr>
          <w:ilvl w:val="0"/>
          <w:numId w:val="2"/>
        </w:numPr>
        <w:spacing w:after="60"/>
        <w:ind w:hanging="357"/>
        <w:contextualSpacing w:val="0"/>
        <w:jc w:val="both"/>
        <w:rPr>
          <w:sz w:val="24"/>
          <w:szCs w:val="24"/>
        </w:rPr>
      </w:pPr>
      <w:r w:rsidRPr="001B40A3">
        <w:rPr>
          <w:b/>
          <w:bCs/>
          <w:sz w:val="24"/>
          <w:szCs w:val="24"/>
        </w:rPr>
        <w:t>Transition to new services</w:t>
      </w:r>
      <w:r w:rsidR="00CB6E43">
        <w:rPr>
          <w:sz w:val="24"/>
          <w:szCs w:val="24"/>
        </w:rPr>
        <w:t xml:space="preserve"> (important to be done before the effective decommission)</w:t>
      </w:r>
      <w:r>
        <w:rPr>
          <w:sz w:val="24"/>
          <w:szCs w:val="24"/>
        </w:rPr>
        <w:t>.</w:t>
      </w:r>
    </w:p>
    <w:p w14:paraId="20CDE713" w14:textId="60BB07FF" w:rsidR="001D110C" w:rsidRPr="001D110C" w:rsidRDefault="001D110C" w:rsidP="001D110C">
      <w:pPr>
        <w:pStyle w:val="Paragrafoelenco"/>
        <w:numPr>
          <w:ilvl w:val="1"/>
          <w:numId w:val="2"/>
        </w:numPr>
        <w:spacing w:after="60"/>
        <w:ind w:hanging="357"/>
        <w:contextualSpacing w:val="0"/>
        <w:jc w:val="both"/>
        <w:rPr>
          <w:sz w:val="24"/>
          <w:szCs w:val="24"/>
        </w:rPr>
      </w:pPr>
      <w:r>
        <w:rPr>
          <w:sz w:val="24"/>
          <w:szCs w:val="24"/>
        </w:rPr>
        <w:lastRenderedPageBreak/>
        <w:t>T</w:t>
      </w:r>
      <w:r w:rsidRPr="001D110C">
        <w:rPr>
          <w:sz w:val="24"/>
          <w:szCs w:val="24"/>
        </w:rPr>
        <w:t>ransition to New Services: Guide users to transition from Home Connectivity and USB Connectivity to the new Token Connectivity service or any other alternative solutions.</w:t>
      </w:r>
    </w:p>
    <w:p w14:paraId="30964F03" w14:textId="162691FB" w:rsidR="001D110C" w:rsidRDefault="001D110C" w:rsidP="00580C2F">
      <w:pPr>
        <w:pStyle w:val="Paragrafoelenco"/>
        <w:numPr>
          <w:ilvl w:val="1"/>
          <w:numId w:val="2"/>
        </w:numPr>
        <w:spacing w:after="100"/>
        <w:ind w:left="1434" w:hanging="357"/>
        <w:contextualSpacing w:val="0"/>
        <w:jc w:val="both"/>
        <w:rPr>
          <w:sz w:val="24"/>
          <w:szCs w:val="24"/>
        </w:rPr>
      </w:pPr>
      <w:r w:rsidRPr="001D110C">
        <w:rPr>
          <w:sz w:val="24"/>
          <w:szCs w:val="24"/>
        </w:rPr>
        <w:t>Training and Support: Provide necessary training and support to users to facilitate a smooth transition to the new services.</w:t>
      </w:r>
    </w:p>
    <w:p w14:paraId="3197E7FA" w14:textId="0E5CDA94" w:rsidR="004B71AB" w:rsidRDefault="00693440" w:rsidP="00580C2F">
      <w:pPr>
        <w:pStyle w:val="Paragrafoelenco"/>
        <w:numPr>
          <w:ilvl w:val="0"/>
          <w:numId w:val="2"/>
        </w:numPr>
        <w:spacing w:after="100"/>
        <w:ind w:left="714" w:hanging="357"/>
        <w:contextualSpacing w:val="0"/>
        <w:jc w:val="both"/>
        <w:rPr>
          <w:sz w:val="24"/>
          <w:szCs w:val="24"/>
        </w:rPr>
      </w:pPr>
      <w:r w:rsidRPr="001B40A3">
        <w:rPr>
          <w:b/>
          <w:bCs/>
          <w:sz w:val="24"/>
          <w:szCs w:val="24"/>
        </w:rPr>
        <w:t>Decommissioning of all IT assets related to old services</w:t>
      </w:r>
      <w:r>
        <w:rPr>
          <w:sz w:val="24"/>
          <w:szCs w:val="24"/>
        </w:rPr>
        <w:t>.</w:t>
      </w:r>
    </w:p>
    <w:p w14:paraId="76F75E1C" w14:textId="292D9E24" w:rsidR="00693440" w:rsidRDefault="00693440" w:rsidP="00580C2F">
      <w:pPr>
        <w:pStyle w:val="Paragrafoelenco"/>
        <w:numPr>
          <w:ilvl w:val="0"/>
          <w:numId w:val="2"/>
        </w:numPr>
        <w:spacing w:after="60"/>
        <w:ind w:left="714" w:hanging="357"/>
        <w:contextualSpacing w:val="0"/>
        <w:jc w:val="both"/>
        <w:rPr>
          <w:sz w:val="24"/>
          <w:szCs w:val="24"/>
        </w:rPr>
      </w:pPr>
      <w:r w:rsidRPr="001B40A3">
        <w:rPr>
          <w:b/>
          <w:bCs/>
          <w:sz w:val="24"/>
          <w:szCs w:val="24"/>
        </w:rPr>
        <w:t>Monitor and verify IT asset disposal and decommissioning</w:t>
      </w:r>
      <w:r>
        <w:rPr>
          <w:sz w:val="24"/>
          <w:szCs w:val="24"/>
        </w:rPr>
        <w:t xml:space="preserve">. </w:t>
      </w:r>
    </w:p>
    <w:p w14:paraId="4247972C" w14:textId="6B656BBB" w:rsidR="00FE65F7" w:rsidRDefault="00580C2F" w:rsidP="00FE65F7">
      <w:pPr>
        <w:pStyle w:val="Paragrafoelenco"/>
        <w:numPr>
          <w:ilvl w:val="1"/>
          <w:numId w:val="2"/>
        </w:numPr>
        <w:spacing w:after="100"/>
        <w:ind w:left="1434" w:hanging="357"/>
        <w:contextualSpacing w:val="0"/>
        <w:jc w:val="both"/>
        <w:rPr>
          <w:sz w:val="24"/>
          <w:szCs w:val="24"/>
        </w:rPr>
      </w:pPr>
      <w:r w:rsidRPr="00580C2F">
        <w:rPr>
          <w:sz w:val="24"/>
          <w:szCs w:val="24"/>
        </w:rPr>
        <w:t xml:space="preserve">You should track and document the movement and status of your IT assets throughout the process, using tools like GPS, RFID, or blockchain. You should also receive and review the reports and certificates from your vendor or partner, confirming that your IT assets have been disposed or decommissioned according to your specifications and standards. You should also audit and inspect the quality and accuracy of the reports and </w:t>
      </w:r>
      <w:r w:rsidR="001B65D1" w:rsidRPr="00580C2F">
        <w:rPr>
          <w:sz w:val="24"/>
          <w:szCs w:val="24"/>
        </w:rPr>
        <w:t>certificates and</w:t>
      </w:r>
      <w:r w:rsidRPr="00580C2F">
        <w:rPr>
          <w:sz w:val="24"/>
          <w:szCs w:val="24"/>
        </w:rPr>
        <w:t xml:space="preserve"> report any issues or discrepancies.</w:t>
      </w:r>
    </w:p>
    <w:p w14:paraId="17AE1F31" w14:textId="5AFDF167" w:rsidR="00FE65F7" w:rsidRDefault="00FE65F7" w:rsidP="00A604A0">
      <w:pPr>
        <w:pStyle w:val="Paragrafoelenco"/>
        <w:numPr>
          <w:ilvl w:val="0"/>
          <w:numId w:val="2"/>
        </w:numPr>
        <w:spacing w:after="60"/>
        <w:ind w:left="714" w:hanging="357"/>
        <w:contextualSpacing w:val="0"/>
        <w:jc w:val="both"/>
        <w:rPr>
          <w:sz w:val="24"/>
          <w:szCs w:val="24"/>
        </w:rPr>
      </w:pPr>
      <w:r w:rsidRPr="008102EA">
        <w:rPr>
          <w:b/>
          <w:bCs/>
          <w:sz w:val="24"/>
          <w:szCs w:val="24"/>
        </w:rPr>
        <w:t>Update and optimize IT asset lifecycle management</w:t>
      </w:r>
      <w:r>
        <w:rPr>
          <w:sz w:val="24"/>
          <w:szCs w:val="24"/>
        </w:rPr>
        <w:t xml:space="preserve">. </w:t>
      </w:r>
    </w:p>
    <w:p w14:paraId="4CFE57C2" w14:textId="136C17F4" w:rsidR="00A604A0" w:rsidRDefault="00A604A0" w:rsidP="00A604A0">
      <w:pPr>
        <w:pStyle w:val="Paragrafoelenco"/>
        <w:numPr>
          <w:ilvl w:val="1"/>
          <w:numId w:val="2"/>
        </w:numPr>
        <w:spacing w:after="0"/>
        <w:jc w:val="both"/>
        <w:rPr>
          <w:sz w:val="24"/>
          <w:szCs w:val="24"/>
        </w:rPr>
      </w:pPr>
      <w:r w:rsidRPr="00A604A0">
        <w:rPr>
          <w:sz w:val="24"/>
          <w:szCs w:val="24"/>
        </w:rPr>
        <w:t xml:space="preserve">You should update your IT asset inventory and records, reflecting the changes and outcomes of the disposal and decommissioning process. You should also </w:t>
      </w:r>
      <w:r w:rsidR="001D5BEA" w:rsidRPr="00A604A0">
        <w:rPr>
          <w:sz w:val="24"/>
          <w:szCs w:val="24"/>
        </w:rPr>
        <w:t>analyse</w:t>
      </w:r>
      <w:r w:rsidRPr="00A604A0">
        <w:rPr>
          <w:sz w:val="24"/>
          <w:szCs w:val="24"/>
        </w:rPr>
        <w:t xml:space="preserve"> and evaluate the performance and results of the process, identifying the strengths, weaknesses, opportunities, and threats. You should also use the insights and feedback to </w:t>
      </w:r>
      <w:r w:rsidRPr="00CB28B8">
        <w:rPr>
          <w:sz w:val="24"/>
          <w:szCs w:val="24"/>
          <w:u w:val="single"/>
        </w:rPr>
        <w:t>improve and optimize</w:t>
      </w:r>
      <w:r w:rsidR="00125EE2">
        <w:rPr>
          <w:sz w:val="24"/>
          <w:szCs w:val="24"/>
        </w:rPr>
        <w:t xml:space="preserve"> (guiding principle)</w:t>
      </w:r>
      <w:r w:rsidRPr="00A604A0">
        <w:rPr>
          <w:sz w:val="24"/>
          <w:szCs w:val="24"/>
        </w:rPr>
        <w:t xml:space="preserve"> your IT asset lifecycle management, such as enhancing your policies, procedures, tools, or skills.</w:t>
      </w:r>
    </w:p>
    <w:p w14:paraId="2C474739" w14:textId="77777777" w:rsidR="00A2411C" w:rsidRDefault="00A2411C" w:rsidP="00A2411C">
      <w:pPr>
        <w:spacing w:after="0"/>
        <w:jc w:val="both"/>
        <w:rPr>
          <w:sz w:val="24"/>
          <w:szCs w:val="24"/>
        </w:rPr>
      </w:pPr>
    </w:p>
    <w:p w14:paraId="3591FDA4" w14:textId="77777777" w:rsidR="00A2411C" w:rsidRDefault="00A2411C" w:rsidP="00A2411C">
      <w:pPr>
        <w:spacing w:after="0"/>
        <w:jc w:val="both"/>
        <w:rPr>
          <w:sz w:val="24"/>
          <w:szCs w:val="24"/>
        </w:rPr>
      </w:pPr>
    </w:p>
    <w:p w14:paraId="1C3E673B" w14:textId="77777777" w:rsidR="00A2411C" w:rsidRDefault="00A2411C" w:rsidP="00A2411C">
      <w:pPr>
        <w:spacing w:after="0"/>
        <w:jc w:val="both"/>
        <w:rPr>
          <w:sz w:val="24"/>
          <w:szCs w:val="24"/>
        </w:rPr>
      </w:pPr>
    </w:p>
    <w:p w14:paraId="40F26A7E" w14:textId="77777777" w:rsidR="00A2411C" w:rsidRDefault="00A2411C" w:rsidP="00A2411C">
      <w:pPr>
        <w:spacing w:after="0"/>
        <w:jc w:val="both"/>
        <w:rPr>
          <w:sz w:val="24"/>
          <w:szCs w:val="24"/>
        </w:rPr>
      </w:pPr>
    </w:p>
    <w:p w14:paraId="3495FE7B" w14:textId="77777777" w:rsidR="008B621F" w:rsidRDefault="008B621F" w:rsidP="00A2411C">
      <w:pPr>
        <w:spacing w:after="0"/>
        <w:jc w:val="both"/>
        <w:rPr>
          <w:sz w:val="24"/>
          <w:szCs w:val="24"/>
        </w:rPr>
      </w:pPr>
    </w:p>
    <w:p w14:paraId="211CAC01" w14:textId="77777777" w:rsidR="008B621F" w:rsidRDefault="008B621F" w:rsidP="00A2411C">
      <w:pPr>
        <w:spacing w:after="0"/>
        <w:jc w:val="both"/>
        <w:rPr>
          <w:sz w:val="24"/>
          <w:szCs w:val="24"/>
        </w:rPr>
      </w:pPr>
    </w:p>
    <w:p w14:paraId="557BAB8D" w14:textId="77777777" w:rsidR="008B621F" w:rsidRDefault="008B621F" w:rsidP="00A2411C">
      <w:pPr>
        <w:spacing w:after="0"/>
        <w:jc w:val="both"/>
        <w:rPr>
          <w:sz w:val="24"/>
          <w:szCs w:val="24"/>
        </w:rPr>
      </w:pPr>
    </w:p>
    <w:p w14:paraId="05A4FF96" w14:textId="77777777" w:rsidR="008B621F" w:rsidRDefault="008B621F" w:rsidP="00A2411C">
      <w:pPr>
        <w:spacing w:after="0"/>
        <w:jc w:val="both"/>
        <w:rPr>
          <w:sz w:val="24"/>
          <w:szCs w:val="24"/>
        </w:rPr>
      </w:pPr>
    </w:p>
    <w:p w14:paraId="36B430D7" w14:textId="77777777" w:rsidR="00A2411C" w:rsidRDefault="00A2411C" w:rsidP="00A2411C">
      <w:pPr>
        <w:spacing w:after="0"/>
        <w:jc w:val="both"/>
        <w:rPr>
          <w:sz w:val="24"/>
          <w:szCs w:val="24"/>
        </w:rPr>
      </w:pPr>
    </w:p>
    <w:p w14:paraId="13477192" w14:textId="01F58D46" w:rsidR="00A2411C" w:rsidRPr="00A2411C" w:rsidRDefault="00A2411C" w:rsidP="00A2411C">
      <w:pPr>
        <w:spacing w:after="0"/>
        <w:jc w:val="both"/>
        <w:rPr>
          <w:sz w:val="24"/>
          <w:szCs w:val="24"/>
        </w:rPr>
      </w:pPr>
      <w:r>
        <w:rPr>
          <w:sz w:val="24"/>
          <w:szCs w:val="24"/>
        </w:rPr>
        <w:t xml:space="preserve">Main source: </w:t>
      </w:r>
      <w:hyperlink r:id="rId5" w:history="1">
        <w:r w:rsidRPr="005D2EE1">
          <w:rPr>
            <w:rStyle w:val="Collegamentoipertestuale"/>
            <w:sz w:val="24"/>
            <w:szCs w:val="24"/>
          </w:rPr>
          <w:t>https://www.linkedin.com/advice/0/how-do-you-plan-execute-asset-disposal</w:t>
        </w:r>
      </w:hyperlink>
      <w:r>
        <w:rPr>
          <w:sz w:val="24"/>
          <w:szCs w:val="24"/>
        </w:rPr>
        <w:t xml:space="preserve"> </w:t>
      </w:r>
    </w:p>
    <w:sectPr w:rsidR="00A2411C" w:rsidRPr="00A241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6D9"/>
    <w:multiLevelType w:val="hybridMultilevel"/>
    <w:tmpl w:val="8C5E572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BAE1CC8"/>
    <w:multiLevelType w:val="hybridMultilevel"/>
    <w:tmpl w:val="A22E3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0718563">
    <w:abstractNumId w:val="1"/>
  </w:num>
  <w:num w:numId="2" w16cid:durableId="198889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EA"/>
    <w:rsid w:val="000E0A1A"/>
    <w:rsid w:val="00123E87"/>
    <w:rsid w:val="00125EE2"/>
    <w:rsid w:val="001662E6"/>
    <w:rsid w:val="001B40A3"/>
    <w:rsid w:val="001B65D1"/>
    <w:rsid w:val="001D110C"/>
    <w:rsid w:val="001D5BEA"/>
    <w:rsid w:val="001F444D"/>
    <w:rsid w:val="00263617"/>
    <w:rsid w:val="00266248"/>
    <w:rsid w:val="002939EA"/>
    <w:rsid w:val="002A4A92"/>
    <w:rsid w:val="002A71F7"/>
    <w:rsid w:val="002C735C"/>
    <w:rsid w:val="002F23F1"/>
    <w:rsid w:val="00330F9E"/>
    <w:rsid w:val="00366191"/>
    <w:rsid w:val="003E3D25"/>
    <w:rsid w:val="00491B20"/>
    <w:rsid w:val="004B0B28"/>
    <w:rsid w:val="004B71AB"/>
    <w:rsid w:val="00580C2F"/>
    <w:rsid w:val="00610103"/>
    <w:rsid w:val="00630366"/>
    <w:rsid w:val="00635E1A"/>
    <w:rsid w:val="0066137F"/>
    <w:rsid w:val="006640CF"/>
    <w:rsid w:val="00693440"/>
    <w:rsid w:val="006E3BF0"/>
    <w:rsid w:val="00747445"/>
    <w:rsid w:val="00751094"/>
    <w:rsid w:val="007F3C92"/>
    <w:rsid w:val="007F4FFC"/>
    <w:rsid w:val="007F72B5"/>
    <w:rsid w:val="008102EA"/>
    <w:rsid w:val="008977E8"/>
    <w:rsid w:val="008A40D0"/>
    <w:rsid w:val="008B621F"/>
    <w:rsid w:val="008F21CE"/>
    <w:rsid w:val="0091068D"/>
    <w:rsid w:val="00992483"/>
    <w:rsid w:val="00A2411C"/>
    <w:rsid w:val="00A604A0"/>
    <w:rsid w:val="00A717F5"/>
    <w:rsid w:val="00A94D6C"/>
    <w:rsid w:val="00AD0E7D"/>
    <w:rsid w:val="00AF22C1"/>
    <w:rsid w:val="00B03A8D"/>
    <w:rsid w:val="00B135AA"/>
    <w:rsid w:val="00B13D7E"/>
    <w:rsid w:val="00B14A3E"/>
    <w:rsid w:val="00B42DF7"/>
    <w:rsid w:val="00BC52D1"/>
    <w:rsid w:val="00BD2FC0"/>
    <w:rsid w:val="00BE74B0"/>
    <w:rsid w:val="00C7652C"/>
    <w:rsid w:val="00C777D2"/>
    <w:rsid w:val="00CB28B8"/>
    <w:rsid w:val="00CB6E43"/>
    <w:rsid w:val="00CE16A7"/>
    <w:rsid w:val="00CE4AE2"/>
    <w:rsid w:val="00E95804"/>
    <w:rsid w:val="00EB53CF"/>
    <w:rsid w:val="00EC64E0"/>
    <w:rsid w:val="00F135C5"/>
    <w:rsid w:val="00FE02A6"/>
    <w:rsid w:val="00FE65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1A7D"/>
  <w15:chartTrackingRefBased/>
  <w15:docId w15:val="{8DCC6208-D2E3-460F-A6EF-66640249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9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9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939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939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939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939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939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939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939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939EA"/>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2939EA"/>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2939EA"/>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2939EA"/>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2939EA"/>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2939EA"/>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2939EA"/>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2939EA"/>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2939EA"/>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29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39EA"/>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2939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939EA"/>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2939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939EA"/>
    <w:rPr>
      <w:i/>
      <w:iCs/>
      <w:color w:val="404040" w:themeColor="text1" w:themeTint="BF"/>
      <w:lang w:val="en-GB"/>
    </w:rPr>
  </w:style>
  <w:style w:type="paragraph" w:styleId="Paragrafoelenco">
    <w:name w:val="List Paragraph"/>
    <w:basedOn w:val="Normale"/>
    <w:uiPriority w:val="34"/>
    <w:qFormat/>
    <w:rsid w:val="002939EA"/>
    <w:pPr>
      <w:ind w:left="720"/>
      <w:contextualSpacing/>
    </w:pPr>
  </w:style>
  <w:style w:type="character" w:styleId="Enfasiintensa">
    <w:name w:val="Intense Emphasis"/>
    <w:basedOn w:val="Carpredefinitoparagrafo"/>
    <w:uiPriority w:val="21"/>
    <w:qFormat/>
    <w:rsid w:val="002939EA"/>
    <w:rPr>
      <w:i/>
      <w:iCs/>
      <w:color w:val="0F4761" w:themeColor="accent1" w:themeShade="BF"/>
    </w:rPr>
  </w:style>
  <w:style w:type="paragraph" w:styleId="Citazioneintensa">
    <w:name w:val="Intense Quote"/>
    <w:basedOn w:val="Normale"/>
    <w:next w:val="Normale"/>
    <w:link w:val="CitazioneintensaCarattere"/>
    <w:uiPriority w:val="30"/>
    <w:qFormat/>
    <w:rsid w:val="0029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939EA"/>
    <w:rPr>
      <w:i/>
      <w:iCs/>
      <w:color w:val="0F4761" w:themeColor="accent1" w:themeShade="BF"/>
      <w:lang w:val="en-GB"/>
    </w:rPr>
  </w:style>
  <w:style w:type="character" w:styleId="Riferimentointenso">
    <w:name w:val="Intense Reference"/>
    <w:basedOn w:val="Carpredefinitoparagrafo"/>
    <w:uiPriority w:val="32"/>
    <w:qFormat/>
    <w:rsid w:val="002939EA"/>
    <w:rPr>
      <w:b/>
      <w:bCs/>
      <w:smallCaps/>
      <w:color w:val="0F4761" w:themeColor="accent1" w:themeShade="BF"/>
      <w:spacing w:val="5"/>
    </w:rPr>
  </w:style>
  <w:style w:type="character" w:styleId="Collegamentoipertestuale">
    <w:name w:val="Hyperlink"/>
    <w:basedOn w:val="Carpredefinitoparagrafo"/>
    <w:uiPriority w:val="99"/>
    <w:unhideWhenUsed/>
    <w:rsid w:val="00A2411C"/>
    <w:rPr>
      <w:color w:val="467886" w:themeColor="hyperlink"/>
      <w:u w:val="single"/>
    </w:rPr>
  </w:style>
  <w:style w:type="character" w:styleId="Menzionenonrisolta">
    <w:name w:val="Unresolved Mention"/>
    <w:basedOn w:val="Carpredefinitoparagrafo"/>
    <w:uiPriority w:val="99"/>
    <w:semiHidden/>
    <w:unhideWhenUsed/>
    <w:rsid w:val="00A24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25348">
      <w:bodyDiv w:val="1"/>
      <w:marLeft w:val="0"/>
      <w:marRight w:val="0"/>
      <w:marTop w:val="0"/>
      <w:marBottom w:val="0"/>
      <w:divBdr>
        <w:top w:val="none" w:sz="0" w:space="0" w:color="auto"/>
        <w:left w:val="none" w:sz="0" w:space="0" w:color="auto"/>
        <w:bottom w:val="none" w:sz="0" w:space="0" w:color="auto"/>
        <w:right w:val="none" w:sz="0" w:space="0" w:color="auto"/>
      </w:divBdr>
    </w:div>
    <w:div w:id="1345009046">
      <w:bodyDiv w:val="1"/>
      <w:marLeft w:val="0"/>
      <w:marRight w:val="0"/>
      <w:marTop w:val="0"/>
      <w:marBottom w:val="0"/>
      <w:divBdr>
        <w:top w:val="none" w:sz="0" w:space="0" w:color="auto"/>
        <w:left w:val="none" w:sz="0" w:space="0" w:color="auto"/>
        <w:bottom w:val="none" w:sz="0" w:space="0" w:color="auto"/>
        <w:right w:val="none" w:sz="0" w:space="0" w:color="auto"/>
      </w:divBdr>
    </w:div>
    <w:div w:id="1356689207">
      <w:bodyDiv w:val="1"/>
      <w:marLeft w:val="0"/>
      <w:marRight w:val="0"/>
      <w:marTop w:val="0"/>
      <w:marBottom w:val="0"/>
      <w:divBdr>
        <w:top w:val="none" w:sz="0" w:space="0" w:color="auto"/>
        <w:left w:val="none" w:sz="0" w:space="0" w:color="auto"/>
        <w:bottom w:val="none" w:sz="0" w:space="0" w:color="auto"/>
        <w:right w:val="none" w:sz="0" w:space="0" w:color="auto"/>
      </w:divBdr>
    </w:div>
    <w:div w:id="20743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advice/0/how-do-you-plan-execute-asset-disposa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625</Words>
  <Characters>3564</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171</cp:revision>
  <dcterms:created xsi:type="dcterms:W3CDTF">2024-07-21T14:37:00Z</dcterms:created>
  <dcterms:modified xsi:type="dcterms:W3CDTF">2024-07-21T15:29:00Z</dcterms:modified>
</cp:coreProperties>
</file>