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FF12" w14:textId="2E801142" w:rsidR="002F5F7B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sz w:val="24"/>
          <w:szCs w:val="24"/>
          <w:lang w:val="en-US"/>
        </w:rPr>
        <w:t xml:space="preserve">Test Answers -- </w:t>
      </w:r>
      <w:r w:rsidR="0010122A" w:rsidRPr="00691EFA">
        <w:rPr>
          <w:rFonts w:ascii="Garamond" w:eastAsia="Times New Roman" w:hAnsi="Garamond" w:cs="Times New Roman"/>
          <w:b/>
          <w:sz w:val="24"/>
          <w:szCs w:val="24"/>
          <w:lang w:val="en-US"/>
        </w:rPr>
        <w:t xml:space="preserve">Padova, </w:t>
      </w:r>
      <w:r w:rsidR="009D1EF0" w:rsidRPr="00691EFA">
        <w:rPr>
          <w:rFonts w:ascii="Garamond" w:eastAsia="Times New Roman" w:hAnsi="Garamond" w:cs="Times New Roman"/>
          <w:b/>
          <w:sz w:val="24"/>
          <w:szCs w:val="24"/>
          <w:lang w:val="en-US"/>
        </w:rPr>
        <w:t>February 8</w:t>
      </w:r>
      <w:r w:rsidR="0010122A" w:rsidRPr="00691EFA">
        <w:rPr>
          <w:rFonts w:ascii="Garamond" w:eastAsia="Times New Roman" w:hAnsi="Garamond" w:cs="Times New Roman"/>
          <w:b/>
          <w:sz w:val="24"/>
          <w:szCs w:val="24"/>
          <w:lang w:val="en-US"/>
        </w:rPr>
        <w:t>, 202</w:t>
      </w:r>
      <w:r w:rsidR="00B52140" w:rsidRPr="00691EFA">
        <w:rPr>
          <w:rFonts w:ascii="Garamond" w:eastAsia="Times New Roman" w:hAnsi="Garamond" w:cs="Times New Roman"/>
          <w:b/>
          <w:sz w:val="24"/>
          <w:szCs w:val="24"/>
          <w:lang w:val="en-US"/>
        </w:rPr>
        <w:t>4</w:t>
      </w:r>
    </w:p>
    <w:p w14:paraId="0F4114FE" w14:textId="77777777" w:rsidR="002F5F7B" w:rsidRPr="00691EFA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val="en-US"/>
        </w:rPr>
      </w:pPr>
    </w:p>
    <w:p w14:paraId="00000004" w14:textId="1266201F" w:rsidR="00BA09DC" w:rsidRPr="00691EFA" w:rsidRDefault="009D1EF0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691EFA">
        <w:rPr>
          <w:rFonts w:ascii="Garamond" w:eastAsia="Times New Roman" w:hAnsi="Garamond" w:cs="Times New Roman"/>
          <w:b/>
          <w:sz w:val="24"/>
          <w:szCs w:val="24"/>
          <w:lang w:val="en-US"/>
        </w:rPr>
        <w:t>Law &amp; Data</w:t>
      </w:r>
    </w:p>
    <w:p w14:paraId="00000005" w14:textId="77777777" w:rsidR="00BA09DC" w:rsidRDefault="00BA09DC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val="en-US"/>
        </w:rPr>
      </w:pPr>
    </w:p>
    <w:p w14:paraId="2BA33DE0" w14:textId="39A0BC6D" w:rsidR="002F5F7B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i/>
          <w:i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i/>
          <w:iCs/>
          <w:sz w:val="24"/>
          <w:szCs w:val="24"/>
          <w:lang w:val="en-US"/>
        </w:rPr>
        <w:t>Here are the correct answers for the multiple-choice questions.</w:t>
      </w:r>
    </w:p>
    <w:p w14:paraId="76D6D32F" w14:textId="4E828C2A" w:rsidR="002F5F7B" w:rsidRPr="002F5F7B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i/>
          <w:i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i/>
          <w:iCs/>
          <w:sz w:val="24"/>
          <w:szCs w:val="24"/>
          <w:lang w:val="en-US"/>
        </w:rPr>
        <w:t>We provide a skeleton of the right answers for the open questions.</w:t>
      </w:r>
    </w:p>
    <w:p w14:paraId="7618E88E" w14:textId="77777777" w:rsidR="002F5F7B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val="en-US"/>
        </w:rPr>
      </w:pPr>
    </w:p>
    <w:p w14:paraId="3E16B723" w14:textId="77777777" w:rsidR="002F5F7B" w:rsidRPr="00691EFA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val="en-US"/>
        </w:rPr>
      </w:pPr>
    </w:p>
    <w:p w14:paraId="1F17EAA1" w14:textId="79E76528" w:rsidR="00414553" w:rsidRDefault="00414553" w:rsidP="00691EFA">
      <w:pPr>
        <w:tabs>
          <w:tab w:val="left" w:pos="284"/>
        </w:tabs>
        <w:spacing w:line="240" w:lineRule="auto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  <w:r w:rsidRPr="00691EFA">
        <w:rPr>
          <w:rFonts w:ascii="Garamond" w:eastAsia="Times New Roman" w:hAnsi="Garamond" w:cs="Times New Roman"/>
          <w:bCs/>
          <w:sz w:val="24"/>
          <w:szCs w:val="24"/>
          <w:lang w:val="en-US"/>
        </w:rPr>
        <w:t xml:space="preserve">1. </w:t>
      </w:r>
      <w:r w:rsidR="00691EFA" w:rsidRPr="00691EFA">
        <w:rPr>
          <w:rFonts w:ascii="Garamond" w:hAnsi="Garamond"/>
          <w:bCs/>
          <w:color w:val="000000"/>
          <w:sz w:val="24"/>
          <w:szCs w:val="24"/>
          <w:lang w:val="en-US"/>
        </w:rPr>
        <w:t>Please explain the so-called “Barbra Streisand Effect” in no more than 100 words. (up to 6 pts)</w:t>
      </w:r>
    </w:p>
    <w:p w14:paraId="5F940B79" w14:textId="0C6F0D24" w:rsidR="005928DE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  <w:t xml:space="preserve">a. </w:t>
      </w:r>
      <w:proofErr w:type="gramStart"/>
      <w:r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  <w:t>A brief summary</w:t>
      </w:r>
      <w:proofErr w:type="gramEnd"/>
      <w:r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  <w:t xml:space="preserve"> of the facts of the case</w:t>
      </w:r>
    </w:p>
    <w:p w14:paraId="110C7D69" w14:textId="2FEBF9CF" w:rsidR="002F5F7B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  <w:t xml:space="preserve">b. </w:t>
      </w:r>
      <w:r w:rsidRPr="002F5F7B">
        <w:rPr>
          <w:rFonts w:ascii="Garamond" w:eastAsia="Times New Roman" w:hAnsi="Garamond" w:cs="Times New Roman"/>
          <w:bCs/>
          <w:i/>
          <w:iCs/>
          <w:color w:val="000000"/>
          <w:sz w:val="24"/>
          <w:szCs w:val="24"/>
          <w:lang w:val="en-US"/>
        </w:rPr>
        <w:t>Description</w:t>
      </w:r>
      <w:r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  <w:t xml:space="preserve"> of the Effect: The protection of privacy through legal means can backfire and worsen the situation of the individual. </w:t>
      </w:r>
    </w:p>
    <w:p w14:paraId="4CEE5D04" w14:textId="367B5E66" w:rsidR="002F5F7B" w:rsidRPr="002F5F7B" w:rsidRDefault="002F5F7B" w:rsidP="00691EFA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  <w:t xml:space="preserve">c. Takeaways: I. the Legal protection of privacy can consist in avoiding seeking legal protection; II. The legal vindication of privacy is different—and sometimes </w:t>
      </w:r>
      <w:r w:rsidRPr="002F5F7B">
        <w:rPr>
          <w:rFonts w:ascii="Garamond" w:eastAsia="Times New Roman" w:hAnsi="Garamond" w:cs="Times New Roman"/>
          <w:bCs/>
          <w:i/>
          <w:iCs/>
          <w:color w:val="000000"/>
          <w:sz w:val="24"/>
          <w:szCs w:val="24"/>
          <w:lang w:val="en-US"/>
        </w:rPr>
        <w:t>opposite—from</w:t>
      </w:r>
      <w:r>
        <w:rPr>
          <w:rFonts w:ascii="Garamond" w:eastAsia="Times New Roman" w:hAnsi="Garamond" w:cs="Times New Roman"/>
          <w:bCs/>
          <w:i/>
          <w:iCs/>
          <w:sz w:val="24"/>
          <w:szCs w:val="24"/>
          <w:lang w:val="en-US"/>
        </w:rPr>
        <w:t xml:space="preserve"> the social enjoyment of privacy.</w:t>
      </w:r>
    </w:p>
    <w:p w14:paraId="7EA8B735" w14:textId="11C6179F" w:rsidR="00691EFA" w:rsidRPr="00691EFA" w:rsidRDefault="00691EFA" w:rsidP="00581CE1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</w:p>
    <w:p w14:paraId="600633C3" w14:textId="77777777" w:rsidR="009D1EF0" w:rsidRPr="00360B91" w:rsidRDefault="00CA61F5" w:rsidP="00581CE1">
      <w:pPr>
        <w:pStyle w:val="NormalWeb"/>
        <w:tabs>
          <w:tab w:val="left" w:pos="284"/>
        </w:tabs>
        <w:spacing w:before="0" w:beforeAutospacing="0" w:after="0" w:afterAutospacing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581CE1">
        <w:rPr>
          <w:rFonts w:ascii="Garamond" w:hAnsi="Garamond"/>
          <w:bCs/>
          <w:lang w:val="en-US"/>
        </w:rPr>
        <w:t xml:space="preserve">3. </w:t>
      </w:r>
      <w:r w:rsidR="009D1EF0" w:rsidRPr="00581CE1">
        <w:rPr>
          <w:rFonts w:ascii="Garamond" w:hAnsi="Garamond" w:cs="Arial"/>
          <w:bCs/>
          <w:color w:val="000000"/>
          <w:lang w:val="en-US"/>
        </w:rPr>
        <w:t xml:space="preserve">Which of the following statements is correct? </w:t>
      </w:r>
      <w:r w:rsidR="009D1EF0" w:rsidRPr="00360B91">
        <w:rPr>
          <w:rFonts w:ascii="Garamond" w:hAnsi="Garamond" w:cs="Arial"/>
          <w:bCs/>
          <w:color w:val="000000"/>
          <w:lang w:val="en-US"/>
        </w:rPr>
        <w:t>(2 pts)</w:t>
      </w:r>
    </w:p>
    <w:p w14:paraId="68FC9EFF" w14:textId="77777777" w:rsidR="009D1EF0" w:rsidRPr="002F5F7B" w:rsidRDefault="009D1EF0" w:rsidP="00581CE1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after="0" w:afterAutospacing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2F5F7B">
        <w:rPr>
          <w:rFonts w:ascii="Garamond" w:hAnsi="Garamond" w:cs="Arial"/>
          <w:bCs/>
          <w:color w:val="000000"/>
          <w:lang w:val="en-US"/>
        </w:rPr>
        <w:t>Freedom of thought is not considered as a human right in most jurisdictions.</w:t>
      </w:r>
    </w:p>
    <w:p w14:paraId="3E6C90B3" w14:textId="77777777" w:rsidR="009D1EF0" w:rsidRPr="002F5F7B" w:rsidRDefault="009D1EF0" w:rsidP="00581CE1">
      <w:pPr>
        <w:pStyle w:val="NormalWeb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textAlignment w:val="baseline"/>
        <w:rPr>
          <w:rFonts w:ascii="Garamond" w:hAnsi="Garamond" w:cs="Arial"/>
          <w:bCs/>
          <w:color w:val="000000"/>
          <w:u w:val="single"/>
          <w:lang w:val="en-US"/>
        </w:rPr>
      </w:pPr>
      <w:r w:rsidRPr="002F5F7B">
        <w:rPr>
          <w:rFonts w:ascii="Garamond" w:hAnsi="Garamond" w:cs="Arial"/>
          <w:bCs/>
          <w:color w:val="000000"/>
          <w:u w:val="single"/>
          <w:lang w:val="en-US"/>
        </w:rPr>
        <w:t xml:space="preserve">Freedom of thought is considered as a human right in most jurisdictions but hardly </w:t>
      </w:r>
      <w:proofErr w:type="gramStart"/>
      <w:r w:rsidRPr="002F5F7B">
        <w:rPr>
          <w:rFonts w:ascii="Garamond" w:hAnsi="Garamond" w:cs="Arial"/>
          <w:bCs/>
          <w:color w:val="000000"/>
          <w:u w:val="single"/>
          <w:lang w:val="en-US"/>
        </w:rPr>
        <w:t>protected in itself</w:t>
      </w:r>
      <w:proofErr w:type="gramEnd"/>
      <w:r w:rsidRPr="002F5F7B">
        <w:rPr>
          <w:rFonts w:ascii="Garamond" w:hAnsi="Garamond" w:cs="Arial"/>
          <w:bCs/>
          <w:color w:val="000000"/>
          <w:u w:val="single"/>
          <w:lang w:val="en-US"/>
        </w:rPr>
        <w:t>.</w:t>
      </w:r>
    </w:p>
    <w:p w14:paraId="65F80ABA" w14:textId="77777777" w:rsidR="009D1EF0" w:rsidRPr="00581CE1" w:rsidRDefault="009D1EF0" w:rsidP="00581CE1">
      <w:pPr>
        <w:pStyle w:val="NormalWeb"/>
        <w:numPr>
          <w:ilvl w:val="0"/>
          <w:numId w:val="8"/>
        </w:numPr>
        <w:tabs>
          <w:tab w:val="left" w:pos="284"/>
        </w:tabs>
        <w:spacing w:before="0" w:beforeAutospacing="0" w:after="0" w:afterAutospacing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581CE1">
        <w:rPr>
          <w:rFonts w:ascii="Garamond" w:hAnsi="Garamond" w:cs="Arial"/>
          <w:bCs/>
          <w:color w:val="000000"/>
          <w:lang w:val="en-US"/>
        </w:rPr>
        <w:t>Freedom of thought deserves protection only once the individual shares his thoughts with others.</w:t>
      </w:r>
    </w:p>
    <w:p w14:paraId="77C06A64" w14:textId="77777777" w:rsidR="009D1EF0" w:rsidRPr="009E0BE5" w:rsidRDefault="009D1EF0" w:rsidP="00581CE1">
      <w:pPr>
        <w:pStyle w:val="NormalWeb"/>
        <w:numPr>
          <w:ilvl w:val="0"/>
          <w:numId w:val="9"/>
        </w:numPr>
        <w:tabs>
          <w:tab w:val="left" w:pos="284"/>
        </w:tabs>
        <w:spacing w:before="0" w:beforeAutospacing="0" w:after="0" w:afterAutospacing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9E0BE5">
        <w:rPr>
          <w:rFonts w:ascii="Garamond" w:hAnsi="Garamond" w:cs="Arial"/>
          <w:bCs/>
          <w:color w:val="000000"/>
          <w:lang w:val="en-US"/>
        </w:rPr>
        <w:t>Freedom of thought cannot be affected by AI technologies.</w:t>
      </w:r>
    </w:p>
    <w:p w14:paraId="436C5D28" w14:textId="0063980E" w:rsidR="00A92A15" w:rsidRPr="009E0BE5" w:rsidRDefault="00CA61F5" w:rsidP="00581CE1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9E0BE5">
        <w:rPr>
          <w:rFonts w:ascii="Garamond" w:eastAsia="Times New Roman" w:hAnsi="Garamond" w:cs="Times New Roman"/>
          <w:bCs/>
          <w:sz w:val="24"/>
          <w:szCs w:val="24"/>
          <w:lang w:val="en-US"/>
        </w:rPr>
        <w:t xml:space="preserve"> </w:t>
      </w:r>
    </w:p>
    <w:p w14:paraId="208D4223" w14:textId="6E08CA19" w:rsidR="00045C41" w:rsidRDefault="00CA61F5" w:rsidP="00581CE1">
      <w:pPr>
        <w:tabs>
          <w:tab w:val="left" w:pos="284"/>
        </w:tabs>
        <w:spacing w:line="240" w:lineRule="auto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  <w:r w:rsidRPr="009E0BE5">
        <w:rPr>
          <w:rFonts w:ascii="Garamond" w:eastAsia="Times New Roman" w:hAnsi="Garamond" w:cs="Times New Roman"/>
          <w:bCs/>
          <w:sz w:val="24"/>
          <w:szCs w:val="24"/>
          <w:lang w:val="en-US"/>
        </w:rPr>
        <w:t xml:space="preserve">4. </w:t>
      </w:r>
      <w:r w:rsidR="00691EFA" w:rsidRPr="009E0BE5">
        <w:rPr>
          <w:rFonts w:ascii="Garamond" w:hAnsi="Garamond"/>
          <w:bCs/>
          <w:color w:val="000000"/>
          <w:sz w:val="24"/>
          <w:szCs w:val="24"/>
          <w:lang w:val="en-US"/>
        </w:rPr>
        <w:t>Please describe any legal provision included in EU primary law sources setting out the right to personal data protection in max 2</w:t>
      </w:r>
      <w:r w:rsidR="00360B91" w:rsidRPr="009E0BE5">
        <w:rPr>
          <w:rFonts w:ascii="Garamond" w:hAnsi="Garamond"/>
          <w:bCs/>
          <w:color w:val="000000"/>
          <w:sz w:val="24"/>
          <w:szCs w:val="24"/>
          <w:lang w:val="en-US"/>
        </w:rPr>
        <w:t>5</w:t>
      </w:r>
      <w:r w:rsidR="00691EFA" w:rsidRPr="009E0BE5">
        <w:rPr>
          <w:rFonts w:ascii="Garamond" w:hAnsi="Garamond"/>
          <w:bCs/>
          <w:color w:val="000000"/>
          <w:sz w:val="24"/>
          <w:szCs w:val="24"/>
          <w:lang w:val="en-US"/>
        </w:rPr>
        <w:t xml:space="preserve">0 words. (up to </w:t>
      </w:r>
      <w:r w:rsidR="00360B91" w:rsidRPr="009E0BE5">
        <w:rPr>
          <w:rFonts w:ascii="Garamond" w:hAnsi="Garamond"/>
          <w:bCs/>
          <w:color w:val="000000"/>
          <w:sz w:val="24"/>
          <w:szCs w:val="24"/>
          <w:lang w:val="en-US"/>
        </w:rPr>
        <w:t>8</w:t>
      </w:r>
      <w:r w:rsidR="00691EFA" w:rsidRPr="009E0BE5">
        <w:rPr>
          <w:rFonts w:ascii="Garamond" w:hAnsi="Garamond"/>
          <w:bCs/>
          <w:color w:val="000000"/>
          <w:sz w:val="24"/>
          <w:szCs w:val="24"/>
          <w:lang w:val="en-US"/>
        </w:rPr>
        <w:t xml:space="preserve"> pts)</w:t>
      </w:r>
    </w:p>
    <w:p w14:paraId="0A0C17AF" w14:textId="09640EA9" w:rsidR="00466E0C" w:rsidRDefault="00466E0C" w:rsidP="00581CE1">
      <w:pPr>
        <w:tabs>
          <w:tab w:val="left" w:pos="284"/>
        </w:tabs>
        <w:spacing w:line="240" w:lineRule="auto"/>
        <w:jc w:val="both"/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</w:pP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1.</w:t>
      </w: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ab/>
        <w:t>Personal data protection in the TEU, starting from the values of the EU as protected by article 2 TEU and the protection thereof set out in article 3 TEU.</w:t>
      </w:r>
    </w:p>
    <w:p w14:paraId="1E0F4F81" w14:textId="3444723C" w:rsidR="00466E0C" w:rsidRDefault="00466E0C" w:rsidP="00581CE1">
      <w:pPr>
        <w:tabs>
          <w:tab w:val="left" w:pos="284"/>
        </w:tabs>
        <w:spacing w:line="240" w:lineRule="auto"/>
        <w:jc w:val="both"/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</w:pP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2. Personal data protection as set forth by article 16 TFEU.</w:t>
      </w:r>
    </w:p>
    <w:p w14:paraId="50A0B37B" w14:textId="7B0CB65A" w:rsidR="00466E0C" w:rsidRDefault="00466E0C" w:rsidP="00581CE1">
      <w:pPr>
        <w:tabs>
          <w:tab w:val="left" w:pos="284"/>
        </w:tabs>
        <w:spacing w:line="240" w:lineRule="auto"/>
        <w:jc w:val="both"/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</w:pP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3. The fundamental right to data protection in the Charter of Fundamental Rights (article 8 CFR) and </w:t>
      </w:r>
      <w:r w:rsidR="00966214"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possible </w:t>
      </w: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reference to article 7 CFR on the right to privacy</w:t>
      </w:r>
      <w:r w:rsidR="00966214"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 (and their differences)</w:t>
      </w: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.</w:t>
      </w:r>
    </w:p>
    <w:p w14:paraId="72E3D907" w14:textId="45B33369" w:rsidR="005378B8" w:rsidRPr="00466E0C" w:rsidRDefault="005378B8" w:rsidP="00581CE1">
      <w:pPr>
        <w:tabs>
          <w:tab w:val="left" w:pos="284"/>
        </w:tabs>
        <w:spacing w:line="240" w:lineRule="auto"/>
        <w:jc w:val="both"/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</w:pP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4. Possible limitations of fundamental rights and, specifically, of the right to data protection </w:t>
      </w:r>
      <w:proofErr w:type="gramStart"/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in light of</w:t>
      </w:r>
      <w:proofErr w:type="gramEnd"/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 the safeguard clause (article 52 CFR) – the balancing of conflicting rights.</w:t>
      </w:r>
    </w:p>
    <w:p w14:paraId="25607E26" w14:textId="77777777" w:rsidR="00691EFA" w:rsidRPr="009E0BE5" w:rsidRDefault="00691EFA" w:rsidP="00581CE1">
      <w:pPr>
        <w:tabs>
          <w:tab w:val="left" w:pos="284"/>
        </w:tabs>
        <w:spacing w:line="240" w:lineRule="auto"/>
        <w:jc w:val="both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</w:p>
    <w:p w14:paraId="0000002A" w14:textId="034AEDCF" w:rsidR="00BA09DC" w:rsidRDefault="00691EFA" w:rsidP="00581CE1">
      <w:pPr>
        <w:tabs>
          <w:tab w:val="left" w:pos="284"/>
        </w:tabs>
        <w:spacing w:line="240" w:lineRule="auto"/>
        <w:rPr>
          <w:rFonts w:ascii="Garamond" w:hAnsi="Garamond"/>
          <w:bCs/>
          <w:color w:val="000000"/>
          <w:sz w:val="24"/>
          <w:szCs w:val="24"/>
          <w:lang w:val="en-US"/>
        </w:rPr>
      </w:pPr>
      <w:r w:rsidRPr="009E0BE5">
        <w:rPr>
          <w:rFonts w:ascii="Garamond" w:hAnsi="Garamond"/>
          <w:bCs/>
          <w:sz w:val="24"/>
          <w:szCs w:val="24"/>
          <w:lang w:val="en-US"/>
        </w:rPr>
        <w:t>5</w:t>
      </w:r>
      <w:r w:rsidR="00E3751D" w:rsidRPr="009E0BE5">
        <w:rPr>
          <w:rFonts w:ascii="Garamond" w:hAnsi="Garamond"/>
          <w:bCs/>
          <w:sz w:val="24"/>
          <w:szCs w:val="24"/>
          <w:lang w:val="en-US"/>
        </w:rPr>
        <w:t xml:space="preserve">. </w:t>
      </w:r>
      <w:r w:rsidRPr="009E0BE5">
        <w:rPr>
          <w:rFonts w:ascii="Garamond" w:hAnsi="Garamond"/>
          <w:bCs/>
          <w:color w:val="000000"/>
          <w:sz w:val="24"/>
          <w:szCs w:val="24"/>
          <w:lang w:val="en-US"/>
        </w:rPr>
        <w:t xml:space="preserve">Please describe in no more than </w:t>
      </w:r>
      <w:r w:rsidR="00360B91" w:rsidRPr="009E0BE5">
        <w:rPr>
          <w:rFonts w:ascii="Garamond" w:hAnsi="Garamond"/>
          <w:bCs/>
          <w:color w:val="000000"/>
          <w:sz w:val="24"/>
          <w:szCs w:val="24"/>
          <w:lang w:val="en-US"/>
        </w:rPr>
        <w:t>25</w:t>
      </w:r>
      <w:r w:rsidRPr="009E0BE5">
        <w:rPr>
          <w:rFonts w:ascii="Garamond" w:hAnsi="Garamond"/>
          <w:bCs/>
          <w:color w:val="000000"/>
          <w:sz w:val="24"/>
          <w:szCs w:val="24"/>
          <w:lang w:val="en-US"/>
        </w:rPr>
        <w:t xml:space="preserve">0 words the 2020 European Data Strategy conceived by the European Union. (up to </w:t>
      </w:r>
      <w:r w:rsidR="00360B91" w:rsidRPr="009E0BE5">
        <w:rPr>
          <w:rFonts w:ascii="Garamond" w:hAnsi="Garamond"/>
          <w:bCs/>
          <w:color w:val="000000"/>
          <w:sz w:val="24"/>
          <w:szCs w:val="24"/>
          <w:lang w:val="en-US"/>
        </w:rPr>
        <w:t>8</w:t>
      </w:r>
      <w:r w:rsidRPr="009E0BE5">
        <w:rPr>
          <w:rFonts w:ascii="Garamond" w:hAnsi="Garamond"/>
          <w:bCs/>
          <w:color w:val="000000"/>
          <w:sz w:val="24"/>
          <w:szCs w:val="24"/>
          <w:lang w:val="en-US"/>
        </w:rPr>
        <w:t xml:space="preserve"> pts)</w:t>
      </w:r>
    </w:p>
    <w:p w14:paraId="0C951A10" w14:textId="20CA62E9" w:rsidR="00EB1861" w:rsidRDefault="00EB1861" w:rsidP="00581CE1">
      <w:pPr>
        <w:tabs>
          <w:tab w:val="left" w:pos="284"/>
        </w:tabs>
        <w:spacing w:line="240" w:lineRule="auto"/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</w:pP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1. The GDPR that paved the way to the 2020 European Data Strategy</w:t>
      </w:r>
    </w:p>
    <w:p w14:paraId="5817E0A2" w14:textId="3CF65A34" w:rsidR="00EB1861" w:rsidRDefault="00EB1861" w:rsidP="00581CE1">
      <w:pPr>
        <w:tabs>
          <w:tab w:val="left" w:pos="284"/>
        </w:tabs>
        <w:spacing w:line="240" w:lineRule="auto"/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</w:pP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2. Aims of the EU Data Strategy: free flow of personal data, free flow of non-personal data, single market for data</w:t>
      </w:r>
    </w:p>
    <w:p w14:paraId="64DF411D" w14:textId="78E6CCC8" w:rsidR="00EB1861" w:rsidRPr="00EB1861" w:rsidRDefault="00EB1861" w:rsidP="00581CE1">
      <w:pPr>
        <w:tabs>
          <w:tab w:val="left" w:pos="284"/>
        </w:tabs>
        <w:spacing w:line="240" w:lineRule="auto"/>
        <w:rPr>
          <w:rFonts w:ascii="Garamond" w:hAnsi="Garamond"/>
          <w:bCs/>
          <w:i/>
          <w:iCs/>
          <w:sz w:val="24"/>
          <w:szCs w:val="24"/>
          <w:lang w:val="en-US"/>
        </w:rPr>
      </w:pPr>
      <w:r w:rsidRPr="00EB1861"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3. EU Data Strategy Package: Data Governance Act, Digital Services Act, </w:t>
      </w: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Digital Markets Act</w:t>
      </w:r>
      <w:r w:rsidRPr="00EB1861"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, A</w:t>
      </w: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rtificial </w:t>
      </w:r>
      <w:r w:rsidRPr="00EB1861"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I</w:t>
      </w:r>
      <w:r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>ntelligence</w:t>
      </w:r>
      <w:r w:rsidRPr="00EB1861"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 Act, Data Act</w:t>
      </w:r>
      <w:r w:rsidR="002A4711">
        <w:rPr>
          <w:rFonts w:ascii="Garamond" w:hAnsi="Garamond"/>
          <w:bCs/>
          <w:i/>
          <w:iCs/>
          <w:color w:val="000000"/>
          <w:sz w:val="24"/>
          <w:szCs w:val="24"/>
          <w:lang w:val="en-US"/>
        </w:rPr>
        <w:t xml:space="preserve"> (a summarized description of their contents).</w:t>
      </w:r>
    </w:p>
    <w:p w14:paraId="0000002B" w14:textId="77777777" w:rsidR="00BA09DC" w:rsidRPr="00EB1861" w:rsidRDefault="00BA09DC" w:rsidP="00581CE1">
      <w:pPr>
        <w:tabs>
          <w:tab w:val="left" w:pos="284"/>
        </w:tabs>
        <w:spacing w:line="240" w:lineRule="auto"/>
        <w:rPr>
          <w:rFonts w:ascii="Garamond" w:hAnsi="Garamond"/>
          <w:bCs/>
          <w:sz w:val="24"/>
          <w:szCs w:val="24"/>
          <w:lang w:val="en-US"/>
        </w:rPr>
      </w:pPr>
    </w:p>
    <w:p w14:paraId="3631199A" w14:textId="69F3FBDE" w:rsidR="00691EFA" w:rsidRPr="009E0BE5" w:rsidRDefault="00691EFA" w:rsidP="00581CE1">
      <w:pPr>
        <w:pStyle w:val="NormalWeb"/>
        <w:tabs>
          <w:tab w:val="left" w:pos="284"/>
        </w:tabs>
        <w:spacing w:before="0" w:beforeAutospacing="0" w:after="0" w:afterAutospacing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9E0BE5">
        <w:rPr>
          <w:rFonts w:ascii="Garamond" w:hAnsi="Garamond"/>
          <w:bCs/>
          <w:lang w:val="en-US"/>
        </w:rPr>
        <w:t>6</w:t>
      </w:r>
      <w:r w:rsidR="00107496" w:rsidRPr="009E0BE5">
        <w:rPr>
          <w:rFonts w:ascii="Garamond" w:hAnsi="Garamond"/>
          <w:bCs/>
          <w:lang w:val="en-US"/>
        </w:rPr>
        <w:t xml:space="preserve">. </w:t>
      </w:r>
      <w:r w:rsidRPr="009E0BE5">
        <w:rPr>
          <w:rFonts w:ascii="Garamond" w:hAnsi="Garamond" w:cs="Arial"/>
          <w:bCs/>
          <w:color w:val="000000"/>
          <w:lang w:val="en-US"/>
        </w:rPr>
        <w:t>Which of the following statements is correct? (</w:t>
      </w:r>
      <w:r w:rsidR="00360B91" w:rsidRPr="009E0BE5">
        <w:rPr>
          <w:rFonts w:ascii="Garamond" w:hAnsi="Garamond" w:cs="Arial"/>
          <w:bCs/>
          <w:color w:val="000000"/>
          <w:lang w:val="en-US"/>
        </w:rPr>
        <w:t>2</w:t>
      </w:r>
      <w:r w:rsidRPr="009E0BE5">
        <w:rPr>
          <w:rFonts w:ascii="Garamond" w:hAnsi="Garamond" w:cs="Arial"/>
          <w:bCs/>
          <w:color w:val="000000"/>
          <w:lang w:val="en-US"/>
        </w:rPr>
        <w:t xml:space="preserve"> pt</w:t>
      </w:r>
      <w:r w:rsidR="00360B91" w:rsidRPr="009E0BE5">
        <w:rPr>
          <w:rFonts w:ascii="Garamond" w:hAnsi="Garamond" w:cs="Arial"/>
          <w:bCs/>
          <w:color w:val="000000"/>
          <w:lang w:val="en-US"/>
        </w:rPr>
        <w:t>s</w:t>
      </w:r>
      <w:r w:rsidRPr="009E0BE5">
        <w:rPr>
          <w:rFonts w:ascii="Garamond" w:hAnsi="Garamond" w:cs="Arial"/>
          <w:bCs/>
          <w:color w:val="000000"/>
          <w:lang w:val="en-US"/>
        </w:rPr>
        <w:t>)</w:t>
      </w:r>
    </w:p>
    <w:p w14:paraId="14AFF021" w14:textId="77777777" w:rsidR="00691EFA" w:rsidRPr="009E0BE5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9E0BE5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a.</w:t>
      </w:r>
      <w:r w:rsidRPr="009E0BE5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    </w:t>
      </w:r>
      <w:r w:rsidRPr="009E0BE5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Directives are directly applicable in all Member States as such, whereas regulations need to be implemented by every Member State</w:t>
      </w:r>
    </w:p>
    <w:p w14:paraId="3C9BEAE5" w14:textId="77777777" w:rsidR="00691EFA" w:rsidRPr="009E0BE5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/>
          <w:bCs/>
          <w:color w:val="000000"/>
          <w:sz w:val="24"/>
          <w:szCs w:val="24"/>
          <w:lang w:val="en-US"/>
        </w:rPr>
      </w:pPr>
      <w:r w:rsidRPr="009E0BE5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b.</w:t>
      </w:r>
      <w:r w:rsidRPr="009E0BE5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    </w:t>
      </w:r>
      <w:r w:rsidRPr="009E0BE5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EU regulations and directives must be directly applied in any of their provisions in all Member States</w:t>
      </w:r>
    </w:p>
    <w:p w14:paraId="0000002C" w14:textId="6FAAD39F" w:rsidR="00BA09DC" w:rsidRPr="002F5F7B" w:rsidRDefault="00581CE1" w:rsidP="00581CE1">
      <w:pPr>
        <w:tabs>
          <w:tab w:val="left" w:pos="284"/>
        </w:tabs>
        <w:spacing w:line="240" w:lineRule="auto"/>
        <w:rPr>
          <w:rFonts w:ascii="Garamond" w:eastAsia="Times New Roman" w:hAnsi="Garamond"/>
          <w:bCs/>
          <w:color w:val="000000"/>
          <w:sz w:val="24"/>
          <w:szCs w:val="24"/>
          <w:u w:val="single"/>
          <w:lang w:val="en-US"/>
        </w:rPr>
      </w:pPr>
      <w:r w:rsidRPr="002F5F7B">
        <w:rPr>
          <w:rFonts w:ascii="Garamond" w:eastAsia="Times New Roman" w:hAnsi="Garamond"/>
          <w:bCs/>
          <w:color w:val="000000"/>
          <w:sz w:val="24"/>
          <w:szCs w:val="24"/>
          <w:u w:val="single"/>
          <w:lang w:val="en-US"/>
        </w:rPr>
        <w:t xml:space="preserve">c. Regulations are directly applicable in all member states as such, whereas directives need to be implemented by every member </w:t>
      </w:r>
      <w:proofErr w:type="gramStart"/>
      <w:r w:rsidRPr="002F5F7B">
        <w:rPr>
          <w:rFonts w:ascii="Garamond" w:eastAsia="Times New Roman" w:hAnsi="Garamond"/>
          <w:bCs/>
          <w:color w:val="000000"/>
          <w:sz w:val="24"/>
          <w:szCs w:val="24"/>
          <w:u w:val="single"/>
          <w:lang w:val="en-US"/>
        </w:rPr>
        <w:t>state</w:t>
      </w:r>
      <w:proofErr w:type="gramEnd"/>
    </w:p>
    <w:p w14:paraId="0000002D" w14:textId="77777777" w:rsidR="00BA09DC" w:rsidRPr="009E0BE5" w:rsidRDefault="00BA09DC" w:rsidP="00581CE1">
      <w:pPr>
        <w:tabs>
          <w:tab w:val="left" w:pos="284"/>
        </w:tabs>
        <w:spacing w:line="240" w:lineRule="auto"/>
        <w:rPr>
          <w:rFonts w:ascii="Garamond" w:hAnsi="Garamond"/>
          <w:bCs/>
          <w:sz w:val="24"/>
          <w:szCs w:val="24"/>
          <w:lang w:val="en-US"/>
        </w:rPr>
      </w:pPr>
    </w:p>
    <w:p w14:paraId="6EB3F90D" w14:textId="482F4180" w:rsidR="00691EFA" w:rsidRPr="009E0BE5" w:rsidRDefault="00691EFA" w:rsidP="00581CE1">
      <w:pPr>
        <w:pStyle w:val="NormalWeb"/>
        <w:numPr>
          <w:ilvl w:val="0"/>
          <w:numId w:val="13"/>
        </w:numPr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9E0BE5">
        <w:rPr>
          <w:rFonts w:ascii="Garamond" w:hAnsi="Garamond" w:cs="Arial"/>
          <w:bCs/>
          <w:color w:val="000000"/>
          <w:lang w:val="en-US"/>
        </w:rPr>
        <w:t>The European Data Protection Board is (</w:t>
      </w:r>
      <w:r w:rsidR="00360B91" w:rsidRPr="009E0BE5">
        <w:rPr>
          <w:rFonts w:ascii="Garamond" w:hAnsi="Garamond" w:cs="Arial"/>
          <w:bCs/>
          <w:color w:val="000000"/>
          <w:lang w:val="en-US"/>
        </w:rPr>
        <w:t>2</w:t>
      </w:r>
      <w:r w:rsidRPr="009E0BE5">
        <w:rPr>
          <w:rFonts w:ascii="Garamond" w:hAnsi="Garamond" w:cs="Arial"/>
          <w:bCs/>
          <w:color w:val="000000"/>
          <w:lang w:val="en-US"/>
        </w:rPr>
        <w:t xml:space="preserve"> pt):</w:t>
      </w:r>
    </w:p>
    <w:p w14:paraId="09664B15" w14:textId="77777777" w:rsidR="00691EFA" w:rsidRPr="009E0BE5" w:rsidRDefault="00691EFA" w:rsidP="00581CE1">
      <w:pPr>
        <w:pStyle w:val="NormalWeb"/>
        <w:numPr>
          <w:ilvl w:val="1"/>
          <w:numId w:val="10"/>
        </w:numPr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9E0BE5">
        <w:rPr>
          <w:rFonts w:ascii="Garamond" w:hAnsi="Garamond" w:cs="Arial"/>
          <w:bCs/>
          <w:color w:val="000000"/>
          <w:lang w:val="en-US"/>
        </w:rPr>
        <w:t>An institution provided for by the Treaty on the European Union</w:t>
      </w:r>
    </w:p>
    <w:p w14:paraId="345B12B6" w14:textId="77777777" w:rsidR="00691EFA" w:rsidRPr="009E0BE5" w:rsidRDefault="00691EFA" w:rsidP="00581CE1">
      <w:pPr>
        <w:pStyle w:val="NormalWeb"/>
        <w:numPr>
          <w:ilvl w:val="1"/>
          <w:numId w:val="10"/>
        </w:numPr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rFonts w:ascii="Garamond" w:hAnsi="Garamond" w:cs="Arial"/>
          <w:bCs/>
          <w:color w:val="000000"/>
          <w:lang w:val="en-US"/>
        </w:rPr>
      </w:pPr>
      <w:r w:rsidRPr="009E0BE5">
        <w:rPr>
          <w:rFonts w:ascii="Garamond" w:hAnsi="Garamond" w:cs="Arial"/>
          <w:bCs/>
          <w:color w:val="000000"/>
          <w:lang w:val="en-US"/>
        </w:rPr>
        <w:lastRenderedPageBreak/>
        <w:t>An agency of the European Commission with the aim of protecting the fundamental right to data protection</w:t>
      </w:r>
    </w:p>
    <w:p w14:paraId="00000032" w14:textId="6B4719B1" w:rsidR="00BA09DC" w:rsidRPr="002F5F7B" w:rsidRDefault="00581CE1" w:rsidP="00581CE1">
      <w:pPr>
        <w:pStyle w:val="NormalWeb"/>
        <w:numPr>
          <w:ilvl w:val="1"/>
          <w:numId w:val="10"/>
        </w:numPr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rFonts w:ascii="Garamond" w:hAnsi="Garamond"/>
          <w:bCs/>
          <w:u w:val="single"/>
          <w:lang w:val="en-US"/>
        </w:rPr>
      </w:pPr>
      <w:r w:rsidRPr="002F5F7B">
        <w:rPr>
          <w:rFonts w:ascii="Garamond" w:hAnsi="Garamond" w:cs="Arial"/>
          <w:bCs/>
          <w:color w:val="000000"/>
          <w:u w:val="single"/>
          <w:lang w:val="en-US"/>
        </w:rPr>
        <w:t xml:space="preserve">An independent body gathering the national supervisory authorities of each EU member </w:t>
      </w:r>
      <w:proofErr w:type="gramStart"/>
      <w:r w:rsidR="00360B91" w:rsidRPr="002F5F7B">
        <w:rPr>
          <w:rFonts w:ascii="Garamond" w:hAnsi="Garamond" w:cs="Arial"/>
          <w:bCs/>
          <w:color w:val="000000"/>
          <w:u w:val="single"/>
          <w:lang w:val="en-US"/>
        </w:rPr>
        <w:t>S</w:t>
      </w:r>
      <w:r w:rsidRPr="002F5F7B">
        <w:rPr>
          <w:rFonts w:ascii="Garamond" w:hAnsi="Garamond" w:cs="Arial"/>
          <w:bCs/>
          <w:color w:val="000000"/>
          <w:u w:val="single"/>
          <w:lang w:val="en-US"/>
        </w:rPr>
        <w:t>tate</w:t>
      </w:r>
      <w:proofErr w:type="gramEnd"/>
    </w:p>
    <w:p w14:paraId="257FBA9F" w14:textId="77777777" w:rsidR="00581CE1" w:rsidRPr="009E0BE5" w:rsidRDefault="00581CE1" w:rsidP="00581CE1">
      <w:pPr>
        <w:pStyle w:val="NormalWeb"/>
        <w:tabs>
          <w:tab w:val="left" w:pos="284"/>
        </w:tabs>
        <w:spacing w:before="0" w:beforeAutospacing="0" w:after="0" w:afterAutospacing="0"/>
        <w:textAlignment w:val="baseline"/>
        <w:rPr>
          <w:rFonts w:ascii="Garamond" w:hAnsi="Garamond"/>
          <w:bCs/>
          <w:lang w:val="en-US"/>
        </w:rPr>
      </w:pPr>
    </w:p>
    <w:p w14:paraId="353A0791" w14:textId="675B9DCF" w:rsidR="00691EFA" w:rsidRPr="00581CE1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9E0BE5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8. The Charter of fundamental</w:t>
      </w: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 xml:space="preserve"> rights recognizes the right to privacy and the right to data protection to (1 pt):</w:t>
      </w:r>
    </w:p>
    <w:p w14:paraId="0E411973" w14:textId="0A9376F8" w:rsidR="00691EFA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/>
          <w:bCs/>
          <w:color w:val="000000"/>
          <w:sz w:val="24"/>
          <w:szCs w:val="24"/>
          <w:lang w:val="en-US"/>
        </w:rPr>
      </w:pP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a.</w:t>
      </w:r>
      <w:r w:rsidRPr="00581CE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    </w:t>
      </w: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Only individuals with EU citizenship</w:t>
      </w:r>
    </w:p>
    <w:p w14:paraId="3323C92F" w14:textId="6D697DF1" w:rsidR="00581CE1" w:rsidRPr="002F5F7B" w:rsidRDefault="00581CE1" w:rsidP="00581CE1">
      <w:pPr>
        <w:tabs>
          <w:tab w:val="left" w:pos="284"/>
        </w:tabs>
        <w:spacing w:line="240" w:lineRule="auto"/>
        <w:rPr>
          <w:rFonts w:ascii="Garamond" w:eastAsia="Times New Roman" w:hAnsi="Garamond" w:cs="Times New Roman"/>
          <w:bCs/>
          <w:sz w:val="24"/>
          <w:szCs w:val="24"/>
          <w:u w:val="single"/>
          <w:lang w:val="en-US"/>
        </w:rPr>
      </w:pPr>
      <w:r w:rsidRPr="002F5F7B">
        <w:rPr>
          <w:rFonts w:ascii="Garamond" w:eastAsia="Times New Roman" w:hAnsi="Garamond"/>
          <w:bCs/>
          <w:color w:val="000000"/>
          <w:sz w:val="24"/>
          <w:szCs w:val="24"/>
          <w:u w:val="single"/>
          <w:lang w:val="en-US"/>
        </w:rPr>
        <w:t xml:space="preserve">b. All individuals provided that they are in the </w:t>
      </w:r>
      <w:proofErr w:type="gramStart"/>
      <w:r w:rsidRPr="002F5F7B">
        <w:rPr>
          <w:rFonts w:ascii="Garamond" w:eastAsia="Times New Roman" w:hAnsi="Garamond"/>
          <w:bCs/>
          <w:color w:val="000000"/>
          <w:sz w:val="24"/>
          <w:szCs w:val="24"/>
          <w:u w:val="single"/>
          <w:lang w:val="en-US"/>
        </w:rPr>
        <w:t>EU</w:t>
      </w:r>
      <w:proofErr w:type="gramEnd"/>
    </w:p>
    <w:p w14:paraId="681DB2E6" w14:textId="4ED8FB7D" w:rsidR="00691EFA" w:rsidRPr="00581CE1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/>
          <w:bCs/>
          <w:color w:val="000000"/>
          <w:sz w:val="24"/>
          <w:szCs w:val="24"/>
          <w:lang w:val="en-US"/>
        </w:rPr>
      </w:pP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c.</w:t>
      </w:r>
      <w:r w:rsidRPr="00581CE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    </w:t>
      </w: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Only EU companies</w:t>
      </w:r>
    </w:p>
    <w:p w14:paraId="1FAB3A59" w14:textId="77777777" w:rsidR="00691EFA" w:rsidRPr="00581CE1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/>
          <w:bCs/>
          <w:color w:val="000000"/>
          <w:sz w:val="24"/>
          <w:szCs w:val="24"/>
          <w:lang w:val="en-US"/>
        </w:rPr>
      </w:pPr>
    </w:p>
    <w:p w14:paraId="67D121E5" w14:textId="27036969" w:rsidR="00691EFA" w:rsidRPr="00581CE1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 xml:space="preserve">9. Which of the </w:t>
      </w:r>
      <w:proofErr w:type="gramStart"/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following are</w:t>
      </w:r>
      <w:proofErr w:type="gramEnd"/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 xml:space="preserve"> legislative instruments belonging to EU primary law? (1 pt)</w:t>
      </w:r>
    </w:p>
    <w:p w14:paraId="5D0E2E79" w14:textId="77777777" w:rsidR="00691EFA" w:rsidRDefault="00691EFA" w:rsidP="00581CE1">
      <w:pPr>
        <w:tabs>
          <w:tab w:val="left" w:pos="284"/>
        </w:tabs>
        <w:spacing w:line="240" w:lineRule="auto"/>
        <w:rPr>
          <w:rFonts w:ascii="Garamond" w:eastAsia="Times New Roman" w:hAnsi="Garamond"/>
          <w:bCs/>
          <w:color w:val="000000"/>
          <w:sz w:val="24"/>
          <w:szCs w:val="24"/>
          <w:lang w:val="en-US"/>
        </w:rPr>
      </w:pP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a.</w:t>
      </w:r>
      <w:r w:rsidRPr="00581CE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    </w:t>
      </w:r>
      <w:r w:rsidRPr="00581CE1">
        <w:rPr>
          <w:rFonts w:ascii="Garamond" w:eastAsia="Times New Roman" w:hAnsi="Garamond"/>
          <w:bCs/>
          <w:color w:val="000000"/>
          <w:sz w:val="24"/>
          <w:szCs w:val="24"/>
          <w:lang w:val="en-US"/>
        </w:rPr>
        <w:t>Treaty of the European Union, Treaty on the functioning of the European Union, Case-law of the European Court of Justice</w:t>
      </w:r>
    </w:p>
    <w:p w14:paraId="13667E1E" w14:textId="60AE75C2" w:rsidR="00581CE1" w:rsidRPr="002F5F7B" w:rsidRDefault="00581CE1" w:rsidP="00581CE1">
      <w:pPr>
        <w:tabs>
          <w:tab w:val="left" w:pos="284"/>
        </w:tabs>
        <w:spacing w:line="240" w:lineRule="auto"/>
        <w:rPr>
          <w:rFonts w:ascii="Garamond" w:eastAsia="Times New Roman" w:hAnsi="Garamond" w:cs="Times New Roman"/>
          <w:bCs/>
          <w:sz w:val="24"/>
          <w:szCs w:val="24"/>
          <w:u w:val="single"/>
          <w:lang w:val="en-US"/>
        </w:rPr>
      </w:pPr>
      <w:r w:rsidRPr="002F5F7B">
        <w:rPr>
          <w:rFonts w:ascii="Garamond" w:eastAsia="Times New Roman" w:hAnsi="Garamond"/>
          <w:bCs/>
          <w:color w:val="000000"/>
          <w:sz w:val="24"/>
          <w:szCs w:val="24"/>
          <w:u w:val="single"/>
          <w:lang w:val="en-US"/>
        </w:rPr>
        <w:t>b. Treaty of the European Union, Treaty on the Functioning of the European Union, Charter of Fundamental Rights of the European Union</w:t>
      </w:r>
    </w:p>
    <w:p w14:paraId="5DC98AEA" w14:textId="6B1F75C0" w:rsidR="00691EFA" w:rsidRPr="00691EFA" w:rsidRDefault="00691EFA" w:rsidP="00691EFA">
      <w:pPr>
        <w:tabs>
          <w:tab w:val="left" w:pos="284"/>
        </w:tabs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581CE1">
        <w:rPr>
          <w:rFonts w:ascii="Garamond" w:eastAsia="Times New Roman" w:hAnsi="Garamond"/>
          <w:color w:val="000000"/>
          <w:sz w:val="24"/>
          <w:szCs w:val="24"/>
          <w:lang w:val="en-US"/>
        </w:rPr>
        <w:t>c.</w:t>
      </w:r>
      <w:r w:rsidRPr="00581CE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    </w:t>
      </w:r>
      <w:r w:rsidRPr="00581CE1">
        <w:rPr>
          <w:rFonts w:ascii="Garamond" w:eastAsia="Times New Roman" w:hAnsi="Garamond"/>
          <w:color w:val="000000"/>
          <w:sz w:val="24"/>
          <w:szCs w:val="24"/>
          <w:lang w:val="en-US"/>
        </w:rPr>
        <w:t>Charter of fundamental rights of the European Union, Regulations, Case-law of the European Court of Justice</w:t>
      </w:r>
    </w:p>
    <w:sectPr w:rsidR="00691EFA" w:rsidRPr="00691E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34D"/>
    <w:multiLevelType w:val="multilevel"/>
    <w:tmpl w:val="766A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E25ED"/>
    <w:multiLevelType w:val="multilevel"/>
    <w:tmpl w:val="5136EA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20F71"/>
    <w:multiLevelType w:val="multilevel"/>
    <w:tmpl w:val="4DF87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B76C04"/>
    <w:multiLevelType w:val="multilevel"/>
    <w:tmpl w:val="280E07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93563"/>
    <w:multiLevelType w:val="hybridMultilevel"/>
    <w:tmpl w:val="14D47ABC"/>
    <w:lvl w:ilvl="0" w:tplc="CCA2021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40A59"/>
    <w:multiLevelType w:val="hybridMultilevel"/>
    <w:tmpl w:val="662AC148"/>
    <w:lvl w:ilvl="0" w:tplc="041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A0B87"/>
    <w:multiLevelType w:val="hybridMultilevel"/>
    <w:tmpl w:val="8BEC5B8C"/>
    <w:lvl w:ilvl="0" w:tplc="6D4093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9376C"/>
    <w:multiLevelType w:val="multilevel"/>
    <w:tmpl w:val="AFF6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812375"/>
    <w:multiLevelType w:val="multilevel"/>
    <w:tmpl w:val="DA28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561181">
    <w:abstractNumId w:val="2"/>
  </w:num>
  <w:num w:numId="2" w16cid:durableId="81492337">
    <w:abstractNumId w:val="7"/>
  </w:num>
  <w:num w:numId="3" w16cid:durableId="699163137">
    <w:abstractNumId w:val="6"/>
  </w:num>
  <w:num w:numId="4" w16cid:durableId="2133555632">
    <w:abstractNumId w:val="5"/>
  </w:num>
  <w:num w:numId="5" w16cid:durableId="2095082401">
    <w:abstractNumId w:val="8"/>
  </w:num>
  <w:num w:numId="6" w16cid:durableId="1353458866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779377447">
    <w:abstractNumId w:val="0"/>
    <w:lvlOverride w:ilvl="0">
      <w:lvl w:ilvl="0">
        <w:numFmt w:val="lowerLetter"/>
        <w:lvlText w:val="%1."/>
        <w:lvlJc w:val="left"/>
      </w:lvl>
    </w:lvlOverride>
  </w:num>
  <w:num w:numId="8" w16cid:durableId="1684700926">
    <w:abstractNumId w:val="0"/>
    <w:lvlOverride w:ilvl="0">
      <w:lvl w:ilvl="0">
        <w:numFmt w:val="lowerLetter"/>
        <w:lvlText w:val="%1."/>
        <w:lvlJc w:val="left"/>
      </w:lvl>
    </w:lvlOverride>
  </w:num>
  <w:num w:numId="9" w16cid:durableId="1771580170">
    <w:abstractNumId w:val="0"/>
    <w:lvlOverride w:ilvl="0">
      <w:lvl w:ilvl="0">
        <w:numFmt w:val="lowerLetter"/>
        <w:lvlText w:val="%1."/>
        <w:lvlJc w:val="left"/>
      </w:lvl>
    </w:lvlOverride>
  </w:num>
  <w:num w:numId="10" w16cid:durableId="3359160">
    <w:abstractNumId w:val="1"/>
  </w:num>
  <w:num w:numId="11" w16cid:durableId="1361123604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094282369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601765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DC"/>
    <w:rsid w:val="00045C41"/>
    <w:rsid w:val="000B79E6"/>
    <w:rsid w:val="0010122A"/>
    <w:rsid w:val="001027C2"/>
    <w:rsid w:val="00107496"/>
    <w:rsid w:val="00116A2D"/>
    <w:rsid w:val="00186331"/>
    <w:rsid w:val="001C22F0"/>
    <w:rsid w:val="001D6B06"/>
    <w:rsid w:val="002A0466"/>
    <w:rsid w:val="002A4711"/>
    <w:rsid w:val="002D1675"/>
    <w:rsid w:val="002F5F7B"/>
    <w:rsid w:val="00360B91"/>
    <w:rsid w:val="003B743E"/>
    <w:rsid w:val="00400C33"/>
    <w:rsid w:val="00414553"/>
    <w:rsid w:val="00466E0C"/>
    <w:rsid w:val="005378B8"/>
    <w:rsid w:val="00581CE1"/>
    <w:rsid w:val="005928DE"/>
    <w:rsid w:val="005A7D0E"/>
    <w:rsid w:val="005B4D9D"/>
    <w:rsid w:val="00691EFA"/>
    <w:rsid w:val="006F451A"/>
    <w:rsid w:val="006F68DF"/>
    <w:rsid w:val="00732F85"/>
    <w:rsid w:val="007662E2"/>
    <w:rsid w:val="007E7155"/>
    <w:rsid w:val="00827D9A"/>
    <w:rsid w:val="00902A87"/>
    <w:rsid w:val="00966214"/>
    <w:rsid w:val="009701CB"/>
    <w:rsid w:val="00986BB5"/>
    <w:rsid w:val="009D1EF0"/>
    <w:rsid w:val="009E0BE5"/>
    <w:rsid w:val="00A70E32"/>
    <w:rsid w:val="00A76D83"/>
    <w:rsid w:val="00A92A15"/>
    <w:rsid w:val="00B10B40"/>
    <w:rsid w:val="00B16088"/>
    <w:rsid w:val="00B42922"/>
    <w:rsid w:val="00B4746A"/>
    <w:rsid w:val="00B52140"/>
    <w:rsid w:val="00B813D3"/>
    <w:rsid w:val="00BA09DC"/>
    <w:rsid w:val="00CA61F5"/>
    <w:rsid w:val="00D57524"/>
    <w:rsid w:val="00D8472D"/>
    <w:rsid w:val="00D87D92"/>
    <w:rsid w:val="00E3751D"/>
    <w:rsid w:val="00EB1861"/>
    <w:rsid w:val="00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51BA"/>
  <w15:docId w15:val="{3C72E5FB-2F5D-456A-A611-775C4B2F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7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D0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0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F451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9D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360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B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B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B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B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7E1022-7F0E-AC4F-A26D-C0A939A5535C}">
  <we:reference id="wa200001482" version="1.0.5.0" store="en-US" storeType="OMEX"/>
  <we:alternateReferences>
    <we:reference id="wa200001482" version="1.0.5.0" store="en-US" storeType="OMEX"/>
  </we:alternateReferences>
  <we:properties>
    <we:property name="cache" value="{}"/>
    <we:property name="user-choices" value="{&quot;e8ac6e6d751f710a9dcb15eae4f0e2f6&quot;:&quot;Description&quot;,&quot;7f7824ae9055cdc4b8e2486905561aa5&quot;:&quot;opposite—from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Pin Andrea</cp:lastModifiedBy>
  <cp:revision>2</cp:revision>
  <dcterms:created xsi:type="dcterms:W3CDTF">2024-02-12T06:41:00Z</dcterms:created>
  <dcterms:modified xsi:type="dcterms:W3CDTF">2024-02-12T06:41:00Z</dcterms:modified>
</cp:coreProperties>
</file>