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E322" w14:textId="77777777" w:rsidR="00292BA6" w:rsidRPr="00CC6684" w:rsidRDefault="00292BA6" w:rsidP="00CC6684">
      <w:pPr>
        <w:tabs>
          <w:tab w:val="left" w:pos="284"/>
        </w:tabs>
        <w:spacing w:line="240" w:lineRule="auto"/>
        <w:jc w:val="both"/>
        <w:rPr>
          <w:rFonts w:ascii="Garamond" w:eastAsia="Times New Roman" w:hAnsi="Garamond"/>
          <w:b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Name 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  <w:t>Surname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  <w:t>Enrollment nr.</w:t>
      </w:r>
    </w:p>
    <w:p w14:paraId="338781D8" w14:textId="77777777" w:rsidR="00292BA6" w:rsidRPr="00CC6684" w:rsidRDefault="00292BA6" w:rsidP="00CC6684">
      <w:pPr>
        <w:tabs>
          <w:tab w:val="left" w:pos="284"/>
        </w:tabs>
        <w:spacing w:line="240" w:lineRule="auto"/>
        <w:jc w:val="both"/>
        <w:rPr>
          <w:rFonts w:ascii="Garamond" w:eastAsia="Times New Roman" w:hAnsi="Garamond"/>
          <w:b/>
          <w:sz w:val="24"/>
          <w:szCs w:val="24"/>
          <w:lang w:val="en-US"/>
        </w:rPr>
      </w:pPr>
    </w:p>
    <w:p w14:paraId="035D794D" w14:textId="43405C81" w:rsidR="00292BA6" w:rsidRPr="00CC6684" w:rsidRDefault="00763811" w:rsidP="00CC6684">
      <w:pPr>
        <w:tabs>
          <w:tab w:val="left" w:pos="284"/>
        </w:tabs>
        <w:spacing w:line="240" w:lineRule="auto"/>
        <w:jc w:val="center"/>
        <w:rPr>
          <w:rFonts w:ascii="Garamond" w:eastAsia="Times New Roman" w:hAnsi="Garamond"/>
          <w:b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>Law &amp; Data EXAM</w:t>
      </w:r>
      <w:r w:rsidR="00CC6684"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      </w:t>
      </w:r>
      <w:r w:rsidR="00292BA6" w:rsidRPr="00CC6684">
        <w:rPr>
          <w:rFonts w:ascii="Garamond" w:eastAsia="Times New Roman" w:hAnsi="Garamond"/>
          <w:b/>
          <w:sz w:val="24"/>
          <w:szCs w:val="24"/>
          <w:lang w:val="en-US"/>
        </w:rPr>
        <w:t>Padova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–</w:t>
      </w:r>
      <w:r w:rsidR="00292BA6"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</w:t>
      </w:r>
      <w:r w:rsidR="00482671">
        <w:rPr>
          <w:rFonts w:ascii="Garamond" w:eastAsia="Times New Roman" w:hAnsi="Garamond"/>
          <w:b/>
          <w:sz w:val="24"/>
          <w:szCs w:val="24"/>
          <w:lang w:val="en-US"/>
        </w:rPr>
        <w:t>15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</w:t>
      </w:r>
      <w:r w:rsidR="00292BA6" w:rsidRPr="00CC6684">
        <w:rPr>
          <w:rFonts w:ascii="Garamond" w:eastAsia="Times New Roman" w:hAnsi="Garamond"/>
          <w:b/>
          <w:sz w:val="24"/>
          <w:szCs w:val="24"/>
          <w:lang w:val="en-US"/>
        </w:rPr>
        <w:t>Ju</w:t>
      </w:r>
      <w:r w:rsidR="00482671">
        <w:rPr>
          <w:rFonts w:ascii="Garamond" w:eastAsia="Times New Roman" w:hAnsi="Garamond"/>
          <w:b/>
          <w:sz w:val="24"/>
          <w:szCs w:val="24"/>
          <w:lang w:val="en-US"/>
        </w:rPr>
        <w:t>ly</w:t>
      </w:r>
      <w:r w:rsidR="00292BA6"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2024</w:t>
      </w:r>
    </w:p>
    <w:p w14:paraId="44A699C4" w14:textId="77777777" w:rsidR="00CC6684" w:rsidRDefault="00CC6684" w:rsidP="00CC6684">
      <w:pPr>
        <w:spacing w:line="240" w:lineRule="auto"/>
        <w:jc w:val="both"/>
        <w:rPr>
          <w:rFonts w:ascii="Garamond" w:hAnsi="Garamond"/>
          <w:i/>
          <w:iCs/>
          <w:sz w:val="24"/>
          <w:szCs w:val="24"/>
          <w:lang w:val="en-US"/>
        </w:rPr>
      </w:pPr>
    </w:p>
    <w:p w14:paraId="1AF5804C" w14:textId="1729892C" w:rsidR="009E3A8F" w:rsidRDefault="009E3A8F" w:rsidP="00CC6684">
      <w:pPr>
        <w:spacing w:line="240" w:lineRule="auto"/>
        <w:jc w:val="both"/>
        <w:rPr>
          <w:rFonts w:ascii="Garamond" w:hAnsi="Garamond"/>
          <w:i/>
          <w:iCs/>
          <w:sz w:val="24"/>
          <w:szCs w:val="24"/>
          <w:lang w:val="en-US"/>
        </w:rPr>
      </w:pPr>
      <w:r w:rsidRPr="00CC6684">
        <w:rPr>
          <w:rFonts w:ascii="Garamond" w:hAnsi="Garamond"/>
          <w:i/>
          <w:iCs/>
          <w:sz w:val="24"/>
          <w:szCs w:val="24"/>
          <w:lang w:val="en-US"/>
        </w:rPr>
        <w:t xml:space="preserve">Unintelligible answers may not be taken into consideration in calculating your final score. </w:t>
      </w:r>
    </w:p>
    <w:p w14:paraId="67C244B1" w14:textId="77777777" w:rsidR="00CC6684" w:rsidRPr="00CC6684" w:rsidRDefault="00CC6684" w:rsidP="00CC6684">
      <w:pPr>
        <w:spacing w:line="240" w:lineRule="auto"/>
        <w:jc w:val="both"/>
        <w:rPr>
          <w:rFonts w:ascii="Garamond" w:hAnsi="Garamond"/>
          <w:i/>
          <w:iCs/>
          <w:sz w:val="24"/>
          <w:szCs w:val="24"/>
          <w:lang w:val="en-US"/>
        </w:rPr>
      </w:pPr>
    </w:p>
    <w:p w14:paraId="00000001" w14:textId="5EF08A2D" w:rsidR="00901D08" w:rsidRPr="00CC6684" w:rsidRDefault="00482671" w:rsidP="00CC6684">
      <w:pPr>
        <w:numPr>
          <w:ilvl w:val="0"/>
          <w:numId w:val="1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Please describe in no more than 150 words the difference between EU regulations and directives.</w:t>
      </w:r>
      <w:r w:rsidRPr="00CC6684">
        <w:rPr>
          <w:rFonts w:ascii="Garamond" w:hAnsi="Garamond"/>
          <w:sz w:val="24"/>
          <w:szCs w:val="24"/>
          <w:lang w:val="en-US"/>
        </w:rPr>
        <w:t xml:space="preserve"> (up to </w:t>
      </w:r>
      <w:r w:rsidR="00CC6684" w:rsidRPr="00CC6684">
        <w:rPr>
          <w:rFonts w:ascii="Garamond" w:hAnsi="Garamond"/>
          <w:sz w:val="24"/>
          <w:szCs w:val="24"/>
          <w:lang w:val="en-US"/>
        </w:rPr>
        <w:t>6</w:t>
      </w:r>
      <w:r w:rsidRPr="00CC6684">
        <w:rPr>
          <w:rFonts w:ascii="Garamond" w:hAnsi="Garamond"/>
          <w:sz w:val="24"/>
          <w:szCs w:val="24"/>
          <w:lang w:val="en-US"/>
        </w:rPr>
        <w:t xml:space="preserve"> pts)</w:t>
      </w:r>
    </w:p>
    <w:p w14:paraId="0847F1F2" w14:textId="77777777" w:rsidR="00292BA6" w:rsidRPr="00CC6684" w:rsidRDefault="00292BA6" w:rsidP="00CC6684">
      <w:pPr>
        <w:spacing w:line="240" w:lineRule="auto"/>
        <w:rPr>
          <w:rFonts w:ascii="Garamond" w:hAnsi="Garamond"/>
          <w:sz w:val="24"/>
          <w:szCs w:val="24"/>
          <w:lang w:val="en-US"/>
        </w:rPr>
      </w:pPr>
    </w:p>
    <w:p w14:paraId="00000002" w14:textId="54C4C619" w:rsidR="00901D08" w:rsidRPr="00482671" w:rsidRDefault="00000000" w:rsidP="00CC6684">
      <w:pPr>
        <w:numPr>
          <w:ilvl w:val="0"/>
          <w:numId w:val="1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CC6684">
        <w:rPr>
          <w:rFonts w:ascii="Garamond" w:hAnsi="Garamond"/>
          <w:sz w:val="24"/>
          <w:szCs w:val="24"/>
          <w:lang w:val="en-US"/>
        </w:rPr>
        <w:t xml:space="preserve">What is the </w:t>
      </w:r>
      <w:r w:rsidR="00482671" w:rsidRPr="00CC6684">
        <w:rPr>
          <w:rFonts w:ascii="Garamond" w:hAnsi="Garamond"/>
          <w:sz w:val="24"/>
          <w:szCs w:val="24"/>
          <w:lang w:val="en-US"/>
        </w:rPr>
        <w:t>difference between</w:t>
      </w:r>
      <w:r w:rsidRPr="00CC6684">
        <w:rPr>
          <w:rFonts w:ascii="Garamond" w:hAnsi="Garamond"/>
          <w:sz w:val="24"/>
          <w:szCs w:val="24"/>
          <w:lang w:val="en-US"/>
        </w:rPr>
        <w:t xml:space="preserve"> </w:t>
      </w:r>
      <w:r w:rsidR="00482671">
        <w:rPr>
          <w:rFonts w:ascii="Garamond" w:hAnsi="Garamond"/>
          <w:sz w:val="24"/>
          <w:szCs w:val="24"/>
          <w:lang w:val="en-US"/>
        </w:rPr>
        <w:t>synthetic and anonymized data</w:t>
      </w:r>
      <w:r w:rsidRPr="00CC6684">
        <w:rPr>
          <w:rFonts w:ascii="Garamond" w:hAnsi="Garamond"/>
          <w:sz w:val="24"/>
          <w:szCs w:val="24"/>
          <w:lang w:val="en-US"/>
        </w:rPr>
        <w:t xml:space="preserve">? </w:t>
      </w:r>
      <w:r w:rsidRPr="00482671">
        <w:rPr>
          <w:rFonts w:ascii="Garamond" w:hAnsi="Garamond"/>
          <w:sz w:val="24"/>
          <w:szCs w:val="24"/>
          <w:lang w:val="en-US"/>
        </w:rPr>
        <w:t>(2 pts)</w:t>
      </w:r>
    </w:p>
    <w:p w14:paraId="00000003" w14:textId="674C6EEA" w:rsidR="00901D08" w:rsidRPr="00CC6684" w:rsidRDefault="00482671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u w:val="single"/>
          <w:lang w:val="en-US"/>
        </w:rPr>
        <w:t>Anonymized data lose most details and are therefore less useful to train algorithms</w:t>
      </w:r>
    </w:p>
    <w:p w14:paraId="00000004" w14:textId="08E37D82" w:rsidR="00901D08" w:rsidRPr="00CC6684" w:rsidRDefault="00482671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Anonymized data are covered by the GDPR, whereas synthetic data are not</w:t>
      </w:r>
    </w:p>
    <w:p w14:paraId="00000005" w14:textId="6E9329C9" w:rsidR="00901D08" w:rsidRPr="00CC6684" w:rsidRDefault="00482671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Synthetic data are covered by the GDPR, whereas anonymized data are not</w:t>
      </w:r>
    </w:p>
    <w:p w14:paraId="00000006" w14:textId="790CED6B" w:rsidR="00901D08" w:rsidRPr="00CC6684" w:rsidRDefault="00482671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Only anonymization can be reversed to reidentify individuals</w:t>
      </w:r>
    </w:p>
    <w:p w14:paraId="55C5FCC5" w14:textId="77777777" w:rsidR="00292BA6" w:rsidRPr="00CC6684" w:rsidRDefault="00292BA6" w:rsidP="00CC6684">
      <w:pPr>
        <w:tabs>
          <w:tab w:val="left" w:pos="284"/>
        </w:tabs>
        <w:spacing w:line="240" w:lineRule="auto"/>
        <w:rPr>
          <w:rFonts w:ascii="Garamond" w:hAnsi="Garamond"/>
          <w:sz w:val="24"/>
          <w:szCs w:val="24"/>
          <w:lang w:val="en-US"/>
        </w:rPr>
      </w:pPr>
    </w:p>
    <w:p w14:paraId="00000008" w14:textId="20ACA88B" w:rsidR="00901D08" w:rsidRPr="00CC6684" w:rsidRDefault="00482671" w:rsidP="00CC6684">
      <w:pPr>
        <w:pStyle w:val="Paragrafoelenco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Why is the protection of personal data insufficient to protect fundamental rights?</w:t>
      </w:r>
      <w:r w:rsidRPr="00CC6684">
        <w:rPr>
          <w:rFonts w:ascii="Garamond" w:hAnsi="Garamond"/>
          <w:sz w:val="24"/>
          <w:szCs w:val="24"/>
          <w:lang w:val="en-US"/>
        </w:rPr>
        <w:t xml:space="preserve"> (</w:t>
      </w:r>
      <w:r w:rsidR="00CC6684" w:rsidRPr="00CC6684">
        <w:rPr>
          <w:rFonts w:ascii="Garamond" w:hAnsi="Garamond"/>
          <w:sz w:val="24"/>
          <w:szCs w:val="24"/>
          <w:lang w:val="en-US"/>
        </w:rPr>
        <w:t>2</w:t>
      </w:r>
      <w:r w:rsidRPr="00CC6684">
        <w:rPr>
          <w:rFonts w:ascii="Garamond" w:hAnsi="Garamond"/>
          <w:sz w:val="24"/>
          <w:szCs w:val="24"/>
          <w:lang w:val="en-US"/>
        </w:rPr>
        <w:t xml:space="preserve"> pt)</w:t>
      </w:r>
    </w:p>
    <w:p w14:paraId="00000009" w14:textId="77727D03" w:rsidR="00901D08" w:rsidRPr="00CC6684" w:rsidRDefault="00482671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Because it only covers specific countries; there is no macroregional standardized regulation</w:t>
      </w:r>
    </w:p>
    <w:p w14:paraId="0000000A" w14:textId="1E648695" w:rsidR="00901D08" w:rsidRPr="00CC6684" w:rsidRDefault="00482671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u w:val="single"/>
          <w:lang w:val="en-US"/>
        </w:rPr>
        <w:t>Internet users cannot cope with massive consent requests when they visit websites</w:t>
      </w:r>
      <w:r w:rsidR="00127825">
        <w:rPr>
          <w:rFonts w:ascii="Garamond" w:hAnsi="Garamond"/>
          <w:sz w:val="24"/>
          <w:szCs w:val="24"/>
          <w:u w:val="single"/>
          <w:lang w:val="en-US"/>
        </w:rPr>
        <w:t xml:space="preserve"> </w:t>
      </w:r>
    </w:p>
    <w:p w14:paraId="0000000B" w14:textId="5770698B" w:rsidR="00901D08" w:rsidRPr="00127825" w:rsidRDefault="00127825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127825">
        <w:rPr>
          <w:rFonts w:ascii="Garamond" w:hAnsi="Garamond"/>
          <w:sz w:val="24"/>
          <w:szCs w:val="24"/>
          <w:lang w:val="en-US"/>
        </w:rPr>
        <w:t>Because AI doesn’t use p</w:t>
      </w:r>
      <w:r>
        <w:rPr>
          <w:rFonts w:ascii="Garamond" w:hAnsi="Garamond"/>
          <w:sz w:val="24"/>
          <w:szCs w:val="24"/>
          <w:lang w:val="en-US"/>
        </w:rPr>
        <w:t>ersonal data</w:t>
      </w:r>
    </w:p>
    <w:p w14:paraId="1C2493AD" w14:textId="4C379126" w:rsidR="00292BA6" w:rsidRPr="00127825" w:rsidRDefault="00127825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127825">
        <w:rPr>
          <w:rFonts w:ascii="Garamond" w:hAnsi="Garamond"/>
          <w:sz w:val="24"/>
          <w:szCs w:val="24"/>
          <w:lang w:val="en-US"/>
        </w:rPr>
        <w:t>Because AI can be b</w:t>
      </w:r>
      <w:r>
        <w:rPr>
          <w:rFonts w:ascii="Garamond" w:hAnsi="Garamond"/>
          <w:sz w:val="24"/>
          <w:szCs w:val="24"/>
          <w:lang w:val="en-US"/>
        </w:rPr>
        <w:t>iased.</w:t>
      </w:r>
    </w:p>
    <w:p w14:paraId="719F438B" w14:textId="77777777" w:rsidR="00292BA6" w:rsidRPr="00127825" w:rsidRDefault="00292BA6" w:rsidP="00CC6684">
      <w:pPr>
        <w:spacing w:line="240" w:lineRule="auto"/>
        <w:rPr>
          <w:rFonts w:ascii="Garamond" w:hAnsi="Garamond"/>
          <w:sz w:val="24"/>
          <w:szCs w:val="24"/>
          <w:lang w:val="en-US"/>
        </w:rPr>
      </w:pPr>
    </w:p>
    <w:p w14:paraId="37FF7F43" w14:textId="423BE0EF" w:rsidR="00292BA6" w:rsidRPr="000A7665" w:rsidRDefault="00292BA6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The European Data Protection </w:t>
      </w:r>
      <w:r w:rsidR="000A7665"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Supervisor </w:t>
      </w:r>
      <w:r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>(2 pts):</w:t>
      </w:r>
    </w:p>
    <w:p w14:paraId="5FC1F2F2" w14:textId="51853975" w:rsidR="00292BA6" w:rsidRPr="000A7665" w:rsidRDefault="000A7665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gathers the European Data Protection Board and </w:t>
      </w:r>
      <w:r w:rsidR="005A7D30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the </w:t>
      </w:r>
      <w:r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>National Supervisory Authorities</w:t>
      </w:r>
    </w:p>
    <w:p w14:paraId="2E92244D" w14:textId="208E5E01" w:rsidR="00292BA6" w:rsidRPr="000A7665" w:rsidRDefault="000A7665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0A7665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 xml:space="preserve">is </w:t>
      </w:r>
      <w:r w:rsidR="005A7D30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responsible</w:t>
      </w:r>
      <w:r w:rsidRPr="000A7665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 xml:space="preserve"> </w:t>
      </w:r>
      <w:r w:rsidR="005A7D30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for</w:t>
      </w:r>
      <w:r w:rsidRPr="000A7665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 xml:space="preserve"> handl</w:t>
      </w:r>
      <w:r w:rsidR="005A7D30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ing</w:t>
      </w:r>
      <w:r w:rsidRPr="000A7665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 xml:space="preserve"> </w:t>
      </w:r>
      <w:r w:rsidR="005A7D30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 xml:space="preserve">individuals’ reports of </w:t>
      </w:r>
      <w:r w:rsidRPr="000A7665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data breaches committed by EU institutions</w:t>
      </w:r>
      <w:r w:rsidR="005A7D30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 xml:space="preserve"> only</w:t>
      </w:r>
    </w:p>
    <w:p w14:paraId="37877783" w14:textId="3FA6B1EE" w:rsidR="00292BA6" w:rsidRPr="000A7665" w:rsidRDefault="000A7665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is in charge </w:t>
      </w:r>
      <w:r w:rsidR="005A7D30">
        <w:rPr>
          <w:rFonts w:ascii="Garamond" w:eastAsia="Times New Roman" w:hAnsi="Garamond"/>
          <w:color w:val="000000"/>
          <w:sz w:val="24"/>
          <w:szCs w:val="24"/>
          <w:lang w:val="en-US"/>
        </w:rPr>
        <w:t>for</w:t>
      </w:r>
      <w:r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</w:t>
      </w:r>
      <w:r w:rsidR="005A7D30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handling </w:t>
      </w:r>
      <w:r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any </w:t>
      </w:r>
      <w:r w:rsidR="005A7D30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report of personal data </w:t>
      </w:r>
      <w:r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>breach committed by any entity within the EU</w:t>
      </w:r>
    </w:p>
    <w:p w14:paraId="5437975D" w14:textId="77777777" w:rsidR="00292BA6" w:rsidRPr="00127825" w:rsidRDefault="00292BA6" w:rsidP="00CC6684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highlight w:val="yellow"/>
          <w:lang w:val="en-US"/>
        </w:rPr>
      </w:pPr>
    </w:p>
    <w:p w14:paraId="7104D4C7" w14:textId="462F5652" w:rsidR="00292BA6" w:rsidRPr="000A7665" w:rsidRDefault="00292BA6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Please </w:t>
      </w:r>
      <w:r w:rsidR="005A7D30">
        <w:rPr>
          <w:rFonts w:ascii="Garamond" w:eastAsia="Times New Roman" w:hAnsi="Garamond"/>
          <w:color w:val="000000"/>
          <w:sz w:val="24"/>
          <w:szCs w:val="24"/>
          <w:lang w:val="en-US"/>
        </w:rPr>
        <w:t>explain</w:t>
      </w:r>
      <w:r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</w:t>
      </w:r>
      <w:r w:rsidR="00002923"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how the right to </w:t>
      </w:r>
      <w:r w:rsidR="000A7665"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personal data protection is regulated in EU primary law </w:t>
      </w:r>
      <w:r w:rsidR="008E58D4"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in no more than </w:t>
      </w:r>
      <w:r w:rsidR="000A7665"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200 </w:t>
      </w:r>
      <w:r w:rsidR="008E58D4"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>words</w:t>
      </w:r>
      <w:r w:rsidR="005A7D30">
        <w:rPr>
          <w:rFonts w:ascii="Garamond" w:eastAsia="Times New Roman" w:hAnsi="Garamond"/>
          <w:color w:val="000000"/>
          <w:sz w:val="24"/>
          <w:szCs w:val="24"/>
          <w:lang w:val="en-US"/>
        </w:rPr>
        <w:t>.</w:t>
      </w:r>
      <w:r w:rsidR="00002923" w:rsidRPr="000A766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(up to 6 pts)</w:t>
      </w:r>
    </w:p>
    <w:p w14:paraId="49ECE890" w14:textId="77777777" w:rsidR="00292BA6" w:rsidRPr="005A7D30" w:rsidRDefault="00292BA6" w:rsidP="00CC6684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</w:p>
    <w:p w14:paraId="02A65B46" w14:textId="45EFB8C1" w:rsidR="00292BA6" w:rsidRPr="005A7D30" w:rsidRDefault="00292BA6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Please </w:t>
      </w:r>
      <w:r w:rsidR="005A7D30"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describe </w:t>
      </w:r>
      <w:r w:rsidR="000A7665"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the main subjects involved in personal data processing activities and </w:t>
      </w:r>
      <w:r w:rsidR="005A7D30"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>their rights and obligations according to the GDPR in</w:t>
      </w:r>
      <w:r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no more than </w:t>
      </w:r>
      <w:r w:rsidR="005A7D30"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>200</w:t>
      </w:r>
      <w:r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words. (up to 8 pts)</w:t>
      </w:r>
    </w:p>
    <w:p w14:paraId="6D10F4FC" w14:textId="77777777" w:rsidR="008E58D4" w:rsidRPr="00127825" w:rsidRDefault="008E58D4" w:rsidP="00CC6684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highlight w:val="yellow"/>
          <w:lang w:val="en-US"/>
        </w:rPr>
      </w:pPr>
    </w:p>
    <w:p w14:paraId="5B57301F" w14:textId="13567601" w:rsidR="00292BA6" w:rsidRPr="005A7D30" w:rsidRDefault="002F0866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The </w:t>
      </w:r>
      <w:r w:rsidR="005A7D30"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>E-Privacy Directive</w:t>
      </w:r>
      <w:r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(up to 2 pts)</w:t>
      </w:r>
      <w:r w:rsidR="005A7D30"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>:</w:t>
      </w:r>
    </w:p>
    <w:p w14:paraId="34A779F6" w14:textId="53BE38A3" w:rsidR="005A7D30" w:rsidRPr="005A7D30" w:rsidRDefault="005A7D30" w:rsidP="00CC6684">
      <w:pPr>
        <w:pStyle w:val="Paragrafoelenco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>provides for personal data protection in processing activities carried out by EU institutions</w:t>
      </w:r>
    </w:p>
    <w:p w14:paraId="658BE6A2" w14:textId="21A7475B" w:rsidR="005A7D30" w:rsidRPr="005A7D30" w:rsidRDefault="005A7D30" w:rsidP="00CC6684">
      <w:pPr>
        <w:pStyle w:val="Paragrafoelenco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>was directly applicable in every Member State since its entry into force</w:t>
      </w:r>
    </w:p>
    <w:p w14:paraId="71B4E98A" w14:textId="30D51322" w:rsidR="005A7D30" w:rsidRPr="005A7D30" w:rsidRDefault="005A7D30" w:rsidP="00CC6684">
      <w:pPr>
        <w:pStyle w:val="Paragrafoelenco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5A7D30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 xml:space="preserve">needed to be implemented in any Member State </w:t>
      </w:r>
    </w:p>
    <w:p w14:paraId="037F87CD" w14:textId="38115043" w:rsidR="005A7D30" w:rsidRPr="005A7D30" w:rsidRDefault="005A7D30" w:rsidP="00CC6684">
      <w:pPr>
        <w:pStyle w:val="Paragrafoelenco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5A7D30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regulates personal data processing in connection with public communications services in public communications networks within the EU</w:t>
      </w:r>
    </w:p>
    <w:p w14:paraId="21DE3726" w14:textId="77777777" w:rsidR="005A7D30" w:rsidRPr="005A7D30" w:rsidRDefault="005A7D30" w:rsidP="005A7D30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</w:p>
    <w:p w14:paraId="5F08AB97" w14:textId="77777777" w:rsidR="005A7D30" w:rsidRPr="005A7D30" w:rsidRDefault="005A7D30" w:rsidP="005A7D30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</w:p>
    <w:p w14:paraId="7C23814F" w14:textId="3ECC7EF5" w:rsidR="002F0866" w:rsidRPr="005A7D30" w:rsidRDefault="005A7D30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>The European Electronic Communications Code (so-called Recast Directive)</w:t>
      </w:r>
      <w:r w:rsidR="002F0866"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(up to 2 pts):</w:t>
      </w:r>
    </w:p>
    <w:p w14:paraId="089D69F3" w14:textId="57689C15" w:rsidR="005A7D30" w:rsidRPr="005A7D30" w:rsidRDefault="005A7D30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5A7D30">
        <w:rPr>
          <w:rFonts w:ascii="Garamond" w:eastAsia="Times New Roman" w:hAnsi="Garamond"/>
          <w:color w:val="000000"/>
          <w:sz w:val="24"/>
          <w:szCs w:val="24"/>
          <w:lang w:val="en-US"/>
        </w:rPr>
        <w:t>deals with personal data processing activities in the communication industry</w:t>
      </w:r>
    </w:p>
    <w:p w14:paraId="499F68D3" w14:textId="2FF1AC1E" w:rsidR="005A7D30" w:rsidRPr="005A7D30" w:rsidRDefault="005A7D30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5A7D30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aims at ensuring equal and fair access to electronic communications services, promoting at the same time connectivity across the EU</w:t>
      </w:r>
    </w:p>
    <w:p w14:paraId="740C41A4" w14:textId="0811C92D" w:rsidR="005A7D30" w:rsidRPr="005A7D30" w:rsidRDefault="005A7D30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5A7D30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 xml:space="preserve">does not concern personal data processing activities </w:t>
      </w:r>
    </w:p>
    <w:sectPr w:rsidR="005A7D30" w:rsidRPr="005A7D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2F64"/>
    <w:multiLevelType w:val="multilevel"/>
    <w:tmpl w:val="984AE2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BB57EC"/>
    <w:multiLevelType w:val="multilevel"/>
    <w:tmpl w:val="793E9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D161D6"/>
    <w:multiLevelType w:val="multilevel"/>
    <w:tmpl w:val="90F6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75EB0"/>
    <w:multiLevelType w:val="multilevel"/>
    <w:tmpl w:val="8A9C20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36588153">
    <w:abstractNumId w:val="1"/>
  </w:num>
  <w:num w:numId="2" w16cid:durableId="890076193">
    <w:abstractNumId w:val="0"/>
  </w:num>
  <w:num w:numId="3" w16cid:durableId="1294753954">
    <w:abstractNumId w:val="3"/>
  </w:num>
  <w:num w:numId="4" w16cid:durableId="1217164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D08"/>
    <w:rsid w:val="00002923"/>
    <w:rsid w:val="000A7665"/>
    <w:rsid w:val="000C7D1B"/>
    <w:rsid w:val="00127825"/>
    <w:rsid w:val="00292BA6"/>
    <w:rsid w:val="002F0866"/>
    <w:rsid w:val="00375555"/>
    <w:rsid w:val="003979DB"/>
    <w:rsid w:val="00482671"/>
    <w:rsid w:val="005A7D30"/>
    <w:rsid w:val="0069690E"/>
    <w:rsid w:val="006E5533"/>
    <w:rsid w:val="0074663F"/>
    <w:rsid w:val="00763811"/>
    <w:rsid w:val="008E58D4"/>
    <w:rsid w:val="00901D08"/>
    <w:rsid w:val="009E3A8F"/>
    <w:rsid w:val="00A55356"/>
    <w:rsid w:val="00B457E4"/>
    <w:rsid w:val="00CC6684"/>
    <w:rsid w:val="00E7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5D5D"/>
  <w15:docId w15:val="{ECC3FB58-3427-BF42-A1C3-64C73F51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imandocommento">
    <w:name w:val="annotation reference"/>
    <w:basedOn w:val="Carpredefinitoparagrafo"/>
    <w:uiPriority w:val="99"/>
    <w:semiHidden/>
    <w:unhideWhenUsed/>
    <w:rsid w:val="00292BA6"/>
    <w:rPr>
      <w:sz w:val="16"/>
      <w:szCs w:val="16"/>
    </w:rPr>
  </w:style>
  <w:style w:type="paragraph" w:styleId="Paragrafoelenco">
    <w:name w:val="List Paragraph"/>
    <w:basedOn w:val="Normale"/>
    <w:uiPriority w:val="34"/>
    <w:qFormat/>
    <w:rsid w:val="0029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LT</cp:lastModifiedBy>
  <cp:revision>2</cp:revision>
  <dcterms:created xsi:type="dcterms:W3CDTF">2024-06-27T15:39:00Z</dcterms:created>
  <dcterms:modified xsi:type="dcterms:W3CDTF">2024-06-27T15:39:00Z</dcterms:modified>
</cp:coreProperties>
</file>