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proofErr w:type="gramStart"/>
      <w:r>
        <w:rPr>
          <w:rStyle w:val="Enfasicorsivo"/>
          <w:rFonts w:ascii="Aptos" w:hAnsi="Aptos"/>
          <w:sz w:val="24"/>
          <w:szCs w:val="24"/>
        </w:rPr>
        <w:t xml:space="preserve">Master’s Degree in </w:t>
      </w:r>
      <w:r w:rsidR="006B778E">
        <w:rPr>
          <w:rStyle w:val="Enfasicorsivo"/>
          <w:rFonts w:ascii="Aptos" w:hAnsi="Aptos"/>
          <w:sz w:val="24"/>
          <w:szCs w:val="24"/>
        </w:rPr>
        <w:t>Data Science</w:t>
      </w:r>
      <w:proofErr w:type="gramEnd"/>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2A80D19B" w14:textId="6CD81BC6" w:rsidR="007727AD" w:rsidRDefault="00690ABA">
          <w:pPr>
            <w:pStyle w:val="Sommario1"/>
            <w:tabs>
              <w:tab w:val="right" w:leader="dot" w:pos="9628"/>
            </w:tabs>
            <w:rPr>
              <w:rFonts w:eastAsiaTheme="minorEastAsia"/>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82128440" w:history="1">
            <w:r w:rsidR="007727AD" w:rsidRPr="0022083F">
              <w:rPr>
                <w:rStyle w:val="Collegamentoipertestuale"/>
                <w:rFonts w:ascii="Aptos" w:hAnsi="Aptos"/>
                <w:b/>
                <w:bCs/>
                <w:noProof/>
              </w:rPr>
              <w:t>1. Laws, legal systems and sources of law</w:t>
            </w:r>
            <w:r w:rsidR="007727AD">
              <w:rPr>
                <w:noProof/>
                <w:webHidden/>
              </w:rPr>
              <w:tab/>
            </w:r>
            <w:r w:rsidR="007727AD">
              <w:rPr>
                <w:noProof/>
                <w:webHidden/>
              </w:rPr>
              <w:fldChar w:fldCharType="begin"/>
            </w:r>
            <w:r w:rsidR="007727AD">
              <w:rPr>
                <w:noProof/>
                <w:webHidden/>
              </w:rPr>
              <w:instrText xml:space="preserve"> PAGEREF _Toc182128440 \h </w:instrText>
            </w:r>
            <w:r w:rsidR="007727AD">
              <w:rPr>
                <w:noProof/>
                <w:webHidden/>
              </w:rPr>
            </w:r>
            <w:r w:rsidR="007727AD">
              <w:rPr>
                <w:noProof/>
                <w:webHidden/>
              </w:rPr>
              <w:fldChar w:fldCharType="separate"/>
            </w:r>
            <w:r w:rsidR="007727AD">
              <w:rPr>
                <w:noProof/>
                <w:webHidden/>
              </w:rPr>
              <w:t>3</w:t>
            </w:r>
            <w:r w:rsidR="007727AD">
              <w:rPr>
                <w:noProof/>
                <w:webHidden/>
              </w:rPr>
              <w:fldChar w:fldCharType="end"/>
            </w:r>
          </w:hyperlink>
        </w:p>
        <w:p w14:paraId="2AF5FE87" w14:textId="448B03A5" w:rsidR="007727AD" w:rsidRDefault="007727AD">
          <w:pPr>
            <w:pStyle w:val="Sommario1"/>
            <w:tabs>
              <w:tab w:val="right" w:leader="dot" w:pos="9628"/>
            </w:tabs>
            <w:rPr>
              <w:rFonts w:eastAsiaTheme="minorEastAsia"/>
              <w:noProof/>
              <w:sz w:val="24"/>
              <w:szCs w:val="24"/>
              <w:lang w:val="it-IT" w:eastAsia="it-IT"/>
            </w:rPr>
          </w:pPr>
          <w:hyperlink w:anchor="_Toc182128441" w:history="1">
            <w:r w:rsidRPr="0022083F">
              <w:rPr>
                <w:rStyle w:val="Collegamentoipertestuale"/>
                <w:rFonts w:ascii="Aptos" w:hAnsi="Aptos"/>
                <w:b/>
                <w:bCs/>
                <w:noProof/>
              </w:rPr>
              <w:t>2. European Union (EU)</w:t>
            </w:r>
            <w:r>
              <w:rPr>
                <w:noProof/>
                <w:webHidden/>
              </w:rPr>
              <w:tab/>
            </w:r>
            <w:r>
              <w:rPr>
                <w:noProof/>
                <w:webHidden/>
              </w:rPr>
              <w:fldChar w:fldCharType="begin"/>
            </w:r>
            <w:r>
              <w:rPr>
                <w:noProof/>
                <w:webHidden/>
              </w:rPr>
              <w:instrText xml:space="preserve"> PAGEREF _Toc182128441 \h </w:instrText>
            </w:r>
            <w:r>
              <w:rPr>
                <w:noProof/>
                <w:webHidden/>
              </w:rPr>
            </w:r>
            <w:r>
              <w:rPr>
                <w:noProof/>
                <w:webHidden/>
              </w:rPr>
              <w:fldChar w:fldCharType="separate"/>
            </w:r>
            <w:r>
              <w:rPr>
                <w:noProof/>
                <w:webHidden/>
              </w:rPr>
              <w:t>6</w:t>
            </w:r>
            <w:r>
              <w:rPr>
                <w:noProof/>
                <w:webHidden/>
              </w:rPr>
              <w:fldChar w:fldCharType="end"/>
            </w:r>
          </w:hyperlink>
        </w:p>
        <w:p w14:paraId="3A324501" w14:textId="2F6D9AFA" w:rsidR="007727AD" w:rsidRDefault="007727AD">
          <w:pPr>
            <w:pStyle w:val="Sommario2"/>
            <w:tabs>
              <w:tab w:val="right" w:leader="dot" w:pos="9628"/>
            </w:tabs>
            <w:rPr>
              <w:rFonts w:eastAsiaTheme="minorEastAsia"/>
              <w:noProof/>
              <w:sz w:val="24"/>
              <w:szCs w:val="24"/>
              <w:lang w:val="it-IT" w:eastAsia="it-IT"/>
            </w:rPr>
          </w:pPr>
          <w:hyperlink w:anchor="_Toc182128442" w:history="1">
            <w:r w:rsidRPr="0022083F">
              <w:rPr>
                <w:rStyle w:val="Collegamentoipertestuale"/>
                <w:rFonts w:ascii="Aptos" w:hAnsi="Aptos"/>
                <w:b/>
                <w:bCs/>
                <w:noProof/>
              </w:rPr>
              <w:t>2.1 Hierarchy of sources of law in EU</w:t>
            </w:r>
            <w:r>
              <w:rPr>
                <w:noProof/>
                <w:webHidden/>
              </w:rPr>
              <w:tab/>
            </w:r>
            <w:r>
              <w:rPr>
                <w:noProof/>
                <w:webHidden/>
              </w:rPr>
              <w:fldChar w:fldCharType="begin"/>
            </w:r>
            <w:r>
              <w:rPr>
                <w:noProof/>
                <w:webHidden/>
              </w:rPr>
              <w:instrText xml:space="preserve"> PAGEREF _Toc182128442 \h </w:instrText>
            </w:r>
            <w:r>
              <w:rPr>
                <w:noProof/>
                <w:webHidden/>
              </w:rPr>
            </w:r>
            <w:r>
              <w:rPr>
                <w:noProof/>
                <w:webHidden/>
              </w:rPr>
              <w:fldChar w:fldCharType="separate"/>
            </w:r>
            <w:r>
              <w:rPr>
                <w:noProof/>
                <w:webHidden/>
              </w:rPr>
              <w:t>8</w:t>
            </w:r>
            <w:r>
              <w:rPr>
                <w:noProof/>
                <w:webHidden/>
              </w:rPr>
              <w:fldChar w:fldCharType="end"/>
            </w:r>
          </w:hyperlink>
        </w:p>
        <w:p w14:paraId="358E078A" w14:textId="7FB386D3" w:rsidR="007727AD" w:rsidRDefault="007727AD">
          <w:pPr>
            <w:pStyle w:val="Sommario3"/>
            <w:tabs>
              <w:tab w:val="right" w:leader="dot" w:pos="9628"/>
            </w:tabs>
            <w:rPr>
              <w:rFonts w:eastAsiaTheme="minorEastAsia"/>
              <w:noProof/>
              <w:sz w:val="24"/>
              <w:szCs w:val="24"/>
              <w:lang w:val="it-IT" w:eastAsia="it-IT"/>
            </w:rPr>
          </w:pPr>
          <w:hyperlink w:anchor="_Toc182128443" w:history="1">
            <w:r w:rsidRPr="0022083F">
              <w:rPr>
                <w:rStyle w:val="Collegamentoipertestuale"/>
                <w:rFonts w:ascii="Aptos" w:hAnsi="Aptos"/>
                <w:b/>
                <w:bCs/>
                <w:noProof/>
              </w:rPr>
              <w:t>2.1.1 Primary Law</w:t>
            </w:r>
            <w:r>
              <w:rPr>
                <w:noProof/>
                <w:webHidden/>
              </w:rPr>
              <w:tab/>
            </w:r>
            <w:r>
              <w:rPr>
                <w:noProof/>
                <w:webHidden/>
              </w:rPr>
              <w:fldChar w:fldCharType="begin"/>
            </w:r>
            <w:r>
              <w:rPr>
                <w:noProof/>
                <w:webHidden/>
              </w:rPr>
              <w:instrText xml:space="preserve"> PAGEREF _Toc182128443 \h </w:instrText>
            </w:r>
            <w:r>
              <w:rPr>
                <w:noProof/>
                <w:webHidden/>
              </w:rPr>
            </w:r>
            <w:r>
              <w:rPr>
                <w:noProof/>
                <w:webHidden/>
              </w:rPr>
              <w:fldChar w:fldCharType="separate"/>
            </w:r>
            <w:r>
              <w:rPr>
                <w:noProof/>
                <w:webHidden/>
              </w:rPr>
              <w:t>9</w:t>
            </w:r>
            <w:r>
              <w:rPr>
                <w:noProof/>
                <w:webHidden/>
              </w:rPr>
              <w:fldChar w:fldCharType="end"/>
            </w:r>
          </w:hyperlink>
        </w:p>
        <w:p w14:paraId="24C3FA3F" w14:textId="65082210" w:rsidR="007727AD" w:rsidRDefault="007727AD">
          <w:pPr>
            <w:pStyle w:val="Sommario3"/>
            <w:tabs>
              <w:tab w:val="right" w:leader="dot" w:pos="9628"/>
            </w:tabs>
            <w:rPr>
              <w:rFonts w:eastAsiaTheme="minorEastAsia"/>
              <w:noProof/>
              <w:sz w:val="24"/>
              <w:szCs w:val="24"/>
              <w:lang w:val="it-IT" w:eastAsia="it-IT"/>
            </w:rPr>
          </w:pPr>
          <w:hyperlink w:anchor="_Toc182128444" w:history="1">
            <w:r w:rsidRPr="0022083F">
              <w:rPr>
                <w:rStyle w:val="Collegamentoipertestuale"/>
                <w:rFonts w:ascii="Aptos" w:hAnsi="Aptos"/>
                <w:b/>
                <w:bCs/>
                <w:noProof/>
              </w:rPr>
              <w:t>2.1.2 International Agreements</w:t>
            </w:r>
            <w:r>
              <w:rPr>
                <w:noProof/>
                <w:webHidden/>
              </w:rPr>
              <w:tab/>
            </w:r>
            <w:r>
              <w:rPr>
                <w:noProof/>
                <w:webHidden/>
              </w:rPr>
              <w:fldChar w:fldCharType="begin"/>
            </w:r>
            <w:r>
              <w:rPr>
                <w:noProof/>
                <w:webHidden/>
              </w:rPr>
              <w:instrText xml:space="preserve"> PAGEREF _Toc182128444 \h </w:instrText>
            </w:r>
            <w:r>
              <w:rPr>
                <w:noProof/>
                <w:webHidden/>
              </w:rPr>
            </w:r>
            <w:r>
              <w:rPr>
                <w:noProof/>
                <w:webHidden/>
              </w:rPr>
              <w:fldChar w:fldCharType="separate"/>
            </w:r>
            <w:r>
              <w:rPr>
                <w:noProof/>
                <w:webHidden/>
              </w:rPr>
              <w:t>10</w:t>
            </w:r>
            <w:r>
              <w:rPr>
                <w:noProof/>
                <w:webHidden/>
              </w:rPr>
              <w:fldChar w:fldCharType="end"/>
            </w:r>
          </w:hyperlink>
        </w:p>
        <w:p w14:paraId="0D6416CF" w14:textId="25AEACCA" w:rsidR="007727AD" w:rsidRDefault="007727AD">
          <w:pPr>
            <w:pStyle w:val="Sommario3"/>
            <w:tabs>
              <w:tab w:val="right" w:leader="dot" w:pos="9628"/>
            </w:tabs>
            <w:rPr>
              <w:rFonts w:eastAsiaTheme="minorEastAsia"/>
              <w:noProof/>
              <w:sz w:val="24"/>
              <w:szCs w:val="24"/>
              <w:lang w:val="it-IT" w:eastAsia="it-IT"/>
            </w:rPr>
          </w:pPr>
          <w:hyperlink w:anchor="_Toc182128445" w:history="1">
            <w:r w:rsidRPr="0022083F">
              <w:rPr>
                <w:rStyle w:val="Collegamentoipertestuale"/>
                <w:rFonts w:ascii="Aptos" w:hAnsi="Aptos"/>
                <w:b/>
                <w:bCs/>
                <w:noProof/>
              </w:rPr>
              <w:t>2.1.3 Secondary Law</w:t>
            </w:r>
            <w:r>
              <w:rPr>
                <w:noProof/>
                <w:webHidden/>
              </w:rPr>
              <w:tab/>
            </w:r>
            <w:r>
              <w:rPr>
                <w:noProof/>
                <w:webHidden/>
              </w:rPr>
              <w:fldChar w:fldCharType="begin"/>
            </w:r>
            <w:r>
              <w:rPr>
                <w:noProof/>
                <w:webHidden/>
              </w:rPr>
              <w:instrText xml:space="preserve"> PAGEREF _Toc182128445 \h </w:instrText>
            </w:r>
            <w:r>
              <w:rPr>
                <w:noProof/>
                <w:webHidden/>
              </w:rPr>
            </w:r>
            <w:r>
              <w:rPr>
                <w:noProof/>
                <w:webHidden/>
              </w:rPr>
              <w:fldChar w:fldCharType="separate"/>
            </w:r>
            <w:r>
              <w:rPr>
                <w:noProof/>
                <w:webHidden/>
              </w:rPr>
              <w:t>10</w:t>
            </w:r>
            <w:r>
              <w:rPr>
                <w:noProof/>
                <w:webHidden/>
              </w:rPr>
              <w:fldChar w:fldCharType="end"/>
            </w:r>
          </w:hyperlink>
        </w:p>
        <w:p w14:paraId="53CBC775" w14:textId="7BC6007B" w:rsidR="007727AD" w:rsidRDefault="007727AD">
          <w:pPr>
            <w:pStyle w:val="Sommario2"/>
            <w:tabs>
              <w:tab w:val="right" w:leader="dot" w:pos="9628"/>
            </w:tabs>
            <w:rPr>
              <w:rFonts w:eastAsiaTheme="minorEastAsia"/>
              <w:noProof/>
              <w:sz w:val="24"/>
              <w:szCs w:val="24"/>
              <w:lang w:val="it-IT" w:eastAsia="it-IT"/>
            </w:rPr>
          </w:pPr>
          <w:hyperlink w:anchor="_Toc182128446" w:history="1">
            <w:r w:rsidRPr="0022083F">
              <w:rPr>
                <w:rStyle w:val="Collegamentoipertestuale"/>
                <w:rFonts w:ascii="Aptos" w:hAnsi="Aptos"/>
                <w:b/>
                <w:bCs/>
                <w:noProof/>
              </w:rPr>
              <w:t>2.2 EU institutions</w:t>
            </w:r>
            <w:r>
              <w:rPr>
                <w:noProof/>
                <w:webHidden/>
              </w:rPr>
              <w:tab/>
            </w:r>
            <w:r>
              <w:rPr>
                <w:noProof/>
                <w:webHidden/>
              </w:rPr>
              <w:fldChar w:fldCharType="begin"/>
            </w:r>
            <w:r>
              <w:rPr>
                <w:noProof/>
                <w:webHidden/>
              </w:rPr>
              <w:instrText xml:space="preserve"> PAGEREF _Toc182128446 \h </w:instrText>
            </w:r>
            <w:r>
              <w:rPr>
                <w:noProof/>
                <w:webHidden/>
              </w:rPr>
            </w:r>
            <w:r>
              <w:rPr>
                <w:noProof/>
                <w:webHidden/>
              </w:rPr>
              <w:fldChar w:fldCharType="separate"/>
            </w:r>
            <w:r>
              <w:rPr>
                <w:noProof/>
                <w:webHidden/>
              </w:rPr>
              <w:t>10</w:t>
            </w:r>
            <w:r>
              <w:rPr>
                <w:noProof/>
                <w:webHidden/>
              </w:rPr>
              <w:fldChar w:fldCharType="end"/>
            </w:r>
          </w:hyperlink>
        </w:p>
        <w:p w14:paraId="10BCC530" w14:textId="4BAFBF8D"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D338429" w14:textId="77777777" w:rsidR="003A3E5A" w:rsidRDefault="003A3E5A" w:rsidP="00717B60">
      <w:pPr>
        <w:spacing w:after="0"/>
        <w:rPr>
          <w:rFonts w:ascii="Aptos" w:hAnsi="Aptos"/>
          <w:sz w:val="24"/>
          <w:szCs w:val="24"/>
        </w:rPr>
      </w:pPr>
    </w:p>
    <w:p w14:paraId="090D7AA1" w14:textId="77777777" w:rsidR="003A3E5A" w:rsidRDefault="003A3E5A" w:rsidP="00717B60">
      <w:pPr>
        <w:spacing w:after="0"/>
        <w:rPr>
          <w:rFonts w:ascii="Aptos" w:hAnsi="Aptos"/>
          <w:sz w:val="24"/>
          <w:szCs w:val="24"/>
        </w:rPr>
      </w:pPr>
    </w:p>
    <w:p w14:paraId="03E46266" w14:textId="77777777" w:rsidR="003A3E5A" w:rsidRDefault="003A3E5A" w:rsidP="00717B60">
      <w:pPr>
        <w:spacing w:after="0"/>
        <w:rPr>
          <w:rFonts w:ascii="Aptos" w:hAnsi="Aptos"/>
          <w:sz w:val="24"/>
          <w:szCs w:val="24"/>
        </w:rPr>
      </w:pPr>
    </w:p>
    <w:p w14:paraId="6267A7B5" w14:textId="77777777" w:rsidR="003A3E5A" w:rsidRDefault="003A3E5A" w:rsidP="00717B60">
      <w:pPr>
        <w:spacing w:after="0"/>
        <w:rPr>
          <w:rFonts w:ascii="Aptos" w:hAnsi="Aptos"/>
          <w:sz w:val="24"/>
          <w:szCs w:val="24"/>
        </w:rPr>
      </w:pPr>
    </w:p>
    <w:p w14:paraId="4ED578A4" w14:textId="77777777" w:rsidR="003A3E5A" w:rsidRDefault="003A3E5A" w:rsidP="00717B60">
      <w:pPr>
        <w:spacing w:after="0"/>
        <w:rPr>
          <w:rFonts w:ascii="Aptos" w:hAnsi="Aptos"/>
          <w:sz w:val="24"/>
          <w:szCs w:val="24"/>
        </w:rPr>
      </w:pPr>
    </w:p>
    <w:p w14:paraId="107AC47D" w14:textId="77777777" w:rsidR="003A3E5A" w:rsidRDefault="003A3E5A" w:rsidP="00717B60">
      <w:pPr>
        <w:spacing w:after="0"/>
        <w:rPr>
          <w:rFonts w:ascii="Aptos" w:hAnsi="Aptos"/>
          <w:sz w:val="24"/>
          <w:szCs w:val="24"/>
        </w:rPr>
      </w:pPr>
    </w:p>
    <w:p w14:paraId="722A8BEC" w14:textId="77777777" w:rsidR="003A3E5A" w:rsidRDefault="003A3E5A" w:rsidP="00717B60">
      <w:pPr>
        <w:spacing w:after="0"/>
        <w:rPr>
          <w:rFonts w:ascii="Aptos" w:hAnsi="Aptos"/>
          <w:sz w:val="24"/>
          <w:szCs w:val="24"/>
        </w:rPr>
      </w:pPr>
    </w:p>
    <w:p w14:paraId="6A127AE2" w14:textId="77777777" w:rsidR="003A3E5A" w:rsidRDefault="003A3E5A" w:rsidP="00717B60">
      <w:pPr>
        <w:spacing w:after="0"/>
        <w:rPr>
          <w:rFonts w:ascii="Aptos" w:hAnsi="Aptos"/>
          <w:sz w:val="24"/>
          <w:szCs w:val="24"/>
        </w:rPr>
      </w:pPr>
    </w:p>
    <w:p w14:paraId="5D8B0CD9" w14:textId="77777777" w:rsidR="003A3E5A" w:rsidRDefault="003A3E5A" w:rsidP="00717B60">
      <w:pPr>
        <w:spacing w:after="0"/>
        <w:rPr>
          <w:rFonts w:ascii="Aptos" w:hAnsi="Aptos"/>
          <w:sz w:val="24"/>
          <w:szCs w:val="24"/>
        </w:rPr>
      </w:pPr>
    </w:p>
    <w:p w14:paraId="499790DD" w14:textId="77777777" w:rsidR="003A3E5A" w:rsidRDefault="003A3E5A"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8AD3ED4" w:rsidR="0027472D" w:rsidRPr="009C6F7F" w:rsidRDefault="003A3E5A" w:rsidP="008A14D0">
      <w:pPr>
        <w:pStyle w:val="Titolo1"/>
        <w:spacing w:before="0"/>
        <w:rPr>
          <w:rFonts w:ascii="Aptos" w:hAnsi="Aptos"/>
          <w:b/>
          <w:bCs/>
          <w:color w:val="auto"/>
          <w:sz w:val="36"/>
          <w:szCs w:val="36"/>
        </w:rPr>
      </w:pPr>
      <w:bookmarkStart w:id="0" w:name="_Toc182128440"/>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w:t>
      </w:r>
      <w:r w:rsidR="003D76B2">
        <w:rPr>
          <w:rFonts w:ascii="Aptos" w:hAnsi="Aptos"/>
          <w:b/>
          <w:bCs/>
          <w:color w:val="auto"/>
          <w:sz w:val="36"/>
          <w:szCs w:val="36"/>
        </w:rPr>
        <w:t>sources of law</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 xml:space="preserve">STATES (e.g. </w:t>
      </w:r>
      <w:proofErr w:type="spellStart"/>
      <w:r w:rsidRPr="00014361">
        <w:rPr>
          <w:rFonts w:ascii="Aptos" w:hAnsi="Aptos"/>
          <w:sz w:val="24"/>
          <w:szCs w:val="24"/>
          <w:lang w:val="it-IT"/>
        </w:rPr>
        <w:t>Italy</w:t>
      </w:r>
      <w:proofErr w:type="spellEnd"/>
      <w:r w:rsidRPr="00014361">
        <w:rPr>
          <w:rFonts w:ascii="Aptos" w:hAnsi="Aptos"/>
          <w:sz w:val="24"/>
          <w:szCs w:val="24"/>
          <w:lang w:val="it-IT"/>
        </w:rPr>
        <w:t>,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3590FA36"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European Union is a</w:t>
      </w:r>
      <w:r w:rsidR="00175CD7">
        <w:rPr>
          <w:rFonts w:ascii="Aptos" w:hAnsi="Aptos"/>
          <w:bCs/>
          <w:sz w:val="24"/>
          <w:szCs w:val="24"/>
        </w:rPr>
        <w:t xml:space="preserve"> huge</w:t>
      </w:r>
      <w:r>
        <w:rPr>
          <w:rFonts w:ascii="Aptos" w:hAnsi="Aptos"/>
          <w:bCs/>
          <w:sz w:val="24"/>
          <w:szCs w:val="24"/>
        </w:rPr>
        <w:t xml:space="preserve"> </w:t>
      </w:r>
      <w:r w:rsidR="00044167">
        <w:rPr>
          <w:rFonts w:ascii="Aptos" w:hAnsi="Aptos"/>
          <w:bCs/>
          <w:sz w:val="24"/>
          <w:szCs w:val="24"/>
        </w:rPr>
        <w:t>legal system</w:t>
      </w:r>
      <w:r>
        <w:rPr>
          <w:rFonts w:ascii="Aptos" w:hAnsi="Aptos"/>
          <w:bCs/>
          <w:sz w:val="24"/>
          <w:szCs w:val="24"/>
        </w:rPr>
        <w:t xml:space="preserve"> </w:t>
      </w:r>
      <w:r w:rsidR="00982494">
        <w:rPr>
          <w:rFonts w:ascii="Aptos" w:hAnsi="Aptos"/>
          <w:bCs/>
          <w:sz w:val="24"/>
          <w:szCs w:val="24"/>
        </w:rPr>
        <w:t>that deals with</w:t>
      </w:r>
      <w:r>
        <w:rPr>
          <w:rFonts w:ascii="Aptos" w:hAnsi="Aptos"/>
          <w:bCs/>
          <w:sz w:val="24"/>
          <w:szCs w:val="24"/>
        </w:rPr>
        <w:t xml:space="preserve">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197347">
        <w:rPr>
          <w:rFonts w:ascii="Aptos" w:hAnsi="Aptos"/>
          <w:bCs/>
          <w:sz w:val="24"/>
          <w:szCs w:val="24"/>
          <w:u w:val="single"/>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197347">
        <w:rPr>
          <w:rFonts w:ascii="Aptos" w:hAnsi="Aptos"/>
          <w:bCs/>
          <w:sz w:val="24"/>
          <w:szCs w:val="24"/>
          <w:u w:val="single"/>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197347">
        <w:rPr>
          <w:rFonts w:ascii="Aptos" w:hAnsi="Aptos"/>
          <w:bCs/>
          <w:sz w:val="24"/>
          <w:szCs w:val="24"/>
          <w:u w:val="single"/>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7E84BC6A" w:rsidR="00FE6BB0" w:rsidRDefault="00E53FB1" w:rsidP="00FE6BB0">
      <w:pPr>
        <w:spacing w:after="0"/>
        <w:jc w:val="both"/>
        <w:rPr>
          <w:rFonts w:ascii="Aptos" w:hAnsi="Aptos"/>
          <w:bCs/>
          <w:sz w:val="24"/>
          <w:szCs w:val="24"/>
        </w:rPr>
      </w:pPr>
      <w:r w:rsidRPr="00E53FB1">
        <w:rPr>
          <w:rFonts w:ascii="Aptos" w:hAnsi="Aptos"/>
          <w:bCs/>
          <w:sz w:val="24"/>
          <w:szCs w:val="24"/>
        </w:rPr>
        <w:t xml:space="preserve">This structure ensures that power is not concentrated in one branch, </w:t>
      </w:r>
      <w:r w:rsidRPr="00C90006">
        <w:rPr>
          <w:rFonts w:ascii="Aptos" w:hAnsi="Aptos"/>
          <w:b/>
          <w:sz w:val="24"/>
          <w:szCs w:val="24"/>
        </w:rPr>
        <w:t>promoting</w:t>
      </w:r>
      <w:r w:rsidRPr="00E53FB1">
        <w:rPr>
          <w:rFonts w:ascii="Aptos" w:hAnsi="Aptos"/>
          <w:bCs/>
          <w:sz w:val="24"/>
          <w:szCs w:val="24"/>
        </w:rPr>
        <w:t xml:space="preserve"> </w:t>
      </w:r>
      <w:r w:rsidRPr="00CA7E45">
        <w:rPr>
          <w:rFonts w:ascii="Aptos" w:hAnsi="Aptos"/>
          <w:b/>
          <w:sz w:val="24"/>
          <w:szCs w:val="24"/>
        </w:rPr>
        <w:t>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xml:space="preserve">, </w:t>
      </w:r>
      <w:r w:rsidRPr="00CA7E45">
        <w:rPr>
          <w:rFonts w:ascii="Aptos" w:hAnsi="Aptos"/>
          <w:b/>
          <w:sz w:val="24"/>
          <w:szCs w:val="24"/>
        </w:rPr>
        <w:t>impartiality</w:t>
      </w:r>
      <w:r w:rsidRPr="00E53FB1">
        <w:rPr>
          <w:rFonts w:ascii="Aptos" w:hAnsi="Aptos"/>
          <w:bCs/>
          <w:sz w:val="24"/>
          <w:szCs w:val="24"/>
        </w:rPr>
        <w:t xml:space="preserve">, and </w:t>
      </w:r>
      <w:r w:rsidRPr="00CA7E45">
        <w:rPr>
          <w:rFonts w:ascii="Aptos" w:hAnsi="Aptos"/>
          <w:b/>
          <w:sz w:val="24"/>
          <w:szCs w:val="24"/>
        </w:rPr>
        <w:t>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w:t>
      </w:r>
      <w:r w:rsidR="005D1A6F">
        <w:rPr>
          <w:rFonts w:ascii="Aptos" w:hAnsi="Aptos"/>
          <w:bCs/>
          <w:sz w:val="24"/>
          <w:szCs w:val="24"/>
        </w:rPr>
        <w:t xml:space="preserve"> the</w:t>
      </w:r>
      <w:r w:rsidR="00F74A50">
        <w:rPr>
          <w:rFonts w:ascii="Aptos" w:hAnsi="Aptos"/>
          <w:bCs/>
          <w:sz w:val="24"/>
          <w:szCs w:val="24"/>
        </w:rPr>
        <w:t xml:space="preserve"> othe</w:t>
      </w:r>
      <w:r w:rsidR="005D1A6F">
        <w:rPr>
          <w:rFonts w:ascii="Aptos" w:hAnsi="Aptos"/>
          <w:bCs/>
          <w:sz w:val="24"/>
          <w:szCs w:val="24"/>
        </w:rPr>
        <w:t>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4905039"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xml:space="preserve">, there </w:t>
      </w:r>
      <w:r w:rsidR="00755CA7">
        <w:rPr>
          <w:rFonts w:ascii="Aptos" w:hAnsi="Aptos"/>
          <w:bCs/>
          <w:sz w:val="24"/>
          <w:szCs w:val="24"/>
        </w:rPr>
        <w:t>cannot be</w:t>
      </w:r>
      <w:r w:rsidR="00CE5D6A">
        <w:rPr>
          <w:rFonts w:ascii="Aptos" w:hAnsi="Aptos"/>
          <w:bCs/>
          <w:sz w:val="24"/>
          <w:szCs w:val="24"/>
        </w:rPr>
        <w:t xml:space="preserve">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written laws</w:t>
      </w:r>
      <w:r w:rsidRPr="001D5400">
        <w:rPr>
          <w:rFonts w:ascii="Aptos" w:hAnsi="Aptos"/>
          <w:bCs/>
          <w:sz w:val="24"/>
          <w:szCs w:val="24"/>
        </w:rPr>
        <w:t xml:space="preserve">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precedents</w:t>
      </w:r>
      <w:r w:rsidRPr="001D5400">
        <w:rPr>
          <w:rFonts w:ascii="Aptos" w:hAnsi="Aptos"/>
          <w:bCs/>
          <w:sz w:val="24"/>
          <w:szCs w:val="24"/>
        </w:rPr>
        <w:t>,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 xml:space="preserve">This system relies heavily on the principle of </w:t>
      </w:r>
      <w:r w:rsidRPr="00AA2CC7">
        <w:rPr>
          <w:rFonts w:ascii="Aptos" w:hAnsi="Aptos"/>
          <w:bCs/>
          <w:i/>
          <w:iCs/>
          <w:sz w:val="24"/>
          <w:szCs w:val="24"/>
        </w:rPr>
        <w:t>stare decisis</w:t>
      </w:r>
      <w:r w:rsidRPr="001D5400">
        <w:rPr>
          <w:rFonts w:ascii="Aptos" w:hAnsi="Aptos"/>
          <w:bCs/>
          <w:sz w:val="24"/>
          <w:szCs w:val="24"/>
        </w:rPr>
        <w:t>,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078D9411"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71549C">
        <w:rPr>
          <w:rFonts w:ascii="Aptos" w:hAnsi="Aptos"/>
          <w:bCs/>
          <w:sz w:val="24"/>
          <w:szCs w:val="24"/>
        </w:rPr>
        <w:t>the following</w:t>
      </w:r>
      <w:r w:rsidR="00CF4C42">
        <w:rPr>
          <w:rFonts w:ascii="Aptos" w:hAnsi="Aptos"/>
          <w:bCs/>
          <w:sz w:val="24"/>
          <w:szCs w:val="24"/>
        </w:rPr>
        <w:t xml:space="preserve">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w:t>
      </w:r>
      <w:r w:rsidR="00C5095B">
        <w:rPr>
          <w:rFonts w:ascii="Aptos" w:hAnsi="Aptos"/>
          <w:bCs/>
          <w:sz w:val="24"/>
          <w:szCs w:val="24"/>
        </w:rPr>
        <w:t xml:space="preserve"> that my differ from this</w:t>
      </w:r>
      <w:r w:rsidR="00CF4C42">
        <w:rPr>
          <w:rFonts w:ascii="Aptos" w:hAnsi="Aptos"/>
          <w:bCs/>
          <w:sz w:val="24"/>
          <w:szCs w:val="24"/>
        </w:rPr>
        <w:t xml:space="preserv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2128441"/>
      <w:r>
        <w:rPr>
          <w:rFonts w:ascii="Aptos" w:hAnsi="Aptos"/>
          <w:b/>
          <w:bCs/>
          <w:color w:val="auto"/>
          <w:sz w:val="36"/>
          <w:szCs w:val="36"/>
        </w:rPr>
        <w:lastRenderedPageBreak/>
        <w:t>2. 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226B2891"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xml:space="preserve">, in general with </w:t>
      </w:r>
      <w:r w:rsidR="00E5275B">
        <w:rPr>
          <w:rFonts w:ascii="Aptos" w:hAnsi="Aptos"/>
          <w:bCs/>
          <w:sz w:val="24"/>
          <w:szCs w:val="24"/>
        </w:rPr>
        <w:t>E</w:t>
      </w:r>
      <w:r w:rsidR="00845C6A">
        <w:rPr>
          <w:rFonts w:ascii="Aptos" w:hAnsi="Aptos"/>
          <w:bCs/>
          <w:sz w:val="24"/>
          <w:szCs w:val="24"/>
        </w:rPr>
        <w:t>uropean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Council of Europe (</w:t>
      </w:r>
      <w:proofErr w:type="spellStart"/>
      <w:r w:rsidRPr="00FB07AF">
        <w:rPr>
          <w:rFonts w:ascii="Aptos" w:hAnsi="Aptos"/>
          <w:b/>
          <w:bCs/>
          <w:sz w:val="24"/>
          <w:szCs w:val="24"/>
        </w:rPr>
        <w:t>CoE</w:t>
      </w:r>
      <w:proofErr w:type="spellEnd"/>
      <w:r w:rsidRPr="00FB07AF">
        <w:rPr>
          <w:rFonts w:ascii="Aptos" w:hAnsi="Aptos"/>
          <w:b/>
          <w:bCs/>
          <w:sz w:val="24"/>
          <w:szCs w:val="24"/>
        </w:rPr>
        <w:t xml:space="preserv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noProof/>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noProof/>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5F0462B8"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between the member states</w:t>
      </w:r>
      <w:r w:rsidR="00772B12">
        <w:rPr>
          <w:rFonts w:ascii="Aptos" w:hAnsi="Aptos"/>
          <w:sz w:val="24"/>
          <w:szCs w:val="24"/>
        </w:rPr>
        <w:t xml:space="preserve"> (e.g., wars)</w:t>
      </w:r>
      <w:r>
        <w:rPr>
          <w:rFonts w:ascii="Aptos" w:hAnsi="Aptos"/>
          <w:sz w:val="24"/>
          <w:szCs w:val="24"/>
        </w:rPr>
        <w:t xml:space="preserve">.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3B72C7">
      <w:pPr>
        <w:spacing w:after="0"/>
        <w:jc w:val="both"/>
        <w:rPr>
          <w:rFonts w:ascii="Aptos" w:hAnsi="Aptos"/>
          <w:sz w:val="24"/>
          <w:szCs w:val="24"/>
        </w:rPr>
      </w:pPr>
    </w:p>
    <w:p w14:paraId="59750884" w14:textId="6949336D" w:rsidR="00E12625" w:rsidRPr="00705257" w:rsidRDefault="00C963E8" w:rsidP="0031275D">
      <w:pPr>
        <w:spacing w:after="60"/>
        <w:jc w:val="both"/>
        <w:rPr>
          <w:rFonts w:ascii="Aptos" w:hAnsi="Aptos"/>
          <w:sz w:val="24"/>
          <w:szCs w:val="24"/>
        </w:rPr>
      </w:pP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t</w:t>
      </w:r>
      <w:r w:rsidR="00E12625" w:rsidRPr="00705257">
        <w:rPr>
          <w:rFonts w:ascii="Aptos" w:hAnsi="Aptos"/>
          <w:sz w:val="24"/>
          <w:szCs w:val="24"/>
        </w:rPr>
        <w:t xml:space="preserve">he European Court of Justice (ECJ) ruled that the European Community (now the EU) established a new legal order, distinct from international law and above the individual laws of member states. This new legal system requires that </w:t>
      </w:r>
      <w:r w:rsidR="00E12625" w:rsidRPr="00D025FB">
        <w:rPr>
          <w:rFonts w:ascii="Aptos" w:hAnsi="Aptos"/>
          <w:b/>
          <w:bCs/>
          <w:sz w:val="24"/>
          <w:szCs w:val="24"/>
        </w:rPr>
        <w:t>member states</w:t>
      </w:r>
      <w:r w:rsidR="00E12625" w:rsidRPr="00705257">
        <w:rPr>
          <w:rFonts w:ascii="Aptos" w:hAnsi="Aptos"/>
          <w:sz w:val="24"/>
          <w:szCs w:val="24"/>
        </w:rPr>
        <w:t xml:space="preserve"> </w:t>
      </w:r>
      <w:r w:rsidR="00E12625" w:rsidRPr="00AB6CD8">
        <w:rPr>
          <w:rFonts w:ascii="Aptos" w:hAnsi="Aptos"/>
          <w:b/>
          <w:bCs/>
          <w:sz w:val="24"/>
          <w:szCs w:val="24"/>
        </w:rPr>
        <w:t>cede some aspects of their sovereignty to the EU</w:t>
      </w:r>
      <w:r w:rsidR="00E12625" w:rsidRPr="00705257">
        <w:rPr>
          <w:rFonts w:ascii="Aptos" w:hAnsi="Aptos"/>
          <w:sz w:val="24"/>
          <w:szCs w:val="24"/>
        </w:rPr>
        <w:t>,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5A2865D8" w:rsidR="00705257" w:rsidRPr="00705257" w:rsidRDefault="002109CF" w:rsidP="0031275D">
      <w:pPr>
        <w:spacing w:after="60"/>
        <w:jc w:val="both"/>
        <w:rPr>
          <w:rFonts w:ascii="Aptos" w:hAnsi="Aptos"/>
          <w:sz w:val="24"/>
          <w:szCs w:val="24"/>
        </w:rPr>
      </w:pPr>
      <w:r w:rsidRPr="00705257">
        <w:rPr>
          <w:rFonts w:ascii="Aptos" w:hAnsi="Aptos"/>
          <w:i/>
          <w:iCs/>
          <w:sz w:val="24"/>
          <w:szCs w:val="24"/>
        </w:rPr>
        <w:t>“</w:t>
      </w:r>
      <w:proofErr w:type="gramStart"/>
      <w:r w:rsidRPr="00705257">
        <w:rPr>
          <w:rFonts w:ascii="Aptos" w:hAnsi="Aptos"/>
          <w:i/>
          <w:iCs/>
          <w:sz w:val="24"/>
          <w:szCs w:val="24"/>
        </w:rPr>
        <w:t>its</w:t>
      </w:r>
      <w:proofErr w:type="gramEnd"/>
      <w:r w:rsidRPr="00705257">
        <w:rPr>
          <w:rFonts w:ascii="Aptos" w:hAnsi="Aptos"/>
          <w:i/>
          <w:iCs/>
          <w:sz w:val="24"/>
          <w:szCs w:val="24"/>
        </w:rPr>
        <w:t xml:space="preserve">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 xml:space="preserve">Van Gend </w:t>
      </w:r>
      <w:proofErr w:type="spellStart"/>
      <w:r w:rsidRPr="00705257">
        <w:rPr>
          <w:rFonts w:ascii="Aptos" w:hAnsi="Aptos"/>
          <w:i/>
          <w:iCs/>
          <w:sz w:val="24"/>
          <w:szCs w:val="24"/>
        </w:rPr>
        <w:t>en</w:t>
      </w:r>
      <w:proofErr w:type="spellEnd"/>
      <w:r w:rsidRPr="00705257">
        <w:rPr>
          <w:rFonts w:ascii="Aptos" w:hAnsi="Aptos"/>
          <w:i/>
          <w:iCs/>
          <w:sz w:val="24"/>
          <w:szCs w:val="24"/>
        </w:rPr>
        <w:t xml:space="preserve">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noProof/>
          <w:sz w:val="24"/>
          <w:szCs w:val="24"/>
        </w:rPr>
        <w:drawing>
          <wp:inline distT="0" distB="0" distL="0" distR="0" wp14:anchorId="3F4C35E9" wp14:editId="6843C0A5">
            <wp:extent cx="5067300" cy="2762361"/>
            <wp:effectExtent l="19050" t="19050" r="19050" b="1905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5117649" cy="2789808"/>
                    </a:xfrm>
                    <a:prstGeom prst="rect">
                      <a:avLst/>
                    </a:prstGeom>
                    <a:ln>
                      <a:solidFill>
                        <a:schemeClr val="tx1"/>
                      </a:solidFill>
                    </a:ln>
                  </pic:spPr>
                </pic:pic>
              </a:graphicData>
            </a:graphic>
          </wp:inline>
        </w:drawing>
      </w:r>
    </w:p>
    <w:p w14:paraId="03F68E37" w14:textId="40FD0AD1" w:rsidR="00D76810"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w:t>
      </w:r>
      <w:r w:rsidRPr="00DC3E75">
        <w:rPr>
          <w:rFonts w:ascii="Aptos" w:hAnsi="Aptos"/>
          <w:b/>
          <w:bCs/>
          <w:sz w:val="24"/>
          <w:szCs w:val="24"/>
        </w:rPr>
        <w:t>values-based union</w:t>
      </w:r>
      <w:r w:rsidRPr="008E766C">
        <w:rPr>
          <w:rFonts w:ascii="Aptos" w:hAnsi="Aptos"/>
          <w:sz w:val="24"/>
          <w:szCs w:val="24"/>
        </w:rPr>
        <w:t xml:space="preserve"> with strict entry requirements to maintain cohesion among its member states.</w:t>
      </w:r>
      <w:r w:rsidR="002D64A1">
        <w:rPr>
          <w:rFonts w:ascii="Aptos" w:hAnsi="Aptos"/>
          <w:sz w:val="24"/>
          <w:szCs w:val="24"/>
        </w:rPr>
        <w:t xml:space="preserve"> </w:t>
      </w:r>
      <w:r w:rsidR="005A359E">
        <w:rPr>
          <w:rFonts w:ascii="Aptos" w:hAnsi="Aptos"/>
          <w:sz w:val="24"/>
          <w:szCs w:val="24"/>
        </w:rPr>
        <w:t>In general, b</w:t>
      </w:r>
      <w:r w:rsidR="002D64A1">
        <w:rPr>
          <w:rFonts w:ascii="Aptos" w:hAnsi="Aptos"/>
          <w:sz w:val="24"/>
          <w:szCs w:val="24"/>
        </w:rPr>
        <w:t>oth articles set the basis for the respect of the fundamental human rights which is also related to data protection.</w:t>
      </w:r>
      <w:r w:rsidR="00C56BD3">
        <w:rPr>
          <w:rFonts w:ascii="Aptos" w:hAnsi="Aptos"/>
          <w:sz w:val="24"/>
          <w:szCs w:val="24"/>
        </w:rPr>
        <w:t xml:space="preserve"> </w:t>
      </w:r>
    </w:p>
    <w:p w14:paraId="32CC6992" w14:textId="77777777" w:rsidR="004E3DBD" w:rsidRDefault="004E3DBD" w:rsidP="00E270BC">
      <w:pPr>
        <w:spacing w:after="0"/>
        <w:jc w:val="both"/>
        <w:rPr>
          <w:rFonts w:ascii="Aptos" w:hAnsi="Aptos"/>
          <w:sz w:val="24"/>
          <w:szCs w:val="24"/>
        </w:rPr>
      </w:pPr>
    </w:p>
    <w:p w14:paraId="57F77BB0" w14:textId="7B2FB90B" w:rsidR="00E25BB6" w:rsidRPr="00E25BB6" w:rsidRDefault="00E25BB6" w:rsidP="00596B5F">
      <w:pPr>
        <w:spacing w:after="60"/>
        <w:jc w:val="both"/>
        <w:rPr>
          <w:rFonts w:ascii="Aptos" w:hAnsi="Aptos"/>
          <w:sz w:val="24"/>
          <w:szCs w:val="24"/>
        </w:rPr>
      </w:pPr>
      <w:r w:rsidRPr="00E25BB6">
        <w:rPr>
          <w:rFonts w:ascii="Aptos" w:hAnsi="Aptos"/>
          <w:sz w:val="24"/>
          <w:szCs w:val="24"/>
        </w:rPr>
        <w:t xml:space="preserve">The </w:t>
      </w:r>
      <w:r w:rsidRPr="00E25BB6">
        <w:rPr>
          <w:rFonts w:ascii="Aptos" w:hAnsi="Aptos"/>
          <w:b/>
          <w:bCs/>
          <w:sz w:val="24"/>
          <w:szCs w:val="24"/>
        </w:rPr>
        <w:t>Copenhagen Criteria</w:t>
      </w:r>
      <w:r w:rsidRPr="00E25BB6">
        <w:rPr>
          <w:rFonts w:ascii="Aptos" w:hAnsi="Aptos"/>
          <w:sz w:val="24"/>
          <w:szCs w:val="24"/>
        </w:rPr>
        <w:t xml:space="preserve"> defines the </w:t>
      </w:r>
      <w:r w:rsidR="000A1C52">
        <w:rPr>
          <w:rFonts w:ascii="Aptos" w:hAnsi="Aptos"/>
          <w:sz w:val="24"/>
          <w:szCs w:val="24"/>
        </w:rPr>
        <w:t xml:space="preserve">different kind of </w:t>
      </w:r>
      <w:r w:rsidRPr="00E25BB6">
        <w:rPr>
          <w:rFonts w:ascii="Aptos" w:hAnsi="Aptos"/>
          <w:sz w:val="24"/>
          <w:szCs w:val="24"/>
        </w:rPr>
        <w:t>re</w:t>
      </w:r>
      <w:r>
        <w:rPr>
          <w:rFonts w:ascii="Aptos" w:hAnsi="Aptos"/>
          <w:sz w:val="24"/>
          <w:szCs w:val="24"/>
        </w:rPr>
        <w:t xml:space="preserve">quirements for a country to join EU: </w:t>
      </w:r>
    </w:p>
    <w:p w14:paraId="66F7D484" w14:textId="5827AF33"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Political</w:t>
      </w:r>
      <w:r>
        <w:rPr>
          <w:rFonts w:ascii="Aptos" w:hAnsi="Aptos"/>
          <w:sz w:val="24"/>
          <w:szCs w:val="24"/>
        </w:rPr>
        <w:t xml:space="preserve">: </w:t>
      </w:r>
      <w:r w:rsidRPr="00E25BB6">
        <w:rPr>
          <w:rFonts w:ascii="Aptos" w:hAnsi="Aptos"/>
          <w:sz w:val="24"/>
          <w:szCs w:val="24"/>
        </w:rPr>
        <w:t>stability of institutions guaranteeing democracy, the rule of law</w:t>
      </w:r>
      <w:r w:rsidR="006B4C03">
        <w:rPr>
          <w:rFonts w:ascii="Aptos" w:hAnsi="Aptos"/>
          <w:sz w:val="24"/>
          <w:szCs w:val="24"/>
        </w:rPr>
        <w:t>*</w:t>
      </w:r>
      <w:r w:rsidRPr="00E25BB6">
        <w:rPr>
          <w:rFonts w:ascii="Aptos" w:hAnsi="Aptos"/>
          <w:sz w:val="24"/>
          <w:szCs w:val="24"/>
        </w:rPr>
        <w:t>, human rights and respect for and protection of minorities</w:t>
      </w:r>
      <w:r>
        <w:rPr>
          <w:rFonts w:ascii="Aptos" w:hAnsi="Aptos"/>
          <w:sz w:val="24"/>
          <w:szCs w:val="24"/>
        </w:rPr>
        <w:t>.</w:t>
      </w:r>
    </w:p>
    <w:p w14:paraId="35C7AD2C" w14:textId="716134BB"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Economic</w:t>
      </w:r>
      <w:r>
        <w:rPr>
          <w:rFonts w:ascii="Aptos" w:hAnsi="Aptos"/>
          <w:sz w:val="24"/>
          <w:szCs w:val="24"/>
        </w:rPr>
        <w:t xml:space="preserve">: </w:t>
      </w:r>
      <w:r w:rsidRPr="00E25BB6">
        <w:rPr>
          <w:rFonts w:ascii="Aptos" w:hAnsi="Aptos"/>
          <w:sz w:val="24"/>
          <w:szCs w:val="24"/>
        </w:rPr>
        <w:t>a functioning market economy and the capacity to cope with competition and market forces</w:t>
      </w:r>
      <w:r w:rsidR="00AD585A">
        <w:rPr>
          <w:rFonts w:ascii="Aptos" w:hAnsi="Aptos"/>
          <w:sz w:val="24"/>
          <w:szCs w:val="24"/>
        </w:rPr>
        <w:t xml:space="preserve">, </w:t>
      </w:r>
      <w:r w:rsidR="00AD585A" w:rsidRPr="00B367D6">
        <w:rPr>
          <w:rFonts w:ascii="Aptos" w:hAnsi="Aptos"/>
          <w:sz w:val="24"/>
          <w:szCs w:val="24"/>
          <w:u w:val="single"/>
        </w:rPr>
        <w:t xml:space="preserve">protecting so the </w:t>
      </w:r>
      <w:r w:rsidR="00A10AAA" w:rsidRPr="00B367D6">
        <w:rPr>
          <w:rFonts w:ascii="Aptos" w:hAnsi="Aptos"/>
          <w:sz w:val="24"/>
          <w:szCs w:val="24"/>
          <w:u w:val="single"/>
        </w:rPr>
        <w:t>consumer</w:t>
      </w:r>
      <w:r w:rsidR="00B1147C">
        <w:rPr>
          <w:rFonts w:ascii="Aptos" w:hAnsi="Aptos"/>
          <w:sz w:val="24"/>
          <w:szCs w:val="24"/>
          <w:u w:val="single"/>
        </w:rPr>
        <w:t>s’</w:t>
      </w:r>
      <w:r w:rsidR="00A10AAA" w:rsidRPr="00B367D6">
        <w:rPr>
          <w:rFonts w:ascii="Aptos" w:hAnsi="Aptos"/>
          <w:sz w:val="24"/>
          <w:szCs w:val="24"/>
          <w:u w:val="single"/>
        </w:rPr>
        <w:t xml:space="preserve"> rights</w:t>
      </w:r>
      <w:r w:rsidR="00EA0128">
        <w:rPr>
          <w:rFonts w:ascii="Aptos" w:hAnsi="Aptos"/>
          <w:sz w:val="24"/>
          <w:szCs w:val="24"/>
        </w:rPr>
        <w:t xml:space="preserve"> (freely able to purchase what they want)</w:t>
      </w:r>
      <w:r>
        <w:rPr>
          <w:rFonts w:ascii="Aptos" w:hAnsi="Aptos"/>
          <w:sz w:val="24"/>
          <w:szCs w:val="24"/>
        </w:rPr>
        <w:t>.</w:t>
      </w:r>
    </w:p>
    <w:p w14:paraId="3E357166" w14:textId="67269D2F" w:rsidR="004E3DBD" w:rsidRDefault="00E25BB6" w:rsidP="00596B5F">
      <w:pPr>
        <w:numPr>
          <w:ilvl w:val="0"/>
          <w:numId w:val="91"/>
        </w:numPr>
        <w:spacing w:after="0"/>
        <w:jc w:val="both"/>
        <w:rPr>
          <w:rFonts w:ascii="Aptos" w:hAnsi="Aptos"/>
          <w:sz w:val="24"/>
          <w:szCs w:val="24"/>
        </w:rPr>
      </w:pPr>
      <w:r w:rsidRPr="00E25BB6">
        <w:rPr>
          <w:rFonts w:ascii="Aptos" w:hAnsi="Aptos"/>
          <w:b/>
          <w:sz w:val="24"/>
          <w:szCs w:val="24"/>
        </w:rPr>
        <w:t>Administrative and institutional capacity</w:t>
      </w:r>
      <w:r>
        <w:rPr>
          <w:rFonts w:ascii="Aptos" w:hAnsi="Aptos"/>
          <w:sz w:val="24"/>
          <w:szCs w:val="24"/>
        </w:rPr>
        <w:t xml:space="preserve">: </w:t>
      </w:r>
      <w:r w:rsidRPr="00E25BB6">
        <w:rPr>
          <w:rFonts w:ascii="Aptos" w:hAnsi="Aptos"/>
          <w:sz w:val="24"/>
          <w:szCs w:val="24"/>
        </w:rPr>
        <w:t xml:space="preserve">to effectively implement the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sidR="006B4C03">
        <w:rPr>
          <w:rFonts w:ascii="Aptos" w:hAnsi="Aptos"/>
          <w:i/>
          <w:iCs/>
          <w:sz w:val="24"/>
          <w:szCs w:val="24"/>
        </w:rPr>
        <w:t>**</w:t>
      </w:r>
      <w:r w:rsidRPr="00E25BB6">
        <w:rPr>
          <w:rFonts w:ascii="Aptos" w:hAnsi="Aptos"/>
          <w:i/>
          <w:iCs/>
          <w:sz w:val="24"/>
          <w:szCs w:val="24"/>
        </w:rPr>
        <w:t xml:space="preserve"> </w:t>
      </w:r>
      <w:r w:rsidRPr="00E25BB6">
        <w:rPr>
          <w:rFonts w:ascii="Aptos" w:hAnsi="Aptos"/>
          <w:sz w:val="24"/>
          <w:szCs w:val="24"/>
        </w:rPr>
        <w:t>and ability to take on the obligations of EU membership</w:t>
      </w:r>
      <w:r>
        <w:rPr>
          <w:rFonts w:ascii="Aptos" w:hAnsi="Aptos"/>
          <w:sz w:val="24"/>
          <w:szCs w:val="24"/>
        </w:rPr>
        <w:t>.</w:t>
      </w:r>
    </w:p>
    <w:p w14:paraId="15DEE8F8" w14:textId="77777777" w:rsidR="007F6A1F" w:rsidRDefault="007F6A1F" w:rsidP="007F6A1F">
      <w:pPr>
        <w:spacing w:after="0"/>
        <w:jc w:val="both"/>
        <w:rPr>
          <w:rFonts w:ascii="Aptos" w:hAnsi="Aptos"/>
          <w:b/>
          <w:sz w:val="24"/>
          <w:szCs w:val="24"/>
        </w:rPr>
      </w:pPr>
    </w:p>
    <w:p w14:paraId="3551FB04" w14:textId="0136A81A" w:rsidR="008F1602" w:rsidRPr="008F1602" w:rsidRDefault="006B4C03" w:rsidP="008F1602">
      <w:pPr>
        <w:spacing w:after="0"/>
        <w:jc w:val="both"/>
        <w:rPr>
          <w:rFonts w:ascii="Aptos" w:hAnsi="Aptos"/>
          <w:sz w:val="24"/>
          <w:szCs w:val="24"/>
        </w:rPr>
      </w:pPr>
      <w:r>
        <w:rPr>
          <w:rFonts w:ascii="Aptos" w:hAnsi="Aptos"/>
          <w:sz w:val="24"/>
          <w:szCs w:val="24"/>
        </w:rPr>
        <w:t xml:space="preserve">* </w:t>
      </w:r>
      <w:proofErr w:type="gramStart"/>
      <w:r w:rsidR="00BC132D">
        <w:rPr>
          <w:rFonts w:ascii="Aptos" w:hAnsi="Aptos"/>
          <w:sz w:val="24"/>
          <w:szCs w:val="24"/>
        </w:rPr>
        <w:t>rule</w:t>
      </w:r>
      <w:proofErr w:type="gramEnd"/>
      <w:r w:rsidR="00BC132D">
        <w:rPr>
          <w:rFonts w:ascii="Aptos" w:hAnsi="Aptos"/>
          <w:sz w:val="24"/>
          <w:szCs w:val="24"/>
        </w:rPr>
        <w:t xml:space="preserve"> of law: a</w:t>
      </w:r>
      <w:r w:rsidR="00BC132D" w:rsidRPr="00BC132D">
        <w:rPr>
          <w:rFonts w:ascii="Aptos" w:hAnsi="Aptos"/>
          <w:sz w:val="24"/>
          <w:szCs w:val="24"/>
        </w:rPr>
        <w:t>ll public powers must operate within the limits established by law.</w:t>
      </w:r>
    </w:p>
    <w:p w14:paraId="2517AAFC" w14:textId="5EC5979A"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LAW-MAKING PROCESS: transparent, accountable, democratic and pluralistic.</w:t>
      </w:r>
    </w:p>
    <w:p w14:paraId="180759EB" w14:textId="47F4D24E"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 xml:space="preserve">JUDICIAL PROTECTION: effective </w:t>
      </w:r>
      <w:r w:rsidR="008F7282" w:rsidRPr="008F7282">
        <w:rPr>
          <w:rFonts w:ascii="Aptos" w:hAnsi="Aptos"/>
          <w:sz w:val="24"/>
          <w:szCs w:val="24"/>
        </w:rPr>
        <w:sym w:font="Wingdings" w:char="F0E0"/>
      </w:r>
      <w:r w:rsidRPr="008F1602">
        <w:rPr>
          <w:rFonts w:ascii="Aptos" w:hAnsi="Aptos"/>
          <w:sz w:val="24"/>
          <w:szCs w:val="24"/>
        </w:rPr>
        <w:t xml:space="preserve"> access to justice, independent and impartial courts, separation of powers.</w:t>
      </w:r>
    </w:p>
    <w:p w14:paraId="6D115413" w14:textId="568A24D2"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EQUAL PROTECTION: everyone enjoys equal protection under the law and prevents the arbitrary use of power by governments.</w:t>
      </w:r>
    </w:p>
    <w:p w14:paraId="4CD35696" w14:textId="28DBB168"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POLITICAL AND CIVIL RIGHTS: protection of basic political and civil rights, civil liberties</w:t>
      </w:r>
      <w:r>
        <w:rPr>
          <w:rFonts w:ascii="Aptos" w:hAnsi="Aptos"/>
          <w:sz w:val="24"/>
          <w:szCs w:val="24"/>
        </w:rPr>
        <w:t>.</w:t>
      </w:r>
    </w:p>
    <w:p w14:paraId="4FF83A4E" w14:textId="77777777" w:rsidR="008F1602" w:rsidRDefault="008F1602" w:rsidP="007F6A1F">
      <w:pPr>
        <w:spacing w:after="0"/>
        <w:jc w:val="both"/>
        <w:rPr>
          <w:rFonts w:ascii="Aptos" w:hAnsi="Aptos"/>
          <w:sz w:val="24"/>
          <w:szCs w:val="24"/>
        </w:rPr>
      </w:pPr>
    </w:p>
    <w:p w14:paraId="4E520951" w14:textId="33C2FAD1" w:rsidR="00F16B97" w:rsidRDefault="00BC132D" w:rsidP="00F16B97">
      <w:pPr>
        <w:spacing w:after="0"/>
        <w:jc w:val="both"/>
        <w:rPr>
          <w:rFonts w:ascii="Aptos" w:hAnsi="Aptos"/>
          <w:sz w:val="24"/>
          <w:szCs w:val="24"/>
        </w:rPr>
      </w:pPr>
      <w:r>
        <w:rPr>
          <w:rFonts w:ascii="Aptos" w:hAnsi="Aptos"/>
          <w:sz w:val="24"/>
          <w:szCs w:val="24"/>
        </w:rPr>
        <w:t xml:space="preserv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Pr>
          <w:rFonts w:ascii="Aptos" w:hAnsi="Aptos"/>
          <w:sz w:val="24"/>
          <w:szCs w:val="24"/>
        </w:rPr>
        <w:t xml:space="preserve">: </w:t>
      </w:r>
      <w:r w:rsidR="00F16B97">
        <w:rPr>
          <w:rFonts w:ascii="Aptos" w:hAnsi="Aptos"/>
          <w:sz w:val="24"/>
          <w:szCs w:val="24"/>
        </w:rPr>
        <w:t>body of common rights and obligations binding upon EU member states.</w:t>
      </w:r>
    </w:p>
    <w:p w14:paraId="178FF08D" w14:textId="77777777" w:rsidR="00EA367A" w:rsidRDefault="00EA367A" w:rsidP="00F16B97">
      <w:pPr>
        <w:spacing w:after="0"/>
        <w:jc w:val="both"/>
        <w:rPr>
          <w:rFonts w:ascii="Aptos" w:hAnsi="Aptos"/>
          <w:sz w:val="24"/>
          <w:szCs w:val="24"/>
        </w:rPr>
      </w:pPr>
    </w:p>
    <w:p w14:paraId="4C314917" w14:textId="77777777" w:rsidR="00271FA5" w:rsidRDefault="00271FA5" w:rsidP="00F16B97">
      <w:pPr>
        <w:spacing w:after="0"/>
        <w:jc w:val="both"/>
        <w:rPr>
          <w:rFonts w:ascii="Aptos" w:hAnsi="Aptos"/>
          <w:sz w:val="24"/>
          <w:szCs w:val="24"/>
        </w:rPr>
      </w:pPr>
    </w:p>
    <w:p w14:paraId="3A160C5C" w14:textId="41FEDA2B" w:rsidR="00F334F6" w:rsidRDefault="00E8031D" w:rsidP="00E8031D">
      <w:pPr>
        <w:pStyle w:val="Titolo2"/>
        <w:spacing w:before="0"/>
        <w:rPr>
          <w:rFonts w:ascii="Aptos" w:hAnsi="Aptos"/>
          <w:b/>
          <w:bCs/>
          <w:color w:val="auto"/>
          <w:sz w:val="32"/>
          <w:szCs w:val="32"/>
        </w:rPr>
      </w:pPr>
      <w:bookmarkStart w:id="2" w:name="_Toc182128442"/>
      <w:r w:rsidRPr="00E8031D">
        <w:rPr>
          <w:rFonts w:ascii="Aptos" w:hAnsi="Aptos"/>
          <w:b/>
          <w:bCs/>
          <w:color w:val="auto"/>
          <w:sz w:val="32"/>
          <w:szCs w:val="32"/>
        </w:rPr>
        <w:t>2.1 Hierarchy of sources of law in EU</w:t>
      </w:r>
      <w:bookmarkEnd w:id="2"/>
    </w:p>
    <w:p w14:paraId="40D6D686" w14:textId="77777777" w:rsidR="00E8031D" w:rsidRPr="000B4B4F" w:rsidRDefault="00E8031D" w:rsidP="000B4B4F">
      <w:pPr>
        <w:spacing w:after="0"/>
        <w:jc w:val="both"/>
        <w:rPr>
          <w:rFonts w:ascii="Aptos" w:hAnsi="Aptos"/>
          <w:sz w:val="24"/>
          <w:szCs w:val="24"/>
        </w:rPr>
      </w:pPr>
    </w:p>
    <w:p w14:paraId="0CD4097A" w14:textId="77777777" w:rsidR="00376831" w:rsidRDefault="005F0F51" w:rsidP="00443923">
      <w:pPr>
        <w:spacing w:after="60"/>
        <w:jc w:val="both"/>
        <w:rPr>
          <w:rFonts w:ascii="Aptos" w:hAnsi="Aptos"/>
          <w:sz w:val="24"/>
          <w:szCs w:val="24"/>
        </w:rPr>
      </w:pPr>
      <w:r w:rsidRPr="005F0F51">
        <w:rPr>
          <w:rFonts w:ascii="Aptos" w:hAnsi="Aptos"/>
          <w:sz w:val="24"/>
          <w:szCs w:val="24"/>
        </w:rPr>
        <w:t xml:space="preserve">The hierarchy of sources in European Union law establishes the order of legal authority among various types of legislation within the EU framework. </w:t>
      </w:r>
    </w:p>
    <w:p w14:paraId="6558468D"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At the top is </w:t>
      </w:r>
      <w:r w:rsidRPr="00376831">
        <w:rPr>
          <w:rFonts w:ascii="Aptos" w:hAnsi="Aptos"/>
          <w:b/>
          <w:bCs/>
          <w:sz w:val="24"/>
          <w:szCs w:val="24"/>
        </w:rPr>
        <w:t>Primary Law</w:t>
      </w:r>
      <w:r w:rsidRPr="00376831">
        <w:rPr>
          <w:rFonts w:ascii="Aptos" w:hAnsi="Aptos"/>
          <w:sz w:val="24"/>
          <w:szCs w:val="24"/>
        </w:rPr>
        <w:t xml:space="preserve">, which includes foundational treaties such as the Treaty on European Union (TEU) and the Treaty on the Functioning of the European Union (TFEU). These treaties form the constitutional basis of EU law and set out the structure, powers, and principles guiding the EU. </w:t>
      </w:r>
    </w:p>
    <w:p w14:paraId="7DBCAD68"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Below primary law </w:t>
      </w:r>
      <w:proofErr w:type="gramStart"/>
      <w:r w:rsidRPr="00376831">
        <w:rPr>
          <w:rFonts w:ascii="Aptos" w:hAnsi="Aptos"/>
          <w:sz w:val="24"/>
          <w:szCs w:val="24"/>
        </w:rPr>
        <w:t>are</w:t>
      </w:r>
      <w:proofErr w:type="gramEnd"/>
      <w:r w:rsidRPr="00376831">
        <w:rPr>
          <w:rFonts w:ascii="Aptos" w:hAnsi="Aptos"/>
          <w:sz w:val="24"/>
          <w:szCs w:val="24"/>
        </w:rPr>
        <w:t xml:space="preserve"> </w:t>
      </w:r>
      <w:r w:rsidRPr="00376831">
        <w:rPr>
          <w:rFonts w:ascii="Aptos" w:hAnsi="Aptos"/>
          <w:b/>
          <w:bCs/>
          <w:sz w:val="24"/>
          <w:szCs w:val="24"/>
        </w:rPr>
        <w:t>International Agreements</w:t>
      </w:r>
      <w:r w:rsidRPr="00376831">
        <w:rPr>
          <w:rFonts w:ascii="Aptos" w:hAnsi="Aptos"/>
          <w:sz w:val="24"/>
          <w:szCs w:val="24"/>
        </w:rPr>
        <w:t xml:space="preserve">, which are treaties and agreements that the EU makes with non-EU countries or international organizations. These agreements are binding and integrate into EU law, influencing member states’ legal systems. </w:t>
      </w:r>
    </w:p>
    <w:p w14:paraId="49E8D2CB"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b/>
          <w:bCs/>
          <w:sz w:val="24"/>
          <w:szCs w:val="24"/>
        </w:rPr>
        <w:t>Secondary Law</w:t>
      </w:r>
      <w:r w:rsidRPr="00376831">
        <w:rPr>
          <w:rFonts w:ascii="Aptos" w:hAnsi="Aptos"/>
          <w:sz w:val="24"/>
          <w:szCs w:val="24"/>
        </w:rPr>
        <w:t xml:space="preserve"> follows, comprising regulations, directives, decisions, recommendations, and opinions issued by EU institutions to implement and operationalize primary law. </w:t>
      </w:r>
    </w:p>
    <w:p w14:paraId="442964BC" w14:textId="6B9D6830" w:rsidR="00E8031D" w:rsidRPr="00376831" w:rsidRDefault="005F0F51" w:rsidP="00376831">
      <w:pPr>
        <w:pStyle w:val="Paragrafoelenco"/>
        <w:numPr>
          <w:ilvl w:val="0"/>
          <w:numId w:val="93"/>
        </w:numPr>
        <w:spacing w:after="0"/>
        <w:jc w:val="both"/>
        <w:rPr>
          <w:rFonts w:ascii="Aptos" w:hAnsi="Aptos"/>
          <w:sz w:val="24"/>
          <w:szCs w:val="24"/>
        </w:rPr>
      </w:pPr>
      <w:r w:rsidRPr="00376831">
        <w:rPr>
          <w:rFonts w:ascii="Aptos" w:hAnsi="Aptos"/>
          <w:sz w:val="24"/>
          <w:szCs w:val="24"/>
        </w:rPr>
        <w:lastRenderedPageBreak/>
        <w:t xml:space="preserve">Lastly, </w:t>
      </w:r>
      <w:r w:rsidRPr="00376831">
        <w:rPr>
          <w:rFonts w:ascii="Aptos" w:hAnsi="Aptos"/>
          <w:b/>
          <w:bCs/>
          <w:sz w:val="24"/>
          <w:szCs w:val="24"/>
        </w:rPr>
        <w:t>Supplementary Law</w:t>
      </w:r>
      <w:r w:rsidRPr="00376831">
        <w:rPr>
          <w:rFonts w:ascii="Aptos" w:hAnsi="Aptos"/>
          <w:sz w:val="24"/>
          <w:szCs w:val="24"/>
        </w:rPr>
        <w:t xml:space="preserve"> fills in gaps through case law from the Court of Justice of the European Union and unwritten principles that ensure consistent interpretation and application of EU law across member states. This structured hierarchy ensures clarity, coherence, and legal order within the EU.</w:t>
      </w:r>
    </w:p>
    <w:p w14:paraId="79EA7DE3" w14:textId="77777777" w:rsidR="002E4159" w:rsidRDefault="002E4159" w:rsidP="000B4B4F">
      <w:pPr>
        <w:spacing w:after="0"/>
        <w:jc w:val="both"/>
        <w:rPr>
          <w:rFonts w:ascii="Aptos" w:hAnsi="Aptos"/>
          <w:sz w:val="24"/>
          <w:szCs w:val="24"/>
        </w:rPr>
      </w:pPr>
    </w:p>
    <w:p w14:paraId="40997F02" w14:textId="7E1CA97E" w:rsidR="00EA367A" w:rsidRPr="00EA367A" w:rsidRDefault="00EA367A" w:rsidP="00EA367A">
      <w:pPr>
        <w:pStyle w:val="Titolo3"/>
        <w:rPr>
          <w:rFonts w:ascii="Aptos" w:hAnsi="Aptos"/>
          <w:b/>
          <w:bCs/>
          <w:color w:val="auto"/>
          <w:sz w:val="28"/>
          <w:szCs w:val="28"/>
        </w:rPr>
      </w:pPr>
      <w:bookmarkStart w:id="3" w:name="_Toc182128443"/>
      <w:r w:rsidRPr="00EA367A">
        <w:rPr>
          <w:rFonts w:ascii="Aptos" w:hAnsi="Aptos"/>
          <w:b/>
          <w:bCs/>
          <w:color w:val="auto"/>
          <w:sz w:val="28"/>
          <w:szCs w:val="28"/>
        </w:rPr>
        <w:t xml:space="preserve">2.1.1 </w:t>
      </w:r>
      <w:r w:rsidR="00184B16">
        <w:rPr>
          <w:rFonts w:ascii="Aptos" w:hAnsi="Aptos"/>
          <w:b/>
          <w:bCs/>
          <w:color w:val="auto"/>
          <w:sz w:val="28"/>
          <w:szCs w:val="28"/>
        </w:rPr>
        <w:t>Primary Law</w:t>
      </w:r>
      <w:bookmarkEnd w:id="3"/>
    </w:p>
    <w:p w14:paraId="1F3BB7ED" w14:textId="77777777" w:rsidR="00EA367A" w:rsidRDefault="00EA367A" w:rsidP="000B4B4F">
      <w:pPr>
        <w:spacing w:after="0"/>
        <w:jc w:val="both"/>
        <w:rPr>
          <w:rFonts w:ascii="Aptos" w:hAnsi="Aptos"/>
          <w:sz w:val="24"/>
          <w:szCs w:val="24"/>
        </w:rPr>
      </w:pPr>
    </w:p>
    <w:p w14:paraId="739118DE" w14:textId="10B2DD48" w:rsidR="00E8031D" w:rsidRDefault="00184B16" w:rsidP="000B4B4F">
      <w:pPr>
        <w:spacing w:after="0"/>
        <w:jc w:val="both"/>
        <w:rPr>
          <w:rFonts w:ascii="Aptos" w:hAnsi="Aptos"/>
          <w:sz w:val="24"/>
          <w:szCs w:val="24"/>
        </w:rPr>
      </w:pPr>
      <w:r w:rsidRPr="00184B16">
        <w:rPr>
          <w:rFonts w:ascii="Aptos" w:hAnsi="Aptos"/>
          <w:sz w:val="24"/>
          <w:szCs w:val="24"/>
        </w:rPr>
        <w:t xml:space="preserve">Primary law includes </w:t>
      </w:r>
      <w:r w:rsidRPr="00184B16">
        <w:rPr>
          <w:rFonts w:ascii="Aptos" w:hAnsi="Aptos"/>
          <w:b/>
          <w:bCs/>
          <w:sz w:val="24"/>
          <w:szCs w:val="24"/>
        </w:rPr>
        <w:t>Treaties</w:t>
      </w:r>
      <w:r w:rsidRPr="00184B16">
        <w:rPr>
          <w:rFonts w:ascii="Aptos" w:hAnsi="Aptos"/>
          <w:sz w:val="24"/>
          <w:szCs w:val="24"/>
        </w:rPr>
        <w:t xml:space="preserve">, the </w:t>
      </w:r>
      <w:r w:rsidRPr="00184B16">
        <w:rPr>
          <w:rFonts w:ascii="Aptos" w:hAnsi="Aptos"/>
          <w:b/>
          <w:bCs/>
          <w:sz w:val="24"/>
          <w:szCs w:val="24"/>
        </w:rPr>
        <w:t>Charter of Fundamental Rights</w:t>
      </w:r>
      <w:r w:rsidRPr="00184B16">
        <w:rPr>
          <w:rFonts w:ascii="Aptos" w:hAnsi="Aptos"/>
          <w:sz w:val="24"/>
          <w:szCs w:val="24"/>
        </w:rPr>
        <w:t xml:space="preserve">, and </w:t>
      </w:r>
      <w:r w:rsidRPr="00184B16">
        <w:rPr>
          <w:rFonts w:ascii="Aptos" w:hAnsi="Aptos"/>
          <w:b/>
          <w:bCs/>
          <w:sz w:val="24"/>
          <w:szCs w:val="24"/>
        </w:rPr>
        <w:t>General Principles</w:t>
      </w:r>
      <w:r w:rsidRPr="00184B16">
        <w:rPr>
          <w:rFonts w:ascii="Aptos" w:hAnsi="Aptos"/>
          <w:sz w:val="24"/>
          <w:szCs w:val="24"/>
        </w:rPr>
        <w:t xml:space="preserve"> established by the Court of Justice of the European Union.</w:t>
      </w:r>
    </w:p>
    <w:p w14:paraId="50199733" w14:textId="77777777" w:rsidR="00D64138" w:rsidRDefault="00D64138" w:rsidP="000B4B4F">
      <w:pPr>
        <w:spacing w:after="0"/>
        <w:jc w:val="both"/>
        <w:rPr>
          <w:rFonts w:ascii="Aptos" w:hAnsi="Aptos"/>
          <w:sz w:val="24"/>
          <w:szCs w:val="24"/>
        </w:rPr>
      </w:pPr>
    </w:p>
    <w:p w14:paraId="443CBCED" w14:textId="77777777" w:rsidR="00AE4F25" w:rsidRPr="00AE4F25" w:rsidRDefault="00AE4F25" w:rsidP="00AE4F25">
      <w:pPr>
        <w:spacing w:after="60"/>
        <w:jc w:val="both"/>
        <w:rPr>
          <w:rFonts w:ascii="Aptos" w:hAnsi="Aptos"/>
          <w:sz w:val="24"/>
          <w:szCs w:val="24"/>
        </w:rPr>
      </w:pPr>
      <w:r w:rsidRPr="00AE4F25">
        <w:rPr>
          <w:rFonts w:ascii="Aptos" w:hAnsi="Aptos"/>
          <w:sz w:val="24"/>
          <w:szCs w:val="24"/>
        </w:rPr>
        <w:t>Treaties are the core legal documents that founded and continue to shape the European Union:</w:t>
      </w:r>
    </w:p>
    <w:p w14:paraId="6928B77F" w14:textId="7B344428"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Founding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established the European Communities, which eventually evolved into the European Union. The key founding treaties laid the groundwork for European integration and cooperation.</w:t>
      </w:r>
    </w:p>
    <w:p w14:paraId="5A147673" w14:textId="4F90B899"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Amending Treaties</w:t>
      </w:r>
      <w:r w:rsidRPr="00AE4F25">
        <w:rPr>
          <w:rFonts w:ascii="Aptos" w:hAnsi="Aptos"/>
          <w:sz w:val="24"/>
          <w:szCs w:val="24"/>
        </w:rPr>
        <w:t xml:space="preserve">: </w:t>
      </w:r>
      <w:r w:rsidR="004D561E">
        <w:rPr>
          <w:rFonts w:ascii="Aptos" w:hAnsi="Aptos"/>
          <w:sz w:val="24"/>
          <w:szCs w:val="24"/>
        </w:rPr>
        <w:t>o</w:t>
      </w:r>
      <w:r w:rsidRPr="00AE4F25">
        <w:rPr>
          <w:rFonts w:ascii="Aptos" w:hAnsi="Aptos"/>
          <w:sz w:val="24"/>
          <w:szCs w:val="24"/>
        </w:rPr>
        <w:t>ver time, various treaties have been amended to adapt to changing political and economic conditions. Amending treaties expand or adjust the EU’s functions and powers.</w:t>
      </w:r>
    </w:p>
    <w:p w14:paraId="5E110885" w14:textId="5EA8E935"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Protocols</w:t>
      </w:r>
      <w:r>
        <w:rPr>
          <w:rFonts w:ascii="Aptos" w:hAnsi="Aptos"/>
          <w:b/>
          <w:bCs/>
          <w:sz w:val="24"/>
          <w:szCs w:val="24"/>
        </w:rPr>
        <w:t xml:space="preserve"> annexed to treaties</w:t>
      </w:r>
      <w:r w:rsidRPr="00AE4F25">
        <w:rPr>
          <w:rFonts w:ascii="Aptos" w:hAnsi="Aptos"/>
          <w:sz w:val="24"/>
          <w:szCs w:val="24"/>
        </w:rPr>
        <w:t xml:space="preserve">: </w:t>
      </w:r>
      <w:r w:rsidR="004D561E">
        <w:rPr>
          <w:rFonts w:ascii="Aptos" w:hAnsi="Aptos"/>
          <w:sz w:val="24"/>
          <w:szCs w:val="24"/>
        </w:rPr>
        <w:t>p</w:t>
      </w:r>
      <w:r w:rsidRPr="00AE4F25">
        <w:rPr>
          <w:rFonts w:ascii="Aptos" w:hAnsi="Aptos"/>
          <w:sz w:val="24"/>
          <w:szCs w:val="24"/>
        </w:rPr>
        <w:t>rotocols attached to the treaties clarify or specify certain aspects of EU law. They are legally binding and part of primary law.</w:t>
      </w:r>
    </w:p>
    <w:p w14:paraId="4E80C1FD" w14:textId="67A8C044" w:rsidR="00AE4F25" w:rsidRPr="00AE4F25" w:rsidRDefault="00AE4F25" w:rsidP="00AE4F25">
      <w:pPr>
        <w:pStyle w:val="Paragrafoelenco"/>
        <w:numPr>
          <w:ilvl w:val="0"/>
          <w:numId w:val="95"/>
        </w:numPr>
        <w:spacing w:after="0"/>
        <w:jc w:val="both"/>
        <w:rPr>
          <w:rFonts w:ascii="Aptos" w:hAnsi="Aptos"/>
          <w:sz w:val="24"/>
          <w:szCs w:val="24"/>
        </w:rPr>
      </w:pPr>
      <w:r w:rsidRPr="00AE4F25">
        <w:rPr>
          <w:rFonts w:ascii="Aptos" w:hAnsi="Aptos"/>
          <w:b/>
          <w:bCs/>
          <w:sz w:val="24"/>
          <w:szCs w:val="24"/>
        </w:rPr>
        <w:t>Accession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enable new countries to join the EU, setting terms for their membership and adapting the EU structure to accommodate new members.</w:t>
      </w:r>
    </w:p>
    <w:p w14:paraId="6C85CBD2" w14:textId="77777777" w:rsidR="00D64138" w:rsidRDefault="00D64138" w:rsidP="000B4B4F">
      <w:pPr>
        <w:spacing w:after="0"/>
        <w:jc w:val="both"/>
        <w:rPr>
          <w:rFonts w:ascii="Aptos" w:hAnsi="Aptos"/>
          <w:sz w:val="24"/>
          <w:szCs w:val="24"/>
        </w:rPr>
      </w:pPr>
    </w:p>
    <w:p w14:paraId="3FE06EE8" w14:textId="3D8642A4" w:rsidR="005E42FA" w:rsidRDefault="005E42FA" w:rsidP="005E42FA">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Charter</w:t>
      </w:r>
      <w:r>
        <w:rPr>
          <w:rFonts w:ascii="Aptos" w:hAnsi="Aptos"/>
          <w:b/>
          <w:bCs/>
          <w:sz w:val="24"/>
          <w:szCs w:val="24"/>
        </w:rPr>
        <w:t xml:space="preserve"> </w:t>
      </w:r>
      <w:r w:rsidRPr="005E42FA">
        <w:rPr>
          <w:rFonts w:ascii="Aptos" w:hAnsi="Aptos"/>
          <w:b/>
          <w:bCs/>
          <w:sz w:val="24"/>
          <w:szCs w:val="24"/>
        </w:rPr>
        <w:t>of Fundamental Rights</w:t>
      </w:r>
      <w:r>
        <w:rPr>
          <w:rFonts w:ascii="Aptos" w:hAnsi="Aptos"/>
          <w:sz w:val="24"/>
          <w:szCs w:val="24"/>
        </w:rPr>
        <w:t xml:space="preserve"> </w:t>
      </w:r>
      <w:r w:rsidRPr="005E42FA">
        <w:rPr>
          <w:rFonts w:ascii="Aptos" w:hAnsi="Aptos"/>
          <w:sz w:val="24"/>
          <w:szCs w:val="24"/>
        </w:rPr>
        <w:t>guarantees key rights and freedoms to individuals within the EU, such as dignity, freedoms, equality, solidarity, citizens' rights, and justice. The Charter reflects the EU’s commitment to human rights.</w:t>
      </w:r>
    </w:p>
    <w:p w14:paraId="48EE3B19" w14:textId="77777777" w:rsidR="005E42FA" w:rsidRPr="005E42FA" w:rsidRDefault="005E42FA" w:rsidP="005E42FA">
      <w:pPr>
        <w:spacing w:after="0"/>
        <w:jc w:val="both"/>
        <w:rPr>
          <w:rFonts w:ascii="Aptos" w:hAnsi="Aptos"/>
          <w:b/>
          <w:bCs/>
          <w:sz w:val="24"/>
          <w:szCs w:val="24"/>
        </w:rPr>
      </w:pPr>
    </w:p>
    <w:p w14:paraId="460E8EA3" w14:textId="7E16047A" w:rsidR="00023044" w:rsidRPr="00023044" w:rsidRDefault="005E42FA" w:rsidP="00023044">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General Principles</w:t>
      </w:r>
      <w:r w:rsidR="00C91DF4">
        <w:rPr>
          <w:rFonts w:ascii="Aptos" w:hAnsi="Aptos"/>
          <w:sz w:val="24"/>
          <w:szCs w:val="24"/>
        </w:rPr>
        <w:t>,</w:t>
      </w:r>
      <w:r w:rsidRPr="005E42FA">
        <w:rPr>
          <w:rFonts w:ascii="Aptos" w:hAnsi="Aptos"/>
          <w:b/>
          <w:bCs/>
          <w:sz w:val="24"/>
          <w:szCs w:val="24"/>
        </w:rPr>
        <w:t xml:space="preserve"> </w:t>
      </w:r>
      <w:r w:rsidR="00C91DF4">
        <w:rPr>
          <w:rFonts w:ascii="Aptos" w:hAnsi="Aptos"/>
          <w:sz w:val="24"/>
          <w:szCs w:val="24"/>
        </w:rPr>
        <w:t>e</w:t>
      </w:r>
      <w:r w:rsidRPr="00C91DF4">
        <w:rPr>
          <w:rFonts w:ascii="Aptos" w:hAnsi="Aptos"/>
          <w:sz w:val="24"/>
          <w:szCs w:val="24"/>
        </w:rPr>
        <w:t xml:space="preserve">stablished by the </w:t>
      </w:r>
      <w:r w:rsidR="00C91DF4" w:rsidRPr="00C91DF4">
        <w:rPr>
          <w:rFonts w:ascii="Aptos" w:hAnsi="Aptos"/>
          <w:sz w:val="24"/>
          <w:szCs w:val="24"/>
        </w:rPr>
        <w:t>Court of Justice</w:t>
      </w:r>
      <w:r w:rsidR="00C91DF4">
        <w:rPr>
          <w:rFonts w:ascii="Aptos" w:hAnsi="Aptos"/>
          <w:sz w:val="24"/>
          <w:szCs w:val="24"/>
        </w:rPr>
        <w:t>,</w:t>
      </w:r>
      <w:r>
        <w:rPr>
          <w:rFonts w:ascii="Aptos" w:hAnsi="Aptos"/>
          <w:sz w:val="24"/>
          <w:szCs w:val="24"/>
        </w:rPr>
        <w:t xml:space="preserve"> </w:t>
      </w:r>
      <w:r w:rsidRPr="005E42FA">
        <w:rPr>
          <w:rFonts w:ascii="Aptos" w:hAnsi="Aptos"/>
          <w:sz w:val="24"/>
          <w:szCs w:val="24"/>
        </w:rPr>
        <w:t>ensure fairness and coherence in the interpretation and application of EU law.</w:t>
      </w:r>
      <w:r w:rsidR="00023044">
        <w:rPr>
          <w:rFonts w:ascii="Aptos" w:hAnsi="Aptos"/>
          <w:sz w:val="24"/>
          <w:szCs w:val="24"/>
        </w:rPr>
        <w:t xml:space="preserve"> </w:t>
      </w:r>
      <w:r w:rsidR="00023044" w:rsidRPr="00023044">
        <w:rPr>
          <w:rFonts w:ascii="Aptos" w:hAnsi="Aptos"/>
          <w:sz w:val="24"/>
          <w:szCs w:val="24"/>
        </w:rPr>
        <w:t>These principles include proportionality, legal certainty and protection of fundamental rights</w:t>
      </w:r>
      <w:r w:rsidR="00023044">
        <w:rPr>
          <w:rFonts w:ascii="Aptos" w:hAnsi="Aptos"/>
          <w:sz w:val="24"/>
          <w:szCs w:val="24"/>
        </w:rPr>
        <w:t xml:space="preserve">. </w:t>
      </w:r>
    </w:p>
    <w:p w14:paraId="200B84FD" w14:textId="3782D543" w:rsidR="005E42FA" w:rsidRPr="005E42FA" w:rsidRDefault="005E42FA" w:rsidP="005E42FA">
      <w:pPr>
        <w:spacing w:after="0"/>
        <w:jc w:val="both"/>
        <w:rPr>
          <w:rFonts w:ascii="Aptos" w:hAnsi="Aptos"/>
          <w:sz w:val="24"/>
          <w:szCs w:val="24"/>
        </w:rPr>
      </w:pPr>
    </w:p>
    <w:p w14:paraId="5722D7DD" w14:textId="5F02D56B" w:rsidR="004626FE" w:rsidRDefault="00A9187D" w:rsidP="00A9187D">
      <w:pPr>
        <w:spacing w:after="60"/>
        <w:jc w:val="both"/>
        <w:rPr>
          <w:rFonts w:ascii="Aptos" w:hAnsi="Aptos"/>
          <w:sz w:val="24"/>
          <w:szCs w:val="24"/>
        </w:rPr>
      </w:pPr>
      <w:r>
        <w:rPr>
          <w:rFonts w:ascii="Aptos" w:hAnsi="Aptos"/>
          <w:sz w:val="24"/>
          <w:szCs w:val="24"/>
        </w:rPr>
        <w:t xml:space="preserve">As mentioned before, primary law also consists in two treaties that shaped the basis of EU: </w:t>
      </w:r>
    </w:p>
    <w:p w14:paraId="180896C7" w14:textId="5063FB17" w:rsidR="00A9187D" w:rsidRPr="00A9187D" w:rsidRDefault="00A9187D" w:rsidP="00A9187D">
      <w:pPr>
        <w:pStyle w:val="Paragrafoelenco"/>
        <w:numPr>
          <w:ilvl w:val="0"/>
          <w:numId w:val="96"/>
        </w:numPr>
        <w:spacing w:after="60"/>
        <w:contextualSpacing w:val="0"/>
        <w:jc w:val="both"/>
        <w:rPr>
          <w:rFonts w:ascii="Aptos" w:hAnsi="Aptos"/>
          <w:sz w:val="24"/>
          <w:szCs w:val="24"/>
        </w:rPr>
      </w:pPr>
      <w:r w:rsidRPr="00A9187D">
        <w:rPr>
          <w:rFonts w:ascii="Aptos" w:hAnsi="Aptos"/>
          <w:b/>
          <w:bCs/>
          <w:sz w:val="24"/>
          <w:szCs w:val="24"/>
        </w:rPr>
        <w:t>Treaty on the European Union (TEU)</w:t>
      </w:r>
      <w:r>
        <w:rPr>
          <w:rFonts w:ascii="Aptos" w:hAnsi="Aptos"/>
          <w:sz w:val="24"/>
          <w:szCs w:val="24"/>
        </w:rPr>
        <w:t xml:space="preserve"> </w:t>
      </w:r>
      <w:r w:rsidRPr="00A9187D">
        <w:rPr>
          <w:rFonts w:ascii="Aptos" w:hAnsi="Aptos"/>
          <w:sz w:val="24"/>
          <w:szCs w:val="24"/>
        </w:rPr>
        <w:t>sets out the EU’s main objectives, principles, and values, such as promoting peace, democracy, and the well-being of its peoples. It also defines the core institutions of the EU (e.g., European Parliament, European Commission, Council of the EU) and describes their functions and relationships. The TEU essentially acts as a "constitutional" document for the EU, outlining its purpose and values.</w:t>
      </w:r>
    </w:p>
    <w:p w14:paraId="50A091FC" w14:textId="77777777" w:rsidR="00641CDA" w:rsidRDefault="00A9187D" w:rsidP="0032344D">
      <w:pPr>
        <w:pStyle w:val="Paragrafoelenco"/>
        <w:numPr>
          <w:ilvl w:val="0"/>
          <w:numId w:val="96"/>
        </w:numPr>
        <w:spacing w:after="0"/>
        <w:jc w:val="both"/>
        <w:rPr>
          <w:rFonts w:ascii="Aptos" w:hAnsi="Aptos"/>
          <w:sz w:val="24"/>
          <w:szCs w:val="24"/>
        </w:rPr>
      </w:pPr>
      <w:r w:rsidRPr="00641CDA">
        <w:rPr>
          <w:rFonts w:ascii="Aptos" w:hAnsi="Aptos"/>
          <w:b/>
          <w:bCs/>
          <w:sz w:val="24"/>
          <w:szCs w:val="24"/>
        </w:rPr>
        <w:t>Treaty on the Functioning of the European Union (TFEU)</w:t>
      </w:r>
      <w:r w:rsidRPr="00641CDA">
        <w:rPr>
          <w:rFonts w:ascii="Aptos" w:hAnsi="Aptos"/>
          <w:sz w:val="24"/>
          <w:szCs w:val="24"/>
        </w:rPr>
        <w:t xml:space="preserve"> provides detailed organizational and operational rules to implement the objectives established in the TEU. It includes the procedures, competencies, and responsibilities of the EU institutions, helping to structure the day-to-day functions and powers of the EU.</w:t>
      </w:r>
    </w:p>
    <w:p w14:paraId="6DC2E504" w14:textId="77777777" w:rsidR="00641CDA" w:rsidRDefault="00641CDA" w:rsidP="00641CDA">
      <w:pPr>
        <w:spacing w:after="0"/>
        <w:jc w:val="both"/>
        <w:rPr>
          <w:rFonts w:ascii="Aptos" w:hAnsi="Aptos"/>
          <w:sz w:val="24"/>
          <w:szCs w:val="24"/>
        </w:rPr>
      </w:pPr>
    </w:p>
    <w:p w14:paraId="43730498" w14:textId="73CBEFF3" w:rsidR="00F01CAD" w:rsidRDefault="00641CDA" w:rsidP="00641CDA">
      <w:pPr>
        <w:spacing w:after="0"/>
        <w:jc w:val="both"/>
        <w:rPr>
          <w:rFonts w:ascii="Aptos" w:hAnsi="Aptos"/>
          <w:sz w:val="24"/>
          <w:szCs w:val="24"/>
        </w:rPr>
      </w:pPr>
      <w:r w:rsidRPr="00641CDA">
        <w:rPr>
          <w:rFonts w:ascii="Aptos" w:hAnsi="Aptos"/>
          <w:sz w:val="24"/>
          <w:szCs w:val="24"/>
        </w:rPr>
        <w:lastRenderedPageBreak/>
        <w:t>Together, these treaties form the legal foundation of the EU, setting both broad principles and specific mechanisms for how the EU functions and interacts with its member states and citizens.</w:t>
      </w:r>
      <w:r w:rsidR="00A9187D" w:rsidRPr="00641CDA">
        <w:rPr>
          <w:rFonts w:ascii="Aptos" w:hAnsi="Aptos"/>
          <w:sz w:val="24"/>
          <w:szCs w:val="24"/>
        </w:rPr>
        <w:t xml:space="preserve"> </w:t>
      </w:r>
    </w:p>
    <w:p w14:paraId="042FB48D" w14:textId="77777777" w:rsidR="00641CDA" w:rsidRDefault="00641CDA" w:rsidP="00641CDA">
      <w:pPr>
        <w:spacing w:after="0"/>
        <w:jc w:val="both"/>
        <w:rPr>
          <w:rFonts w:ascii="Aptos" w:hAnsi="Aptos"/>
          <w:sz w:val="24"/>
          <w:szCs w:val="24"/>
        </w:rPr>
      </w:pPr>
    </w:p>
    <w:p w14:paraId="1D29CBD1" w14:textId="368E428F" w:rsidR="00F01CAD" w:rsidRDefault="00BF6D21" w:rsidP="008D6D7F">
      <w:pPr>
        <w:spacing w:after="0"/>
        <w:jc w:val="both"/>
        <w:rPr>
          <w:rFonts w:ascii="Aptos" w:hAnsi="Aptos"/>
          <w:sz w:val="24"/>
          <w:szCs w:val="24"/>
        </w:rPr>
      </w:pPr>
      <w:r w:rsidRPr="00846D44">
        <w:rPr>
          <w:rFonts w:ascii="Aptos" w:hAnsi="Aptos"/>
          <w:b/>
          <w:bCs/>
          <w:sz w:val="24"/>
          <w:szCs w:val="24"/>
          <w:u w:val="single"/>
        </w:rPr>
        <w:t>Article 16(1) of TFEU</w:t>
      </w:r>
      <w:r w:rsidR="00E40E70">
        <w:rPr>
          <w:rFonts w:ascii="Aptos" w:hAnsi="Aptos"/>
          <w:b/>
          <w:bCs/>
          <w:sz w:val="24"/>
          <w:szCs w:val="24"/>
        </w:rPr>
        <w:t xml:space="preserve"> </w:t>
      </w:r>
      <w:r w:rsidR="005D215F">
        <w:rPr>
          <w:rFonts w:ascii="Aptos" w:hAnsi="Aptos"/>
          <w:bCs/>
          <w:sz w:val="24"/>
          <w:szCs w:val="24"/>
        </w:rPr>
        <w:t>establishes</w:t>
      </w:r>
      <w:r w:rsidR="00E40E70">
        <w:rPr>
          <w:rFonts w:ascii="Aptos" w:hAnsi="Aptos"/>
          <w:bCs/>
          <w:sz w:val="24"/>
          <w:szCs w:val="24"/>
        </w:rPr>
        <w:t xml:space="preserve"> </w:t>
      </w:r>
      <w:r w:rsidRPr="00BF6D21">
        <w:rPr>
          <w:rFonts w:ascii="Aptos" w:hAnsi="Aptos"/>
          <w:sz w:val="24"/>
          <w:szCs w:val="24"/>
        </w:rPr>
        <w:t xml:space="preserve">the right to </w:t>
      </w:r>
      <w:r w:rsidRPr="00720411">
        <w:rPr>
          <w:rFonts w:ascii="Aptos" w:hAnsi="Aptos"/>
          <w:b/>
          <w:bCs/>
          <w:sz w:val="24"/>
          <w:szCs w:val="24"/>
        </w:rPr>
        <w:t>personal data protection</w:t>
      </w:r>
      <w:r w:rsidRPr="00BF6D21">
        <w:rPr>
          <w:rFonts w:ascii="Aptos" w:hAnsi="Aptos"/>
          <w:sz w:val="24"/>
          <w:szCs w:val="24"/>
        </w:rPr>
        <w:t xml:space="preserve"> as a fundamental aspect of human rights within the EU. This provision underscores that individuals have a right to privacy concerning their personal data, ensuring their control over how personal information is used, stored, and shared. This article laid the groundwork for the General Data Protection Regulation (GDPR). </w:t>
      </w:r>
    </w:p>
    <w:p w14:paraId="06813F8B" w14:textId="77777777" w:rsidR="008D6D7F" w:rsidRPr="00641CDA" w:rsidRDefault="008D6D7F" w:rsidP="00641CDA">
      <w:pPr>
        <w:spacing w:after="0"/>
        <w:jc w:val="both"/>
        <w:rPr>
          <w:rFonts w:ascii="Aptos" w:hAnsi="Aptos"/>
          <w:sz w:val="24"/>
          <w:szCs w:val="24"/>
        </w:rPr>
      </w:pPr>
    </w:p>
    <w:p w14:paraId="77DA6CA2" w14:textId="284FE6BE" w:rsidR="00D25C7F" w:rsidRPr="00EA367A" w:rsidRDefault="00D25C7F" w:rsidP="008D6D7F">
      <w:pPr>
        <w:pStyle w:val="Titolo3"/>
        <w:spacing w:before="0"/>
        <w:rPr>
          <w:rFonts w:ascii="Aptos" w:hAnsi="Aptos"/>
          <w:b/>
          <w:bCs/>
          <w:color w:val="auto"/>
          <w:sz w:val="28"/>
          <w:szCs w:val="28"/>
        </w:rPr>
      </w:pPr>
      <w:bookmarkStart w:id="4" w:name="_Toc182128445"/>
      <w:r w:rsidRPr="00EA367A">
        <w:rPr>
          <w:rFonts w:ascii="Aptos" w:hAnsi="Aptos"/>
          <w:b/>
          <w:bCs/>
          <w:color w:val="auto"/>
          <w:sz w:val="28"/>
          <w:szCs w:val="28"/>
        </w:rPr>
        <w:t>2.1.</w:t>
      </w:r>
      <w:r w:rsidR="00187E97">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Secondary Law</w:t>
      </w:r>
      <w:bookmarkEnd w:id="4"/>
    </w:p>
    <w:p w14:paraId="60F37B9F" w14:textId="3B278EAF" w:rsidR="00D25C7F" w:rsidRDefault="00D25C7F" w:rsidP="000B4B4F">
      <w:pPr>
        <w:spacing w:after="0"/>
        <w:jc w:val="both"/>
        <w:rPr>
          <w:rFonts w:ascii="Aptos" w:hAnsi="Aptos"/>
          <w:sz w:val="24"/>
          <w:szCs w:val="24"/>
        </w:rPr>
      </w:pPr>
    </w:p>
    <w:p w14:paraId="36922D9C" w14:textId="00F61BC9" w:rsidR="00BF02A8" w:rsidRDefault="00BF02A8" w:rsidP="00BF02A8">
      <w:pPr>
        <w:spacing w:after="0"/>
        <w:jc w:val="both"/>
        <w:rPr>
          <w:rFonts w:ascii="Aptos" w:hAnsi="Aptos"/>
          <w:sz w:val="24"/>
          <w:szCs w:val="24"/>
        </w:rPr>
      </w:pPr>
      <w:r w:rsidRPr="00BF02A8">
        <w:rPr>
          <w:rFonts w:ascii="Aptos" w:hAnsi="Aptos"/>
          <w:b/>
          <w:bCs/>
          <w:sz w:val="24"/>
          <w:szCs w:val="24"/>
        </w:rPr>
        <w:t>S</w:t>
      </w:r>
      <w:r w:rsidRPr="00BF02A8">
        <w:rPr>
          <w:rFonts w:ascii="Aptos" w:hAnsi="Aptos"/>
          <w:b/>
          <w:bCs/>
          <w:sz w:val="24"/>
          <w:szCs w:val="24"/>
        </w:rPr>
        <w:t>econdary Law</w:t>
      </w:r>
      <w:r w:rsidRPr="00BF02A8">
        <w:rPr>
          <w:rFonts w:ascii="Aptos" w:hAnsi="Aptos"/>
          <w:sz w:val="24"/>
          <w:szCs w:val="24"/>
        </w:rPr>
        <w:t xml:space="preserve"> in the EU refers to legal acts established based on the EU Treaties, and it is governed by Article 288 of the </w:t>
      </w:r>
      <w:r w:rsidR="00924CAD">
        <w:rPr>
          <w:rFonts w:ascii="Aptos" w:hAnsi="Aptos"/>
          <w:sz w:val="24"/>
          <w:szCs w:val="24"/>
        </w:rPr>
        <w:t>TFEU which defines typical and atypical acts</w:t>
      </w:r>
      <w:r w:rsidRPr="00BF02A8">
        <w:rPr>
          <w:rFonts w:ascii="Aptos" w:hAnsi="Aptos"/>
          <w:sz w:val="24"/>
          <w:szCs w:val="24"/>
        </w:rPr>
        <w:t>.</w:t>
      </w:r>
    </w:p>
    <w:p w14:paraId="24342DDE" w14:textId="77777777" w:rsidR="00BF02A8" w:rsidRPr="00BF02A8" w:rsidRDefault="00BF02A8" w:rsidP="00BF02A8">
      <w:pPr>
        <w:spacing w:after="0"/>
        <w:jc w:val="both"/>
        <w:rPr>
          <w:rFonts w:ascii="Aptos" w:hAnsi="Aptos"/>
          <w:sz w:val="24"/>
          <w:szCs w:val="24"/>
        </w:rPr>
      </w:pPr>
    </w:p>
    <w:p w14:paraId="20EC85CD" w14:textId="1EAF0C7B" w:rsidR="00BF02A8" w:rsidRPr="00BF02A8" w:rsidRDefault="00BF02A8" w:rsidP="00435B3D">
      <w:pPr>
        <w:spacing w:after="60"/>
        <w:jc w:val="both"/>
        <w:rPr>
          <w:rFonts w:ascii="Aptos" w:hAnsi="Aptos"/>
          <w:sz w:val="24"/>
          <w:szCs w:val="24"/>
        </w:rPr>
      </w:pPr>
      <w:r w:rsidRPr="00BF02A8">
        <w:rPr>
          <w:rFonts w:ascii="Aptos" w:hAnsi="Aptos"/>
          <w:b/>
          <w:bCs/>
          <w:sz w:val="24"/>
          <w:szCs w:val="24"/>
        </w:rPr>
        <w:t xml:space="preserve">Typical Acts </w:t>
      </w:r>
      <w:r w:rsidRPr="00BF02A8">
        <w:rPr>
          <w:rFonts w:ascii="Aptos" w:hAnsi="Aptos"/>
          <w:sz w:val="24"/>
          <w:szCs w:val="24"/>
        </w:rPr>
        <w:t>(Art. 288 TFEU)</w:t>
      </w:r>
      <w:r w:rsidR="00781886" w:rsidRPr="006D2588">
        <w:rPr>
          <w:rFonts w:ascii="Aptos" w:hAnsi="Aptos"/>
          <w:sz w:val="24"/>
          <w:szCs w:val="24"/>
        </w:rPr>
        <w:t xml:space="preserve"> </w:t>
      </w:r>
      <w:r w:rsidR="00781886" w:rsidRPr="00DB7BB4">
        <w:rPr>
          <w:rFonts w:ascii="Aptos" w:hAnsi="Aptos"/>
          <w:sz w:val="24"/>
          <w:szCs w:val="24"/>
        </w:rPr>
        <w:t>include</w:t>
      </w:r>
      <w:r w:rsidRPr="00BF02A8">
        <w:rPr>
          <w:rFonts w:ascii="Aptos" w:hAnsi="Aptos"/>
          <w:sz w:val="24"/>
          <w:szCs w:val="24"/>
        </w:rPr>
        <w:t>:</w:t>
      </w:r>
    </w:p>
    <w:p w14:paraId="2CD5D1EE" w14:textId="0D728C82" w:rsidR="00BF02A8" w:rsidRPr="00BF02A8" w:rsidRDefault="00BF02A8" w:rsidP="00435B3D">
      <w:pPr>
        <w:pStyle w:val="Paragrafoelenco"/>
        <w:numPr>
          <w:ilvl w:val="0"/>
          <w:numId w:val="104"/>
        </w:numPr>
        <w:spacing w:after="60"/>
        <w:contextualSpacing w:val="0"/>
        <w:jc w:val="both"/>
        <w:rPr>
          <w:rFonts w:ascii="Aptos" w:hAnsi="Aptos"/>
          <w:sz w:val="24"/>
          <w:szCs w:val="24"/>
        </w:rPr>
      </w:pPr>
      <w:r w:rsidRPr="00781886">
        <w:rPr>
          <w:rFonts w:ascii="Aptos" w:hAnsi="Aptos"/>
          <w:b/>
          <w:bCs/>
          <w:sz w:val="24"/>
          <w:szCs w:val="24"/>
        </w:rPr>
        <w:t>Regulations</w:t>
      </w:r>
      <w:r w:rsidRPr="00411A46">
        <w:rPr>
          <w:rFonts w:ascii="Aptos" w:hAnsi="Aptos"/>
          <w:sz w:val="24"/>
          <w:szCs w:val="24"/>
        </w:rPr>
        <w:t>,</w:t>
      </w:r>
      <w:r w:rsidRPr="00781886">
        <w:rPr>
          <w:rFonts w:ascii="Aptos" w:hAnsi="Aptos"/>
          <w:b/>
          <w:bCs/>
          <w:sz w:val="24"/>
          <w:szCs w:val="24"/>
        </w:rPr>
        <w:t xml:space="preserve"> Directives</w:t>
      </w:r>
      <w:r w:rsidRPr="00411A46">
        <w:rPr>
          <w:rFonts w:ascii="Aptos" w:hAnsi="Aptos"/>
          <w:sz w:val="24"/>
          <w:szCs w:val="24"/>
        </w:rPr>
        <w:t>,</w:t>
      </w:r>
      <w:r w:rsidRPr="00781886">
        <w:rPr>
          <w:rFonts w:ascii="Aptos" w:hAnsi="Aptos"/>
          <w:b/>
          <w:bCs/>
          <w:sz w:val="24"/>
          <w:szCs w:val="24"/>
        </w:rPr>
        <w:t xml:space="preserve"> </w:t>
      </w:r>
      <w:r w:rsidRPr="00411A46">
        <w:rPr>
          <w:rFonts w:ascii="Aptos" w:hAnsi="Aptos"/>
          <w:sz w:val="24"/>
          <w:szCs w:val="24"/>
        </w:rPr>
        <w:t>and</w:t>
      </w:r>
      <w:r w:rsidRPr="00781886">
        <w:rPr>
          <w:rFonts w:ascii="Aptos" w:hAnsi="Aptos"/>
          <w:b/>
          <w:bCs/>
          <w:sz w:val="24"/>
          <w:szCs w:val="24"/>
        </w:rPr>
        <w:t xml:space="preserve"> Decisions</w:t>
      </w:r>
      <w:r w:rsidRPr="00BF02A8">
        <w:rPr>
          <w:rFonts w:ascii="Aptos" w:hAnsi="Aptos"/>
          <w:sz w:val="24"/>
          <w:szCs w:val="24"/>
        </w:rPr>
        <w:t xml:space="preserve">: </w:t>
      </w:r>
      <w:r w:rsidR="00C5393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binding</w:t>
      </w:r>
      <w:r w:rsidRPr="00BF02A8">
        <w:rPr>
          <w:rFonts w:ascii="Aptos" w:hAnsi="Aptos"/>
          <w:sz w:val="24"/>
          <w:szCs w:val="24"/>
        </w:rPr>
        <w:t xml:space="preserve"> forms of law often referred to as "hard law." They have legal force and are mandatory in specific ways, depending on the type.</w:t>
      </w:r>
    </w:p>
    <w:p w14:paraId="21E363BD" w14:textId="2F5C6B46" w:rsidR="00BF02A8" w:rsidRDefault="00BF02A8" w:rsidP="00BF02A8">
      <w:pPr>
        <w:pStyle w:val="Paragrafoelenco"/>
        <w:numPr>
          <w:ilvl w:val="0"/>
          <w:numId w:val="104"/>
        </w:numPr>
        <w:spacing w:after="0"/>
        <w:jc w:val="both"/>
        <w:rPr>
          <w:rFonts w:ascii="Aptos" w:hAnsi="Aptos"/>
          <w:sz w:val="24"/>
          <w:szCs w:val="24"/>
        </w:rPr>
      </w:pPr>
      <w:r w:rsidRPr="00BF02A8">
        <w:rPr>
          <w:rFonts w:ascii="Aptos" w:hAnsi="Aptos"/>
          <w:b/>
          <w:bCs/>
          <w:sz w:val="24"/>
          <w:szCs w:val="24"/>
        </w:rPr>
        <w:t xml:space="preserve">Opinions </w:t>
      </w:r>
      <w:r w:rsidRPr="00411A46">
        <w:rPr>
          <w:rFonts w:ascii="Aptos" w:hAnsi="Aptos"/>
          <w:sz w:val="24"/>
          <w:szCs w:val="24"/>
        </w:rPr>
        <w:t>and</w:t>
      </w:r>
      <w:r w:rsidRPr="00BF02A8">
        <w:rPr>
          <w:rFonts w:ascii="Aptos" w:hAnsi="Aptos"/>
          <w:b/>
          <w:bCs/>
          <w:sz w:val="24"/>
          <w:szCs w:val="24"/>
        </w:rPr>
        <w:t xml:space="preserve"> Recommendations</w:t>
      </w:r>
      <w:r w:rsidRPr="00BF02A8">
        <w:rPr>
          <w:rFonts w:ascii="Aptos" w:hAnsi="Aptos"/>
          <w:sz w:val="24"/>
          <w:szCs w:val="24"/>
        </w:rPr>
        <w:t xml:space="preserve">: </w:t>
      </w:r>
      <w:r w:rsidR="00DF066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non-binding</w:t>
      </w:r>
      <w:r w:rsidRPr="00BF02A8">
        <w:rPr>
          <w:rFonts w:ascii="Aptos" w:hAnsi="Aptos"/>
          <w:sz w:val="24"/>
          <w:szCs w:val="24"/>
        </w:rPr>
        <w:t>, often termed "soft law," and serve as guidance without enforceable power.</w:t>
      </w:r>
    </w:p>
    <w:p w14:paraId="5503F06E" w14:textId="77777777" w:rsidR="00BF02A8" w:rsidRDefault="00BF02A8" w:rsidP="00EE30DD">
      <w:pPr>
        <w:spacing w:after="0"/>
        <w:jc w:val="both"/>
        <w:rPr>
          <w:rFonts w:ascii="Aptos" w:hAnsi="Aptos"/>
          <w:sz w:val="24"/>
          <w:szCs w:val="24"/>
        </w:rPr>
      </w:pPr>
    </w:p>
    <w:p w14:paraId="32F0CDF3" w14:textId="45B07BD3" w:rsidR="00435B3D" w:rsidRPr="00435B3D" w:rsidRDefault="003669E1" w:rsidP="00EE30DD">
      <w:pPr>
        <w:spacing w:after="60"/>
        <w:jc w:val="both"/>
        <w:rPr>
          <w:rFonts w:ascii="Aptos" w:hAnsi="Aptos"/>
          <w:sz w:val="24"/>
          <w:szCs w:val="24"/>
        </w:rPr>
      </w:pPr>
      <w:r>
        <w:rPr>
          <w:rFonts w:ascii="Aptos" w:hAnsi="Aptos"/>
          <w:b/>
          <w:bCs/>
          <w:sz w:val="24"/>
          <w:szCs w:val="24"/>
        </w:rPr>
        <w:t xml:space="preserve">How much </w:t>
      </w:r>
      <w:r w:rsidR="00767871">
        <w:rPr>
          <w:rFonts w:ascii="Aptos" w:hAnsi="Aptos"/>
          <w:b/>
          <w:bCs/>
          <w:sz w:val="24"/>
          <w:szCs w:val="24"/>
        </w:rPr>
        <w:t xml:space="preserve">is </w:t>
      </w:r>
      <w:r>
        <w:rPr>
          <w:rFonts w:ascii="Aptos" w:hAnsi="Aptos"/>
          <w:b/>
          <w:bCs/>
          <w:sz w:val="24"/>
          <w:szCs w:val="24"/>
        </w:rPr>
        <w:t>each typical act binding?</w:t>
      </w:r>
    </w:p>
    <w:p w14:paraId="3E809DCD" w14:textId="77777777" w:rsidR="00EE30DD" w:rsidRDefault="00435B3D" w:rsidP="00EE30DD">
      <w:pPr>
        <w:pStyle w:val="Paragrafoelenco"/>
        <w:numPr>
          <w:ilvl w:val="0"/>
          <w:numId w:val="104"/>
        </w:numPr>
        <w:spacing w:after="60"/>
        <w:contextualSpacing w:val="0"/>
        <w:jc w:val="both"/>
        <w:rPr>
          <w:rFonts w:ascii="Aptos" w:hAnsi="Aptos"/>
          <w:sz w:val="24"/>
          <w:szCs w:val="24"/>
        </w:rPr>
      </w:pPr>
      <w:r w:rsidRPr="00435B3D">
        <w:rPr>
          <w:rFonts w:ascii="Aptos" w:hAnsi="Aptos"/>
          <w:sz w:val="24"/>
          <w:szCs w:val="24"/>
        </w:rPr>
        <w:t xml:space="preserve">A </w:t>
      </w:r>
      <w:r w:rsidRPr="00986F57">
        <w:rPr>
          <w:rFonts w:ascii="Aptos" w:hAnsi="Aptos"/>
          <w:b/>
          <w:bCs/>
          <w:sz w:val="24"/>
          <w:szCs w:val="24"/>
          <w:u w:val="single"/>
        </w:rPr>
        <w:t>regulation</w:t>
      </w:r>
      <w:r w:rsidRPr="00435B3D">
        <w:rPr>
          <w:rFonts w:ascii="Aptos" w:hAnsi="Aptos"/>
          <w:sz w:val="24"/>
          <w:szCs w:val="24"/>
        </w:rPr>
        <w:t xml:space="preserve"> is binding in its entirety and is directly applicable in all EU Member States. This means that once it is adopted, it automatically becomes part of national law without the need for transposition. Member States are required to apply it as it is, ensuring consistent application across the EU.</w:t>
      </w:r>
    </w:p>
    <w:p w14:paraId="55C8B9EC" w14:textId="6732A1E7" w:rsidR="00435B3D" w:rsidRPr="00EE30DD" w:rsidRDefault="00435B3D" w:rsidP="00EE30DD">
      <w:pPr>
        <w:pStyle w:val="Paragrafoelenco"/>
        <w:numPr>
          <w:ilvl w:val="0"/>
          <w:numId w:val="104"/>
        </w:numPr>
        <w:spacing w:after="60"/>
        <w:contextualSpacing w:val="0"/>
        <w:jc w:val="both"/>
        <w:rPr>
          <w:rFonts w:ascii="Aptos" w:hAnsi="Aptos"/>
          <w:sz w:val="24"/>
          <w:szCs w:val="24"/>
        </w:rPr>
      </w:pPr>
      <w:r w:rsidRPr="00EE30DD">
        <w:rPr>
          <w:rFonts w:ascii="Aptos" w:hAnsi="Aptos"/>
          <w:sz w:val="24"/>
          <w:szCs w:val="24"/>
        </w:rPr>
        <w:t xml:space="preserve">A </w:t>
      </w:r>
      <w:r w:rsidRPr="00986F57">
        <w:rPr>
          <w:rFonts w:ascii="Aptos" w:hAnsi="Aptos"/>
          <w:b/>
          <w:bCs/>
          <w:sz w:val="24"/>
          <w:szCs w:val="24"/>
          <w:u w:val="single"/>
        </w:rPr>
        <w:t>directive</w:t>
      </w:r>
      <w:r w:rsidRPr="00EE30DD">
        <w:rPr>
          <w:rFonts w:ascii="Aptos" w:hAnsi="Aptos"/>
          <w:sz w:val="24"/>
          <w:szCs w:val="24"/>
        </w:rPr>
        <w:t xml:space="preserve"> is binding regarding the result it seeks to achieve but allows Member States flexibility in how they implement it. National authorities are responsible for choosing the form and methods to reach the directive’s objectives. This process requires transposition, where each Member State adapts the directive into its own legal framework, while still achieving the intended EU-wide goal.</w:t>
      </w:r>
    </w:p>
    <w:p w14:paraId="21D90BCC" w14:textId="1C7A125B" w:rsidR="00435B3D" w:rsidRPr="00435B3D" w:rsidRDefault="00435B3D" w:rsidP="00EE30DD">
      <w:pPr>
        <w:pStyle w:val="Paragrafoelenco"/>
        <w:numPr>
          <w:ilvl w:val="0"/>
          <w:numId w:val="104"/>
        </w:numPr>
        <w:spacing w:after="0"/>
        <w:jc w:val="both"/>
        <w:rPr>
          <w:rFonts w:ascii="Aptos" w:hAnsi="Aptos"/>
          <w:b/>
          <w:bCs/>
          <w:sz w:val="24"/>
          <w:szCs w:val="24"/>
        </w:rPr>
      </w:pPr>
      <w:r w:rsidRPr="00435B3D">
        <w:rPr>
          <w:rFonts w:ascii="Aptos" w:hAnsi="Aptos"/>
          <w:sz w:val="24"/>
          <w:szCs w:val="24"/>
        </w:rPr>
        <w:t xml:space="preserve">A </w:t>
      </w:r>
      <w:r w:rsidRPr="00986F57">
        <w:rPr>
          <w:rFonts w:ascii="Aptos" w:hAnsi="Aptos"/>
          <w:b/>
          <w:bCs/>
          <w:sz w:val="24"/>
          <w:szCs w:val="24"/>
          <w:u w:val="single"/>
        </w:rPr>
        <w:t>decision</w:t>
      </w:r>
      <w:r w:rsidRPr="00435B3D">
        <w:rPr>
          <w:rFonts w:ascii="Aptos" w:hAnsi="Aptos"/>
          <w:sz w:val="24"/>
          <w:szCs w:val="24"/>
        </w:rPr>
        <w:t xml:space="preserve"> is fully binding in its entirety. It can be general, applying to all within the EU, or individual, targeting specific entities or individuals. When a decision is individual in scope, it is only binding on the parties to whom it is addressed, making it a tailored instrument for specific cases.</w:t>
      </w:r>
    </w:p>
    <w:p w14:paraId="6A590C32" w14:textId="77777777" w:rsidR="00435B3D" w:rsidRPr="00BF02A8" w:rsidRDefault="00435B3D" w:rsidP="00BF02A8">
      <w:pPr>
        <w:spacing w:after="0"/>
        <w:jc w:val="both"/>
        <w:rPr>
          <w:rFonts w:ascii="Aptos" w:hAnsi="Aptos"/>
          <w:sz w:val="24"/>
          <w:szCs w:val="24"/>
        </w:rPr>
      </w:pPr>
    </w:p>
    <w:p w14:paraId="6DB87D1E" w14:textId="23211F26" w:rsidR="00BF02A8" w:rsidRPr="00C5393E" w:rsidRDefault="00BF02A8" w:rsidP="00C5393E">
      <w:pPr>
        <w:spacing w:after="0"/>
        <w:jc w:val="both"/>
        <w:rPr>
          <w:rFonts w:ascii="Aptos" w:hAnsi="Aptos"/>
          <w:sz w:val="24"/>
          <w:szCs w:val="24"/>
          <w:lang w:val="it-IT"/>
        </w:rPr>
      </w:pPr>
      <w:r w:rsidRPr="00BF02A8">
        <w:rPr>
          <w:rFonts w:ascii="Aptos" w:hAnsi="Aptos"/>
          <w:b/>
          <w:bCs/>
          <w:sz w:val="24"/>
          <w:szCs w:val="24"/>
        </w:rPr>
        <w:t>Atypical Acts</w:t>
      </w:r>
      <w:r w:rsidR="00C5393E">
        <w:rPr>
          <w:rFonts w:ascii="Aptos" w:hAnsi="Aptos"/>
          <w:sz w:val="24"/>
          <w:szCs w:val="24"/>
        </w:rPr>
        <w:t xml:space="preserve"> </w:t>
      </w:r>
      <w:r w:rsidRPr="00C5393E">
        <w:rPr>
          <w:rFonts w:ascii="Aptos" w:hAnsi="Aptos"/>
          <w:sz w:val="24"/>
          <w:szCs w:val="24"/>
        </w:rPr>
        <w:t xml:space="preserve">include documents like </w:t>
      </w:r>
      <w:r w:rsidRPr="00684178">
        <w:rPr>
          <w:rFonts w:ascii="Aptos" w:hAnsi="Aptos"/>
          <w:sz w:val="24"/>
          <w:szCs w:val="24"/>
        </w:rPr>
        <w:t>communications, resolutions, white papers, and green papers</w:t>
      </w:r>
      <w:r w:rsidRPr="00C5393E">
        <w:rPr>
          <w:rFonts w:ascii="Aptos" w:hAnsi="Aptos"/>
          <w:sz w:val="24"/>
          <w:szCs w:val="24"/>
        </w:rPr>
        <w:t>. They are not explicitly mentioned in Art. 288 TFEU and generally lack binding force, often used to express ideas, intentions, or proposals from EU institutions.</w:t>
      </w:r>
    </w:p>
    <w:p w14:paraId="39BBE7FF" w14:textId="77777777" w:rsidR="00B729B9" w:rsidRDefault="00B729B9" w:rsidP="000B4B4F">
      <w:pPr>
        <w:spacing w:after="0"/>
        <w:jc w:val="both"/>
        <w:rPr>
          <w:rFonts w:ascii="Aptos" w:hAnsi="Aptos"/>
          <w:sz w:val="24"/>
          <w:szCs w:val="24"/>
        </w:rPr>
      </w:pPr>
    </w:p>
    <w:p w14:paraId="1E6E813F" w14:textId="77777777" w:rsidR="00AC5B15" w:rsidRDefault="00AC5B15" w:rsidP="000B4B4F">
      <w:pPr>
        <w:spacing w:after="0"/>
        <w:jc w:val="both"/>
        <w:rPr>
          <w:rFonts w:ascii="Aptos" w:hAnsi="Aptos"/>
          <w:sz w:val="24"/>
          <w:szCs w:val="24"/>
        </w:rPr>
      </w:pPr>
    </w:p>
    <w:p w14:paraId="50FAFACA" w14:textId="7679E430" w:rsidR="001056B0" w:rsidRDefault="001056B0" w:rsidP="001056B0">
      <w:pPr>
        <w:pStyle w:val="Titolo2"/>
        <w:spacing w:before="0"/>
        <w:rPr>
          <w:rFonts w:ascii="Aptos" w:hAnsi="Aptos"/>
          <w:b/>
          <w:bCs/>
          <w:color w:val="auto"/>
          <w:sz w:val="32"/>
          <w:szCs w:val="32"/>
        </w:rPr>
      </w:pPr>
      <w:bookmarkStart w:id="5" w:name="_Toc182128446"/>
      <w:r w:rsidRPr="00E8031D">
        <w:rPr>
          <w:rFonts w:ascii="Aptos" w:hAnsi="Aptos"/>
          <w:b/>
          <w:bCs/>
          <w:color w:val="auto"/>
          <w:sz w:val="32"/>
          <w:szCs w:val="32"/>
        </w:rPr>
        <w:lastRenderedPageBreak/>
        <w:t>2.</w:t>
      </w:r>
      <w:r>
        <w:rPr>
          <w:rFonts w:ascii="Aptos" w:hAnsi="Aptos"/>
          <w:b/>
          <w:bCs/>
          <w:color w:val="auto"/>
          <w:sz w:val="32"/>
          <w:szCs w:val="32"/>
        </w:rPr>
        <w:t>2</w:t>
      </w:r>
      <w:r w:rsidRPr="00E8031D">
        <w:rPr>
          <w:rFonts w:ascii="Aptos" w:hAnsi="Aptos"/>
          <w:b/>
          <w:bCs/>
          <w:color w:val="auto"/>
          <w:sz w:val="32"/>
          <w:szCs w:val="32"/>
        </w:rPr>
        <w:t xml:space="preserve"> </w:t>
      </w:r>
      <w:r>
        <w:rPr>
          <w:rFonts w:ascii="Aptos" w:hAnsi="Aptos"/>
          <w:b/>
          <w:bCs/>
          <w:color w:val="auto"/>
          <w:sz w:val="32"/>
          <w:szCs w:val="32"/>
        </w:rPr>
        <w:t>EU institutions</w:t>
      </w:r>
      <w:bookmarkEnd w:id="5"/>
    </w:p>
    <w:p w14:paraId="409FE402" w14:textId="77777777" w:rsidR="001056B0" w:rsidRDefault="001056B0" w:rsidP="000B4B4F">
      <w:pPr>
        <w:spacing w:after="0"/>
        <w:jc w:val="both"/>
        <w:rPr>
          <w:rFonts w:ascii="Aptos" w:hAnsi="Aptos"/>
          <w:sz w:val="24"/>
          <w:szCs w:val="24"/>
        </w:rPr>
      </w:pPr>
    </w:p>
    <w:p w14:paraId="7683872D" w14:textId="068DEEF1" w:rsidR="00AC5B15" w:rsidRPr="000B4B4F" w:rsidRDefault="00AC5B15" w:rsidP="000B4B4F">
      <w:pPr>
        <w:spacing w:after="0"/>
        <w:jc w:val="both"/>
        <w:rPr>
          <w:rFonts w:ascii="Aptos" w:hAnsi="Aptos"/>
          <w:sz w:val="24"/>
          <w:szCs w:val="24"/>
        </w:rPr>
      </w:pPr>
      <w:r>
        <w:rPr>
          <w:rFonts w:ascii="Aptos" w:hAnsi="Aptos"/>
          <w:sz w:val="24"/>
          <w:szCs w:val="24"/>
        </w:rPr>
        <w:t>Slide 09</w:t>
      </w:r>
    </w:p>
    <w:sectPr w:rsidR="00AC5B15" w:rsidRPr="000B4B4F" w:rsidSect="00AE3A73">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610E3" w14:textId="77777777" w:rsidR="001D73E7" w:rsidRPr="009C6F7F" w:rsidRDefault="001D73E7" w:rsidP="005746A3">
      <w:pPr>
        <w:spacing w:after="0" w:line="240" w:lineRule="auto"/>
      </w:pPr>
      <w:r w:rsidRPr="009C6F7F">
        <w:separator/>
      </w:r>
    </w:p>
  </w:endnote>
  <w:endnote w:type="continuationSeparator" w:id="0">
    <w:p w14:paraId="120E682D" w14:textId="77777777" w:rsidR="001D73E7" w:rsidRPr="009C6F7F" w:rsidRDefault="001D73E7"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79DD2" w14:textId="77777777" w:rsidR="001D73E7" w:rsidRPr="009C6F7F" w:rsidRDefault="001D73E7" w:rsidP="005746A3">
      <w:pPr>
        <w:spacing w:after="0" w:line="240" w:lineRule="auto"/>
      </w:pPr>
      <w:r w:rsidRPr="009C6F7F">
        <w:separator/>
      </w:r>
    </w:p>
  </w:footnote>
  <w:footnote w:type="continuationSeparator" w:id="0">
    <w:p w14:paraId="78B8CC56" w14:textId="77777777" w:rsidR="001D73E7" w:rsidRPr="009C6F7F" w:rsidRDefault="001D73E7"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404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9BB39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1402B"/>
    <w:multiLevelType w:val="hybridMultilevel"/>
    <w:tmpl w:val="07ACCC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788BB1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B5B56BB"/>
    <w:multiLevelType w:val="hybridMultilevel"/>
    <w:tmpl w:val="174C2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6B351B"/>
    <w:multiLevelType w:val="hybridMultilevel"/>
    <w:tmpl w:val="FE2C8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34"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6694144"/>
    <w:multiLevelType w:val="multilevel"/>
    <w:tmpl w:val="2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F60A1E"/>
    <w:multiLevelType w:val="hybridMultilevel"/>
    <w:tmpl w:val="BE7873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D814521"/>
    <w:multiLevelType w:val="multilevel"/>
    <w:tmpl w:val="776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1B16334"/>
    <w:multiLevelType w:val="multilevel"/>
    <w:tmpl w:val="FF7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492258A0"/>
    <w:multiLevelType w:val="hybridMultilevel"/>
    <w:tmpl w:val="6EDC6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4"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68CF172A"/>
    <w:multiLevelType w:val="hybridMultilevel"/>
    <w:tmpl w:val="0D6C5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5"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6D7F693B"/>
    <w:multiLevelType w:val="hybridMultilevel"/>
    <w:tmpl w:val="6FC67E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7"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BD6C63"/>
    <w:multiLevelType w:val="hybridMultilevel"/>
    <w:tmpl w:val="D298C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71372452"/>
    <w:multiLevelType w:val="multilevel"/>
    <w:tmpl w:val="1C3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7"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7A821725"/>
    <w:multiLevelType w:val="hybridMultilevel"/>
    <w:tmpl w:val="1D56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1"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7D767570"/>
    <w:multiLevelType w:val="hybridMultilevel"/>
    <w:tmpl w:val="5072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7F7B7624"/>
    <w:multiLevelType w:val="multilevel"/>
    <w:tmpl w:val="2A0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5969">
    <w:abstractNumId w:val="101"/>
  </w:num>
  <w:num w:numId="2" w16cid:durableId="298146680">
    <w:abstractNumId w:val="78"/>
  </w:num>
  <w:num w:numId="3" w16cid:durableId="65077504">
    <w:abstractNumId w:val="30"/>
  </w:num>
  <w:num w:numId="4" w16cid:durableId="2015103678">
    <w:abstractNumId w:val="74"/>
  </w:num>
  <w:num w:numId="5" w16cid:durableId="1971666851">
    <w:abstractNumId w:val="23"/>
  </w:num>
  <w:num w:numId="6" w16cid:durableId="1027218217">
    <w:abstractNumId w:val="34"/>
  </w:num>
  <w:num w:numId="7" w16cid:durableId="132716066">
    <w:abstractNumId w:val="51"/>
  </w:num>
  <w:num w:numId="8" w16cid:durableId="185338918">
    <w:abstractNumId w:val="52"/>
  </w:num>
  <w:num w:numId="9" w16cid:durableId="82578065">
    <w:abstractNumId w:val="29"/>
  </w:num>
  <w:num w:numId="10" w16cid:durableId="1050307536">
    <w:abstractNumId w:val="61"/>
  </w:num>
  <w:num w:numId="11" w16cid:durableId="1292709773">
    <w:abstractNumId w:val="83"/>
  </w:num>
  <w:num w:numId="12" w16cid:durableId="1541362289">
    <w:abstractNumId w:val="102"/>
  </w:num>
  <w:num w:numId="13" w16cid:durableId="529149340">
    <w:abstractNumId w:val="95"/>
  </w:num>
  <w:num w:numId="14" w16cid:durableId="2017614891">
    <w:abstractNumId w:val="35"/>
  </w:num>
  <w:num w:numId="15" w16cid:durableId="1243831081">
    <w:abstractNumId w:val="97"/>
  </w:num>
  <w:num w:numId="16" w16cid:durableId="471482248">
    <w:abstractNumId w:val="93"/>
  </w:num>
  <w:num w:numId="17" w16cid:durableId="1340502667">
    <w:abstractNumId w:val="19"/>
  </w:num>
  <w:num w:numId="18" w16cid:durableId="1895197905">
    <w:abstractNumId w:val="91"/>
  </w:num>
  <w:num w:numId="19" w16cid:durableId="695277320">
    <w:abstractNumId w:val="59"/>
  </w:num>
  <w:num w:numId="20" w16cid:durableId="1169756030">
    <w:abstractNumId w:val="10"/>
  </w:num>
  <w:num w:numId="21" w16cid:durableId="1735154626">
    <w:abstractNumId w:val="80"/>
  </w:num>
  <w:num w:numId="22" w16cid:durableId="1211262202">
    <w:abstractNumId w:val="20"/>
  </w:num>
  <w:num w:numId="23" w16cid:durableId="2012414546">
    <w:abstractNumId w:val="33"/>
  </w:num>
  <w:num w:numId="24" w16cid:durableId="583030735">
    <w:abstractNumId w:val="72"/>
  </w:num>
  <w:num w:numId="25" w16cid:durableId="1298995379">
    <w:abstractNumId w:val="62"/>
  </w:num>
  <w:num w:numId="26" w16cid:durableId="1141387330">
    <w:abstractNumId w:val="13"/>
  </w:num>
  <w:num w:numId="27" w16cid:durableId="112403118">
    <w:abstractNumId w:val="45"/>
  </w:num>
  <w:num w:numId="28" w16cid:durableId="1635065944">
    <w:abstractNumId w:val="100"/>
  </w:num>
  <w:num w:numId="29" w16cid:durableId="633295757">
    <w:abstractNumId w:val="8"/>
  </w:num>
  <w:num w:numId="30" w16cid:durableId="671758525">
    <w:abstractNumId w:val="73"/>
  </w:num>
  <w:num w:numId="31" w16cid:durableId="2035377351">
    <w:abstractNumId w:val="96"/>
  </w:num>
  <w:num w:numId="32" w16cid:durableId="517080119">
    <w:abstractNumId w:val="76"/>
  </w:num>
  <w:num w:numId="33" w16cid:durableId="1888685943">
    <w:abstractNumId w:val="84"/>
  </w:num>
  <w:num w:numId="34" w16cid:durableId="862746385">
    <w:abstractNumId w:val="31"/>
  </w:num>
  <w:num w:numId="35" w16cid:durableId="757947259">
    <w:abstractNumId w:val="49"/>
  </w:num>
  <w:num w:numId="36" w16cid:durableId="806703007">
    <w:abstractNumId w:val="69"/>
  </w:num>
  <w:num w:numId="37" w16cid:durableId="1057361608">
    <w:abstractNumId w:val="40"/>
  </w:num>
  <w:num w:numId="38" w16cid:durableId="1963266136">
    <w:abstractNumId w:val="75"/>
  </w:num>
  <w:num w:numId="39" w16cid:durableId="2052531321">
    <w:abstractNumId w:val="90"/>
  </w:num>
  <w:num w:numId="40" w16cid:durableId="1772312250">
    <w:abstractNumId w:val="68"/>
  </w:num>
  <w:num w:numId="41" w16cid:durableId="1114598907">
    <w:abstractNumId w:val="27"/>
  </w:num>
  <w:num w:numId="42" w16cid:durableId="1604798876">
    <w:abstractNumId w:val="53"/>
  </w:num>
  <w:num w:numId="43" w16cid:durableId="64383187">
    <w:abstractNumId w:val="46"/>
  </w:num>
  <w:num w:numId="44" w16cid:durableId="1181630349">
    <w:abstractNumId w:val="54"/>
  </w:num>
  <w:num w:numId="45" w16cid:durableId="1797287923">
    <w:abstractNumId w:val="24"/>
  </w:num>
  <w:num w:numId="46" w16cid:durableId="1968924214">
    <w:abstractNumId w:val="7"/>
  </w:num>
  <w:num w:numId="47" w16cid:durableId="1174689642">
    <w:abstractNumId w:val="64"/>
  </w:num>
  <w:num w:numId="48" w16cid:durableId="2065249501">
    <w:abstractNumId w:val="55"/>
  </w:num>
  <w:num w:numId="49" w16cid:durableId="1230576486">
    <w:abstractNumId w:val="67"/>
  </w:num>
  <w:num w:numId="50" w16cid:durableId="1485968578">
    <w:abstractNumId w:val="26"/>
  </w:num>
  <w:num w:numId="51" w16cid:durableId="18360944">
    <w:abstractNumId w:val="70"/>
  </w:num>
  <w:num w:numId="52" w16cid:durableId="1227642048">
    <w:abstractNumId w:val="9"/>
  </w:num>
  <w:num w:numId="53" w16cid:durableId="1008020302">
    <w:abstractNumId w:val="21"/>
  </w:num>
  <w:num w:numId="54" w16cid:durableId="654726258">
    <w:abstractNumId w:val="79"/>
  </w:num>
  <w:num w:numId="55" w16cid:durableId="2045247656">
    <w:abstractNumId w:val="65"/>
  </w:num>
  <w:num w:numId="56" w16cid:durableId="1048263793">
    <w:abstractNumId w:val="82"/>
  </w:num>
  <w:num w:numId="57" w16cid:durableId="331101806">
    <w:abstractNumId w:val="71"/>
  </w:num>
  <w:num w:numId="58" w16cid:durableId="1899659043">
    <w:abstractNumId w:val="60"/>
  </w:num>
  <w:num w:numId="59" w16cid:durableId="1619680870">
    <w:abstractNumId w:val="47"/>
  </w:num>
  <w:num w:numId="60" w16cid:durableId="1395272427">
    <w:abstractNumId w:val="43"/>
  </w:num>
  <w:num w:numId="61" w16cid:durableId="651101246">
    <w:abstractNumId w:val="77"/>
  </w:num>
  <w:num w:numId="62" w16cid:durableId="1975137545">
    <w:abstractNumId w:val="66"/>
  </w:num>
  <w:num w:numId="63" w16cid:durableId="1215190548">
    <w:abstractNumId w:val="28"/>
  </w:num>
  <w:num w:numId="64" w16cid:durableId="444542356">
    <w:abstractNumId w:val="48"/>
  </w:num>
  <w:num w:numId="65" w16cid:durableId="731269592">
    <w:abstractNumId w:val="39"/>
  </w:num>
  <w:num w:numId="66" w16cid:durableId="1404110103">
    <w:abstractNumId w:val="94"/>
  </w:num>
  <w:num w:numId="67" w16cid:durableId="554045250">
    <w:abstractNumId w:val="22"/>
  </w:num>
  <w:num w:numId="68" w16cid:durableId="1259096906">
    <w:abstractNumId w:val="37"/>
  </w:num>
  <w:num w:numId="69" w16cid:durableId="448863397">
    <w:abstractNumId w:val="16"/>
  </w:num>
  <w:num w:numId="70" w16cid:durableId="555623768">
    <w:abstractNumId w:val="85"/>
  </w:num>
  <w:num w:numId="71" w16cid:durableId="2125339322">
    <w:abstractNumId w:val="98"/>
  </w:num>
  <w:num w:numId="72" w16cid:durableId="521549066">
    <w:abstractNumId w:val="12"/>
  </w:num>
  <w:num w:numId="73" w16cid:durableId="1408570870">
    <w:abstractNumId w:val="32"/>
  </w:num>
  <w:num w:numId="74" w16cid:durableId="1962489646">
    <w:abstractNumId w:val="44"/>
  </w:num>
  <w:num w:numId="75" w16cid:durableId="963195058">
    <w:abstractNumId w:val="87"/>
  </w:num>
  <w:num w:numId="76" w16cid:durableId="95953607">
    <w:abstractNumId w:val="41"/>
  </w:num>
  <w:num w:numId="77" w16cid:durableId="1710715031">
    <w:abstractNumId w:val="25"/>
  </w:num>
  <w:num w:numId="78" w16cid:durableId="1014962379">
    <w:abstractNumId w:val="3"/>
  </w:num>
  <w:num w:numId="79" w16cid:durableId="1480071589">
    <w:abstractNumId w:val="6"/>
  </w:num>
  <w:num w:numId="80" w16cid:durableId="222445974">
    <w:abstractNumId w:val="4"/>
  </w:num>
  <w:num w:numId="81" w16cid:durableId="1666516200">
    <w:abstractNumId w:val="0"/>
  </w:num>
  <w:num w:numId="82" w16cid:durableId="1802109440">
    <w:abstractNumId w:val="57"/>
  </w:num>
  <w:num w:numId="83" w16cid:durableId="1454054078">
    <w:abstractNumId w:val="2"/>
  </w:num>
  <w:num w:numId="84" w16cid:durableId="512569339">
    <w:abstractNumId w:val="92"/>
  </w:num>
  <w:num w:numId="85" w16cid:durableId="1417745029">
    <w:abstractNumId w:val="38"/>
  </w:num>
  <w:num w:numId="86" w16cid:durableId="1733431561">
    <w:abstractNumId w:val="58"/>
  </w:num>
  <w:num w:numId="87" w16cid:durableId="328095449">
    <w:abstractNumId w:val="14"/>
  </w:num>
  <w:num w:numId="88" w16cid:durableId="39136457">
    <w:abstractNumId w:val="15"/>
  </w:num>
  <w:num w:numId="89" w16cid:durableId="1275599649">
    <w:abstractNumId w:val="5"/>
  </w:num>
  <w:num w:numId="90" w16cid:durableId="4673105">
    <w:abstractNumId w:val="1"/>
  </w:num>
  <w:num w:numId="91" w16cid:durableId="665279877">
    <w:abstractNumId w:val="17"/>
  </w:num>
  <w:num w:numId="92" w16cid:durableId="460850018">
    <w:abstractNumId w:val="103"/>
  </w:num>
  <w:num w:numId="93" w16cid:durableId="1738628667">
    <w:abstractNumId w:val="42"/>
  </w:num>
  <w:num w:numId="94" w16cid:durableId="1458259210">
    <w:abstractNumId w:val="36"/>
  </w:num>
  <w:num w:numId="95" w16cid:durableId="1858539318">
    <w:abstractNumId w:val="63"/>
  </w:num>
  <w:num w:numId="96" w16cid:durableId="697899796">
    <w:abstractNumId w:val="18"/>
  </w:num>
  <w:num w:numId="97" w16cid:durableId="1784807831">
    <w:abstractNumId w:val="89"/>
  </w:num>
  <w:num w:numId="98" w16cid:durableId="591551330">
    <w:abstractNumId w:val="50"/>
  </w:num>
  <w:num w:numId="99" w16cid:durableId="975183756">
    <w:abstractNumId w:val="99"/>
  </w:num>
  <w:num w:numId="100" w16cid:durableId="797458872">
    <w:abstractNumId w:val="86"/>
  </w:num>
  <w:num w:numId="101" w16cid:durableId="1259368692">
    <w:abstractNumId w:val="11"/>
  </w:num>
  <w:num w:numId="102" w16cid:durableId="730035095">
    <w:abstractNumId w:val="104"/>
  </w:num>
  <w:num w:numId="103" w16cid:durableId="1246459215">
    <w:abstractNumId w:val="56"/>
  </w:num>
  <w:num w:numId="104" w16cid:durableId="399250605">
    <w:abstractNumId w:val="81"/>
  </w:num>
  <w:num w:numId="105" w16cid:durableId="2126384688">
    <w:abstractNumId w:val="8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044"/>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D5D"/>
    <w:rsid w:val="000A0ECD"/>
    <w:rsid w:val="000A1C52"/>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B4F"/>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3D2F"/>
    <w:rsid w:val="000F467A"/>
    <w:rsid w:val="000F4890"/>
    <w:rsid w:val="000F4E6A"/>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6B5"/>
    <w:rsid w:val="001027F9"/>
    <w:rsid w:val="001030AB"/>
    <w:rsid w:val="00103504"/>
    <w:rsid w:val="001045FC"/>
    <w:rsid w:val="00104882"/>
    <w:rsid w:val="001050F8"/>
    <w:rsid w:val="00105225"/>
    <w:rsid w:val="0010528F"/>
    <w:rsid w:val="001056B0"/>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D1C"/>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CD7"/>
    <w:rsid w:val="00175D61"/>
    <w:rsid w:val="0017673C"/>
    <w:rsid w:val="001775D2"/>
    <w:rsid w:val="001777ED"/>
    <w:rsid w:val="00180360"/>
    <w:rsid w:val="001804A9"/>
    <w:rsid w:val="001804E5"/>
    <w:rsid w:val="0018058A"/>
    <w:rsid w:val="00180778"/>
    <w:rsid w:val="001808A6"/>
    <w:rsid w:val="001808FF"/>
    <w:rsid w:val="00180F0E"/>
    <w:rsid w:val="00180F3E"/>
    <w:rsid w:val="001810C2"/>
    <w:rsid w:val="00181220"/>
    <w:rsid w:val="00181F33"/>
    <w:rsid w:val="0018230B"/>
    <w:rsid w:val="00182597"/>
    <w:rsid w:val="00182E14"/>
    <w:rsid w:val="001837ED"/>
    <w:rsid w:val="00183B58"/>
    <w:rsid w:val="00183BC3"/>
    <w:rsid w:val="0018426D"/>
    <w:rsid w:val="001849C5"/>
    <w:rsid w:val="00184B16"/>
    <w:rsid w:val="00185371"/>
    <w:rsid w:val="00185977"/>
    <w:rsid w:val="001860F6"/>
    <w:rsid w:val="00186412"/>
    <w:rsid w:val="001864BE"/>
    <w:rsid w:val="0018695A"/>
    <w:rsid w:val="001869E6"/>
    <w:rsid w:val="001871CB"/>
    <w:rsid w:val="001876DF"/>
    <w:rsid w:val="00187A14"/>
    <w:rsid w:val="00187BE9"/>
    <w:rsid w:val="00187D00"/>
    <w:rsid w:val="00187E97"/>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47"/>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45E"/>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1E2"/>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3E7"/>
    <w:rsid w:val="001D755C"/>
    <w:rsid w:val="001D76D0"/>
    <w:rsid w:val="001E01C7"/>
    <w:rsid w:val="001E1C35"/>
    <w:rsid w:val="001E2342"/>
    <w:rsid w:val="001E27F4"/>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97F"/>
    <w:rsid w:val="00233FA5"/>
    <w:rsid w:val="0023401D"/>
    <w:rsid w:val="0023401E"/>
    <w:rsid w:val="002348EE"/>
    <w:rsid w:val="002350D9"/>
    <w:rsid w:val="00235826"/>
    <w:rsid w:val="00235DB3"/>
    <w:rsid w:val="00235F28"/>
    <w:rsid w:val="00236225"/>
    <w:rsid w:val="00236608"/>
    <w:rsid w:val="00236A7B"/>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33"/>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4DFB"/>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1FA5"/>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4A1"/>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32A"/>
    <w:rsid w:val="002E15A7"/>
    <w:rsid w:val="002E16F2"/>
    <w:rsid w:val="002E17E2"/>
    <w:rsid w:val="002E1841"/>
    <w:rsid w:val="002E18B3"/>
    <w:rsid w:val="002E2486"/>
    <w:rsid w:val="002E2487"/>
    <w:rsid w:val="002E2703"/>
    <w:rsid w:val="002E29C2"/>
    <w:rsid w:val="002E2A19"/>
    <w:rsid w:val="002E303B"/>
    <w:rsid w:val="002E3343"/>
    <w:rsid w:val="002E3938"/>
    <w:rsid w:val="002E4159"/>
    <w:rsid w:val="002E4686"/>
    <w:rsid w:val="002E5289"/>
    <w:rsid w:val="002E5AFF"/>
    <w:rsid w:val="002E60E4"/>
    <w:rsid w:val="002E620A"/>
    <w:rsid w:val="002E6AD4"/>
    <w:rsid w:val="002E6B23"/>
    <w:rsid w:val="002E6EC2"/>
    <w:rsid w:val="002E7012"/>
    <w:rsid w:val="002E7093"/>
    <w:rsid w:val="002E7970"/>
    <w:rsid w:val="002E7B3F"/>
    <w:rsid w:val="002F024E"/>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2562"/>
    <w:rsid w:val="0034329E"/>
    <w:rsid w:val="003438D3"/>
    <w:rsid w:val="00343CAC"/>
    <w:rsid w:val="00343EA8"/>
    <w:rsid w:val="00343FC0"/>
    <w:rsid w:val="0034401C"/>
    <w:rsid w:val="00344961"/>
    <w:rsid w:val="003449AB"/>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69E1"/>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831"/>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35A"/>
    <w:rsid w:val="003966B9"/>
    <w:rsid w:val="00397250"/>
    <w:rsid w:val="00397285"/>
    <w:rsid w:val="00397B3F"/>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DE9"/>
    <w:rsid w:val="003A5EA1"/>
    <w:rsid w:val="003A5FDC"/>
    <w:rsid w:val="003A6920"/>
    <w:rsid w:val="003A6B5E"/>
    <w:rsid w:val="003A770D"/>
    <w:rsid w:val="003A7EE5"/>
    <w:rsid w:val="003B00F6"/>
    <w:rsid w:val="003B0F62"/>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B72C7"/>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B27"/>
    <w:rsid w:val="003C6C6A"/>
    <w:rsid w:val="003C750E"/>
    <w:rsid w:val="003C763A"/>
    <w:rsid w:val="003C76F9"/>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D76B2"/>
    <w:rsid w:val="003E0142"/>
    <w:rsid w:val="003E040B"/>
    <w:rsid w:val="003E06EB"/>
    <w:rsid w:val="003E0AD1"/>
    <w:rsid w:val="003E0DDC"/>
    <w:rsid w:val="003E194C"/>
    <w:rsid w:val="003E2736"/>
    <w:rsid w:val="003E27AB"/>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610"/>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A46"/>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7ED"/>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B3D"/>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923"/>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6FE"/>
    <w:rsid w:val="004627F8"/>
    <w:rsid w:val="00463035"/>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6E6"/>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AB6"/>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C"/>
    <w:rsid w:val="004B7DAD"/>
    <w:rsid w:val="004C0137"/>
    <w:rsid w:val="004C021F"/>
    <w:rsid w:val="004C04BD"/>
    <w:rsid w:val="004C0849"/>
    <w:rsid w:val="004C0D8A"/>
    <w:rsid w:val="004C0DED"/>
    <w:rsid w:val="004C1486"/>
    <w:rsid w:val="004C20FA"/>
    <w:rsid w:val="004C2535"/>
    <w:rsid w:val="004C2978"/>
    <w:rsid w:val="004C2C72"/>
    <w:rsid w:val="004C31BC"/>
    <w:rsid w:val="004C3BCC"/>
    <w:rsid w:val="004C3F64"/>
    <w:rsid w:val="004C40A1"/>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C75FB"/>
    <w:rsid w:val="004D0452"/>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61E"/>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DBD"/>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30"/>
    <w:rsid w:val="00501DC0"/>
    <w:rsid w:val="00501F05"/>
    <w:rsid w:val="00501FFC"/>
    <w:rsid w:val="00502569"/>
    <w:rsid w:val="005026AE"/>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26"/>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27D"/>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B83"/>
    <w:rsid w:val="00563F0C"/>
    <w:rsid w:val="00564041"/>
    <w:rsid w:val="005643C0"/>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3FBE"/>
    <w:rsid w:val="00594DFD"/>
    <w:rsid w:val="0059532E"/>
    <w:rsid w:val="005953F2"/>
    <w:rsid w:val="005957CF"/>
    <w:rsid w:val="00595D25"/>
    <w:rsid w:val="00596234"/>
    <w:rsid w:val="00596256"/>
    <w:rsid w:val="005963CF"/>
    <w:rsid w:val="005967EF"/>
    <w:rsid w:val="00596B5F"/>
    <w:rsid w:val="005975F1"/>
    <w:rsid w:val="005975F7"/>
    <w:rsid w:val="00597837"/>
    <w:rsid w:val="00597A01"/>
    <w:rsid w:val="00597CDA"/>
    <w:rsid w:val="00597ED0"/>
    <w:rsid w:val="005A0739"/>
    <w:rsid w:val="005A1214"/>
    <w:rsid w:val="005A28CE"/>
    <w:rsid w:val="005A2B1B"/>
    <w:rsid w:val="005A30B6"/>
    <w:rsid w:val="005A3115"/>
    <w:rsid w:val="005A359E"/>
    <w:rsid w:val="005A4214"/>
    <w:rsid w:val="005A4344"/>
    <w:rsid w:val="005A457C"/>
    <w:rsid w:val="005A53A8"/>
    <w:rsid w:val="005A5D14"/>
    <w:rsid w:val="005A633B"/>
    <w:rsid w:val="005A6B2F"/>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A6F"/>
    <w:rsid w:val="005D1E8D"/>
    <w:rsid w:val="005D1E96"/>
    <w:rsid w:val="005D1EA0"/>
    <w:rsid w:val="005D215F"/>
    <w:rsid w:val="005D29C2"/>
    <w:rsid w:val="005D2C72"/>
    <w:rsid w:val="005D36A7"/>
    <w:rsid w:val="005D3865"/>
    <w:rsid w:val="005D3CF4"/>
    <w:rsid w:val="005D4E07"/>
    <w:rsid w:val="005D5827"/>
    <w:rsid w:val="005D582B"/>
    <w:rsid w:val="005D6135"/>
    <w:rsid w:val="005D68FB"/>
    <w:rsid w:val="005D69D9"/>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2FA"/>
    <w:rsid w:val="005E469F"/>
    <w:rsid w:val="005E4810"/>
    <w:rsid w:val="005E4896"/>
    <w:rsid w:val="005E4968"/>
    <w:rsid w:val="005E5080"/>
    <w:rsid w:val="005E672F"/>
    <w:rsid w:val="005E67C2"/>
    <w:rsid w:val="005E7348"/>
    <w:rsid w:val="005F04C2"/>
    <w:rsid w:val="005F06FE"/>
    <w:rsid w:val="005F0F51"/>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1CDA"/>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3F"/>
    <w:rsid w:val="00660C65"/>
    <w:rsid w:val="00660FB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178"/>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4C03"/>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588"/>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BAE"/>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2DE"/>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4B75"/>
    <w:rsid w:val="007150E7"/>
    <w:rsid w:val="007151CE"/>
    <w:rsid w:val="00715358"/>
    <w:rsid w:val="0071549C"/>
    <w:rsid w:val="00715D8A"/>
    <w:rsid w:val="00715E5E"/>
    <w:rsid w:val="00716555"/>
    <w:rsid w:val="00716B34"/>
    <w:rsid w:val="00716BA8"/>
    <w:rsid w:val="00716C4F"/>
    <w:rsid w:val="007170C6"/>
    <w:rsid w:val="0071758D"/>
    <w:rsid w:val="00717675"/>
    <w:rsid w:val="007176AA"/>
    <w:rsid w:val="00717B60"/>
    <w:rsid w:val="0072002F"/>
    <w:rsid w:val="00720411"/>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48DC"/>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5CA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871"/>
    <w:rsid w:val="007679C9"/>
    <w:rsid w:val="00767C3E"/>
    <w:rsid w:val="00770A31"/>
    <w:rsid w:val="00770B0F"/>
    <w:rsid w:val="00771306"/>
    <w:rsid w:val="0077217D"/>
    <w:rsid w:val="00772362"/>
    <w:rsid w:val="00772524"/>
    <w:rsid w:val="00772760"/>
    <w:rsid w:val="007727AD"/>
    <w:rsid w:val="00772B12"/>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86"/>
    <w:rsid w:val="007818B4"/>
    <w:rsid w:val="00781968"/>
    <w:rsid w:val="00782956"/>
    <w:rsid w:val="00782ABB"/>
    <w:rsid w:val="00783440"/>
    <w:rsid w:val="0078371B"/>
    <w:rsid w:val="0078395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A1F"/>
    <w:rsid w:val="007F6F4F"/>
    <w:rsid w:val="007F72F2"/>
    <w:rsid w:val="007F763B"/>
    <w:rsid w:val="007F7A3F"/>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C6A"/>
    <w:rsid w:val="00845E3B"/>
    <w:rsid w:val="008461CE"/>
    <w:rsid w:val="00846216"/>
    <w:rsid w:val="00846A6E"/>
    <w:rsid w:val="00846CF1"/>
    <w:rsid w:val="00846D0D"/>
    <w:rsid w:val="00846D44"/>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0C5"/>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3F9E"/>
    <w:rsid w:val="008C4007"/>
    <w:rsid w:val="008C47F3"/>
    <w:rsid w:val="008C4891"/>
    <w:rsid w:val="008C4F14"/>
    <w:rsid w:val="008C4F1D"/>
    <w:rsid w:val="008C518D"/>
    <w:rsid w:val="008C56AD"/>
    <w:rsid w:val="008C59F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6D7F"/>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602"/>
    <w:rsid w:val="008F1E46"/>
    <w:rsid w:val="008F20C8"/>
    <w:rsid w:val="008F226D"/>
    <w:rsid w:val="008F24F0"/>
    <w:rsid w:val="008F266A"/>
    <w:rsid w:val="008F2720"/>
    <w:rsid w:val="008F2993"/>
    <w:rsid w:val="008F46EE"/>
    <w:rsid w:val="008F4818"/>
    <w:rsid w:val="008F506B"/>
    <w:rsid w:val="008F5385"/>
    <w:rsid w:val="008F53BC"/>
    <w:rsid w:val="008F5477"/>
    <w:rsid w:val="008F567F"/>
    <w:rsid w:val="008F59B4"/>
    <w:rsid w:val="008F61B1"/>
    <w:rsid w:val="008F626B"/>
    <w:rsid w:val="008F68D2"/>
    <w:rsid w:val="008F70EC"/>
    <w:rsid w:val="008F7282"/>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4BC"/>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CAD"/>
    <w:rsid w:val="00924EF8"/>
    <w:rsid w:val="00925342"/>
    <w:rsid w:val="00925595"/>
    <w:rsid w:val="00925650"/>
    <w:rsid w:val="00925936"/>
    <w:rsid w:val="00925ABC"/>
    <w:rsid w:val="00925AD6"/>
    <w:rsid w:val="00925D2A"/>
    <w:rsid w:val="00925DF3"/>
    <w:rsid w:val="00926089"/>
    <w:rsid w:val="009264F4"/>
    <w:rsid w:val="00926DDB"/>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4A6"/>
    <w:rsid w:val="009459B4"/>
    <w:rsid w:val="00945D3A"/>
    <w:rsid w:val="00945E1B"/>
    <w:rsid w:val="0094608B"/>
    <w:rsid w:val="009462FE"/>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39"/>
    <w:rsid w:val="009801FB"/>
    <w:rsid w:val="00980803"/>
    <w:rsid w:val="00980E4D"/>
    <w:rsid w:val="0098102C"/>
    <w:rsid w:val="00981168"/>
    <w:rsid w:val="00982494"/>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6F5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292"/>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AAA"/>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24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7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8F2"/>
    <w:rsid w:val="00A76B71"/>
    <w:rsid w:val="00A76DB8"/>
    <w:rsid w:val="00A77EB9"/>
    <w:rsid w:val="00A80432"/>
    <w:rsid w:val="00A809A2"/>
    <w:rsid w:val="00A809B5"/>
    <w:rsid w:val="00A80C48"/>
    <w:rsid w:val="00A80DDF"/>
    <w:rsid w:val="00A81CB2"/>
    <w:rsid w:val="00A81CD6"/>
    <w:rsid w:val="00A8258A"/>
    <w:rsid w:val="00A82661"/>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187D"/>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CC7"/>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B6CD8"/>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5B15"/>
    <w:rsid w:val="00AC5DBF"/>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85A"/>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4F25"/>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376"/>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47C"/>
    <w:rsid w:val="00B11628"/>
    <w:rsid w:val="00B11B37"/>
    <w:rsid w:val="00B11CCD"/>
    <w:rsid w:val="00B12199"/>
    <w:rsid w:val="00B12701"/>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7D6"/>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9B9"/>
    <w:rsid w:val="00B72A67"/>
    <w:rsid w:val="00B72B41"/>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557"/>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32D"/>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78E"/>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2A8"/>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6D21"/>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06B"/>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2FB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006"/>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95B"/>
    <w:rsid w:val="00C50A58"/>
    <w:rsid w:val="00C50EAF"/>
    <w:rsid w:val="00C5143E"/>
    <w:rsid w:val="00C518FA"/>
    <w:rsid w:val="00C5199D"/>
    <w:rsid w:val="00C52027"/>
    <w:rsid w:val="00C52B01"/>
    <w:rsid w:val="00C52BC8"/>
    <w:rsid w:val="00C5310E"/>
    <w:rsid w:val="00C5312B"/>
    <w:rsid w:val="00C532CF"/>
    <w:rsid w:val="00C53720"/>
    <w:rsid w:val="00C5393E"/>
    <w:rsid w:val="00C53AFF"/>
    <w:rsid w:val="00C54017"/>
    <w:rsid w:val="00C54E13"/>
    <w:rsid w:val="00C54FD5"/>
    <w:rsid w:val="00C550BD"/>
    <w:rsid w:val="00C5544D"/>
    <w:rsid w:val="00C5568D"/>
    <w:rsid w:val="00C55AB6"/>
    <w:rsid w:val="00C56068"/>
    <w:rsid w:val="00C560D4"/>
    <w:rsid w:val="00C56BD3"/>
    <w:rsid w:val="00C56DA5"/>
    <w:rsid w:val="00C57406"/>
    <w:rsid w:val="00C5796C"/>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006"/>
    <w:rsid w:val="00C90797"/>
    <w:rsid w:val="00C91102"/>
    <w:rsid w:val="00C91127"/>
    <w:rsid w:val="00C91444"/>
    <w:rsid w:val="00C91DAB"/>
    <w:rsid w:val="00C91DF4"/>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3E02"/>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A7E45"/>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4892"/>
    <w:rsid w:val="00CF4C42"/>
    <w:rsid w:val="00CF52D4"/>
    <w:rsid w:val="00CF5F34"/>
    <w:rsid w:val="00CF6088"/>
    <w:rsid w:val="00CF6209"/>
    <w:rsid w:val="00CF6473"/>
    <w:rsid w:val="00CF679A"/>
    <w:rsid w:val="00CF6963"/>
    <w:rsid w:val="00CF707E"/>
    <w:rsid w:val="00CF744A"/>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5FB"/>
    <w:rsid w:val="00D02EE1"/>
    <w:rsid w:val="00D0382E"/>
    <w:rsid w:val="00D038AF"/>
    <w:rsid w:val="00D03C43"/>
    <w:rsid w:val="00D0433F"/>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629D"/>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5C7F"/>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5B81"/>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138"/>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810"/>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76"/>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630"/>
    <w:rsid w:val="00DB670F"/>
    <w:rsid w:val="00DB68FD"/>
    <w:rsid w:val="00DB6DBD"/>
    <w:rsid w:val="00DB73F0"/>
    <w:rsid w:val="00DB768B"/>
    <w:rsid w:val="00DB76A5"/>
    <w:rsid w:val="00DB7704"/>
    <w:rsid w:val="00DB79F5"/>
    <w:rsid w:val="00DB7BB4"/>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3E7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12F"/>
    <w:rsid w:val="00DE1446"/>
    <w:rsid w:val="00DE180A"/>
    <w:rsid w:val="00DE190D"/>
    <w:rsid w:val="00DE193C"/>
    <w:rsid w:val="00DE2332"/>
    <w:rsid w:val="00DE26C3"/>
    <w:rsid w:val="00DE2B2D"/>
    <w:rsid w:val="00DE2DDE"/>
    <w:rsid w:val="00DE38B1"/>
    <w:rsid w:val="00DE3A2A"/>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66E"/>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BB6"/>
    <w:rsid w:val="00E25C1E"/>
    <w:rsid w:val="00E262B9"/>
    <w:rsid w:val="00E264A2"/>
    <w:rsid w:val="00E26613"/>
    <w:rsid w:val="00E26CED"/>
    <w:rsid w:val="00E26ECF"/>
    <w:rsid w:val="00E27063"/>
    <w:rsid w:val="00E270BC"/>
    <w:rsid w:val="00E274D1"/>
    <w:rsid w:val="00E306B7"/>
    <w:rsid w:val="00E3081B"/>
    <w:rsid w:val="00E30E15"/>
    <w:rsid w:val="00E3114F"/>
    <w:rsid w:val="00E3130B"/>
    <w:rsid w:val="00E3179F"/>
    <w:rsid w:val="00E318FE"/>
    <w:rsid w:val="00E31B45"/>
    <w:rsid w:val="00E3260F"/>
    <w:rsid w:val="00E3282C"/>
    <w:rsid w:val="00E32C23"/>
    <w:rsid w:val="00E3359D"/>
    <w:rsid w:val="00E33CEE"/>
    <w:rsid w:val="00E34217"/>
    <w:rsid w:val="00E34562"/>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0E7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5B"/>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2AA"/>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DE8"/>
    <w:rsid w:val="00E73F15"/>
    <w:rsid w:val="00E7401F"/>
    <w:rsid w:val="00E74863"/>
    <w:rsid w:val="00E748F0"/>
    <w:rsid w:val="00E749B8"/>
    <w:rsid w:val="00E74C6D"/>
    <w:rsid w:val="00E75F19"/>
    <w:rsid w:val="00E76685"/>
    <w:rsid w:val="00E772A8"/>
    <w:rsid w:val="00E774B0"/>
    <w:rsid w:val="00E77EC1"/>
    <w:rsid w:val="00E77EF0"/>
    <w:rsid w:val="00E77F9B"/>
    <w:rsid w:val="00E8031D"/>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28"/>
    <w:rsid w:val="00EA01F4"/>
    <w:rsid w:val="00EA0475"/>
    <w:rsid w:val="00EA0E09"/>
    <w:rsid w:val="00EA101A"/>
    <w:rsid w:val="00EA10FC"/>
    <w:rsid w:val="00EA17D8"/>
    <w:rsid w:val="00EA1CE9"/>
    <w:rsid w:val="00EA200C"/>
    <w:rsid w:val="00EA266D"/>
    <w:rsid w:val="00EA2AD3"/>
    <w:rsid w:val="00EA30AC"/>
    <w:rsid w:val="00EA3533"/>
    <w:rsid w:val="00EA3650"/>
    <w:rsid w:val="00EA367A"/>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23"/>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0DD"/>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1CA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B97"/>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4F6"/>
    <w:rsid w:val="00F3364C"/>
    <w:rsid w:val="00F33DB9"/>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086"/>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9B7"/>
    <w:rsid w:val="00FA7074"/>
    <w:rsid w:val="00FA74CD"/>
    <w:rsid w:val="00FA77C4"/>
    <w:rsid w:val="00FA7BFE"/>
    <w:rsid w:val="00FB045B"/>
    <w:rsid w:val="00FB05EE"/>
    <w:rsid w:val="00FB05EF"/>
    <w:rsid w:val="00FB07AF"/>
    <w:rsid w:val="00FB0D31"/>
    <w:rsid w:val="00FB112F"/>
    <w:rsid w:val="00FB1620"/>
    <w:rsid w:val="00FB1658"/>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614"/>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384"/>
    <w:rsid w:val="00FF45BA"/>
    <w:rsid w:val="00FF49E5"/>
    <w:rsid w:val="00FF539C"/>
    <w:rsid w:val="00FF5788"/>
    <w:rsid w:val="00FF5809"/>
    <w:rsid w:val="00FF5835"/>
    <w:rsid w:val="00FF5A3C"/>
    <w:rsid w:val="00FF5C42"/>
    <w:rsid w:val="00FF5D99"/>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433F"/>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214">
      <w:bodyDiv w:val="1"/>
      <w:marLeft w:val="0"/>
      <w:marRight w:val="0"/>
      <w:marTop w:val="0"/>
      <w:marBottom w:val="0"/>
      <w:divBdr>
        <w:top w:val="none" w:sz="0" w:space="0" w:color="auto"/>
        <w:left w:val="none" w:sz="0" w:space="0" w:color="auto"/>
        <w:bottom w:val="none" w:sz="0" w:space="0" w:color="auto"/>
        <w:right w:val="none" w:sz="0" w:space="0" w:color="auto"/>
      </w:divBdr>
    </w:div>
    <w:div w:id="28727364">
      <w:bodyDiv w:val="1"/>
      <w:marLeft w:val="0"/>
      <w:marRight w:val="0"/>
      <w:marTop w:val="0"/>
      <w:marBottom w:val="0"/>
      <w:divBdr>
        <w:top w:val="none" w:sz="0" w:space="0" w:color="auto"/>
        <w:left w:val="none" w:sz="0" w:space="0" w:color="auto"/>
        <w:bottom w:val="none" w:sz="0" w:space="0" w:color="auto"/>
        <w:right w:val="none" w:sz="0" w:space="0" w:color="auto"/>
      </w:divBdr>
    </w:div>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26314444">
      <w:bodyDiv w:val="1"/>
      <w:marLeft w:val="0"/>
      <w:marRight w:val="0"/>
      <w:marTop w:val="0"/>
      <w:marBottom w:val="0"/>
      <w:divBdr>
        <w:top w:val="none" w:sz="0" w:space="0" w:color="auto"/>
        <w:left w:val="none" w:sz="0" w:space="0" w:color="auto"/>
        <w:bottom w:val="none" w:sz="0" w:space="0" w:color="auto"/>
        <w:right w:val="none" w:sz="0" w:space="0" w:color="auto"/>
      </w:divBdr>
    </w:div>
    <w:div w:id="164634668">
      <w:bodyDiv w:val="1"/>
      <w:marLeft w:val="0"/>
      <w:marRight w:val="0"/>
      <w:marTop w:val="0"/>
      <w:marBottom w:val="0"/>
      <w:divBdr>
        <w:top w:val="none" w:sz="0" w:space="0" w:color="auto"/>
        <w:left w:val="none" w:sz="0" w:space="0" w:color="auto"/>
        <w:bottom w:val="none" w:sz="0" w:space="0" w:color="auto"/>
        <w:right w:val="none" w:sz="0" w:space="0" w:color="auto"/>
      </w:divBdr>
    </w:div>
    <w:div w:id="319844980">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638151480">
      <w:bodyDiv w:val="1"/>
      <w:marLeft w:val="0"/>
      <w:marRight w:val="0"/>
      <w:marTop w:val="0"/>
      <w:marBottom w:val="0"/>
      <w:divBdr>
        <w:top w:val="none" w:sz="0" w:space="0" w:color="auto"/>
        <w:left w:val="none" w:sz="0" w:space="0" w:color="auto"/>
        <w:bottom w:val="none" w:sz="0" w:space="0" w:color="auto"/>
        <w:right w:val="none" w:sz="0" w:space="0" w:color="auto"/>
      </w:divBdr>
    </w:div>
    <w:div w:id="656349349">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34284687">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069959832">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355038832">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42817973">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1905136765">
      <w:bodyDiv w:val="1"/>
      <w:marLeft w:val="0"/>
      <w:marRight w:val="0"/>
      <w:marTop w:val="0"/>
      <w:marBottom w:val="0"/>
      <w:divBdr>
        <w:top w:val="none" w:sz="0" w:space="0" w:color="auto"/>
        <w:left w:val="none" w:sz="0" w:space="0" w:color="auto"/>
        <w:bottom w:val="none" w:sz="0" w:space="0" w:color="auto"/>
        <w:right w:val="none" w:sz="0" w:space="0" w:color="auto"/>
      </w:divBdr>
    </w:div>
    <w:div w:id="1938904167">
      <w:bodyDiv w:val="1"/>
      <w:marLeft w:val="0"/>
      <w:marRight w:val="0"/>
      <w:marTop w:val="0"/>
      <w:marBottom w:val="0"/>
      <w:divBdr>
        <w:top w:val="none" w:sz="0" w:space="0" w:color="auto"/>
        <w:left w:val="none" w:sz="0" w:space="0" w:color="auto"/>
        <w:bottom w:val="none" w:sz="0" w:space="0" w:color="auto"/>
        <w:right w:val="none" w:sz="0" w:space="0" w:color="auto"/>
      </w:divBdr>
    </w:div>
    <w:div w:id="1942759451">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8313</TotalTime>
  <Pages>11</Pages>
  <Words>2609</Words>
  <Characters>14874</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15602</cp:revision>
  <cp:lastPrinted>2024-10-27T09:53:00Z</cp:lastPrinted>
  <dcterms:created xsi:type="dcterms:W3CDTF">2023-10-05T13:00:00Z</dcterms:created>
  <dcterms:modified xsi:type="dcterms:W3CDTF">2024-11-10T10:33:00Z</dcterms:modified>
</cp:coreProperties>
</file>