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F6B"/>
          <w:sz w:val="38"/>
        </w:rPr>
        <w:t>Error Analysis: PD vs Noise Detection with PatchCore</w:t>
      </w:r>
    </w:p>
    <w:p>
      <w:pPr>
        <w:spacing w:after="280"/>
      </w:pPr>
      <w:r>
        <w:rPr>
          <w:b w:val="0"/>
          <w:i w:val="0"/>
          <w:color w:val="5C6470"/>
          <w:sz w:val="19"/>
        </w:rPr>
        <w:t>Field test set, 229 measurements · 24 September 2026</w:t>
      </w:r>
    </w:p>
    <w:p>
      <w:pPr>
        <w:pStyle w:val="Heading1"/>
        <w:keepNext/>
        <w:spacing w:before="320" w:after="120"/>
      </w:pPr>
      <w:r>
        <w:rPr>
          <w:rFonts w:ascii="Calibri" w:hAnsi="Calibri"/>
          <w:b/>
          <w:color w:val="1B3F6B"/>
          <w:sz w:val="30"/>
        </w:rPr>
        <w:t>Summary</w:t>
      </w:r>
    </w:p>
    <w:p>
      <w:pPr>
        <w:spacing w:after="120"/>
      </w:pPr>
      <w:r>
        <w:rPr>
          <w:b w:val="0"/>
          <w:i w:val="0"/>
          <w:color w:val="1A1A1A"/>
          <w:sz w:val="21"/>
        </w:rPr>
        <w:t>PatchCore reaches 0.853 image-level AUROC on the field test set and clearly outperforms EfficientAD and the One-Class SVM. However, a date-level bootstrap shows it is statistically indistinguishable from a simple 5-nearest-neighbour classifier on the 256-dimensional mean/max feature. The error analysis identifies one mechanism behind most of the failures.</w:t>
      </w:r>
    </w:p>
    <w:p>
      <w:pPr>
        <w:spacing w:after="120"/>
      </w:pPr>
      <w:r>
        <w:rPr>
          <w:b/>
          <w:i w:val="0"/>
          <w:color w:val="1A1A1A"/>
          <w:sz w:val="21"/>
        </w:rPr>
        <w:t xml:space="preserve">Main finding: </w:t>
      </w:r>
      <w:r>
        <w:rPr>
          <w:b w:val="0"/>
          <w:i w:val="0"/>
          <w:color w:val="1A1A1A"/>
          <w:sz w:val="21"/>
        </w:rPr>
        <w:t xml:space="preserve">errors concentrate on </w:t>
      </w:r>
      <w:r>
        <w:rPr>
          <w:b/>
          <w:i w:val="0"/>
          <w:color w:val="1A1A1A"/>
          <w:sz w:val="21"/>
        </w:rPr>
        <w:t>quiet measurements</w:t>
      </w:r>
      <w:r>
        <w:rPr>
          <w:b w:val="0"/>
          <w:i w:val="0"/>
          <w:color w:val="1A1A1A"/>
          <w:sz w:val="21"/>
        </w:rPr>
        <w:t xml:space="preserve"> — files with few discharge pulses. These produce near-empty time windows that are well represented in </w:t>
      </w:r>
      <w:r>
        <w:rPr>
          <w:b/>
          <w:i w:val="0"/>
          <w:color w:val="1A1A1A"/>
          <w:sz w:val="21"/>
        </w:rPr>
        <w:t>both</w:t>
      </w:r>
      <w:r>
        <w:rPr>
          <w:b w:val="0"/>
          <w:i w:val="0"/>
          <w:color w:val="1A1A1A"/>
          <w:sz w:val="21"/>
        </w:rPr>
        <w:t xml:space="preserve"> memory banks, so the distance difference that drives the decision collapses toward zero. The file lands on the decision threshold, where the random seed decides its label.</w:t>
      </w:r>
    </w:p>
    <w:p>
      <w:pPr>
        <w:spacing w:after="120"/>
      </w:pPr>
      <w:r>
        <w:rPr>
          <w:b/>
          <w:i w:val="0"/>
          <w:color w:val="1A1A1A"/>
          <w:sz w:val="21"/>
        </w:rPr>
        <w:t xml:space="preserve">Supporting evidence: </w:t>
      </w:r>
      <w:r>
        <w:rPr>
          <w:b w:val="0"/>
          <w:i w:val="0"/>
          <w:color w:val="1A1A1A"/>
          <w:sz w:val="21"/>
        </w:rPr>
        <w:t>missed PD files contain nine times fewer pulses than correctly detected PD files (3,787 against 34,086), lie four times closer to the threshold, and the gap between the two memory banks falls from 0.925 to 0.152 (p = 1×10⁻⁶). Only 10 of 229 files are misclassified under all three random seeds.</w:t>
      </w:r>
    </w:p>
    <w:p>
      <w:pPr>
        <w:pStyle w:val="Heading1"/>
        <w:keepNext/>
        <w:spacing w:before="320" w:after="120"/>
      </w:pPr>
      <w:r>
        <w:rPr>
          <w:rFonts w:ascii="Calibri" w:hAnsi="Calibri"/>
          <w:b/>
          <w:color w:val="1B3F6B"/>
          <w:sz w:val="30"/>
        </w:rPr>
        <w:t>1. Quantitative breakdown of errors</w:t>
      </w:r>
    </w:p>
    <w:p>
      <w:pPr>
        <w:spacing w:after="120"/>
      </w:pPr>
      <w:r>
        <w:rPr>
          <w:b w:val="0"/>
          <w:i w:val="0"/>
          <w:color w:val="1A1A1A"/>
          <w:sz w:val="21"/>
        </w:rPr>
        <w:t>The model is trained on all laboratory data plus 70% of the field data; validation and test are field-only, drawn from measurement dates never seen during training. The test set holds 75 PD and 154 Noise files from 35 dates. The decision threshold is selected on the validation set.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06"/>
            <w:shd w:val="clear" w:color="auto" w:fill="E8EEF6"/>
          </w:tcPr>
          <w:p>
            <w:pPr>
              <w:spacing w:after="40"/>
            </w:pPr>
            <w:r>
              <w:rPr>
                <w:rFonts w:ascii="Calibri" w:hAnsi="Calibri"/>
                <w:b/>
                <w:sz w:val="19"/>
              </w:rPr>
            </w:r>
          </w:p>
        </w:tc>
        <w:tc>
          <w:tcPr>
            <w:tcW w:type="dxa" w:w="1685"/>
            <w:shd w:val="clear" w:color="auto" w:fill="E8EEF6"/>
          </w:tcPr>
          <w:p>
            <w:pPr>
              <w:spacing w:after="40"/>
              <w:jc w:val="right"/>
            </w:pPr>
            <w:r>
              <w:rPr>
                <w:rFonts w:ascii="Calibri" w:hAnsi="Calibri"/>
                <w:b/>
                <w:sz w:val="19"/>
              </w:rPr>
              <w:t>seed 42</w:t>
            </w:r>
          </w:p>
        </w:tc>
        <w:tc>
          <w:tcPr>
            <w:tcW w:type="dxa" w:w="1685"/>
            <w:shd w:val="clear" w:color="auto" w:fill="E8EEF6"/>
          </w:tcPr>
          <w:p>
            <w:pPr>
              <w:spacing w:after="40"/>
              <w:jc w:val="right"/>
            </w:pPr>
            <w:r>
              <w:rPr>
                <w:rFonts w:ascii="Calibri" w:hAnsi="Calibri"/>
                <w:b/>
                <w:sz w:val="19"/>
              </w:rPr>
              <w:t>seed 43</w:t>
            </w:r>
          </w:p>
        </w:tc>
        <w:tc>
          <w:tcPr>
            <w:tcW w:type="dxa" w:w="1685"/>
            <w:shd w:val="clear" w:color="auto" w:fill="E8EEF6"/>
          </w:tcPr>
          <w:p>
            <w:pPr>
              <w:spacing w:after="40"/>
              <w:jc w:val="right"/>
            </w:pPr>
            <w:r>
              <w:rPr>
                <w:rFonts w:ascii="Calibri" w:hAnsi="Calibri"/>
                <w:b/>
                <w:sz w:val="19"/>
              </w:rPr>
              <w:t>seed 44</w:t>
            </w:r>
          </w:p>
        </w:tc>
      </w:tr>
      <w:tr>
        <w:tc>
          <w:tcPr>
            <w:tcW w:type="dxa" w:w="4306"/>
          </w:tcPr>
          <w:p>
            <w:pPr>
              <w:spacing w:after="40"/>
            </w:pPr>
            <w:r>
              <w:rPr>
                <w:rFonts w:ascii="Calibri" w:hAnsi="Calibri"/>
                <w:b w:val="0"/>
                <w:sz w:val="19"/>
              </w:rPr>
              <w:t>Errors (of 229 files)</w:t>
            </w:r>
          </w:p>
        </w:tc>
        <w:tc>
          <w:tcPr>
            <w:tcW w:type="dxa" w:w="1685"/>
          </w:tcPr>
          <w:p>
            <w:pPr>
              <w:spacing w:after="40"/>
              <w:jc w:val="right"/>
            </w:pPr>
            <w:r>
              <w:rPr>
                <w:rFonts w:ascii="Calibri" w:hAnsi="Calibri"/>
                <w:b w:val="0"/>
                <w:sz w:val="19"/>
              </w:rPr>
              <w:t>61</w:t>
            </w:r>
          </w:p>
        </w:tc>
        <w:tc>
          <w:tcPr>
            <w:tcW w:type="dxa" w:w="1685"/>
          </w:tcPr>
          <w:p>
            <w:pPr>
              <w:spacing w:after="40"/>
              <w:jc w:val="right"/>
            </w:pPr>
            <w:r>
              <w:rPr>
                <w:rFonts w:ascii="Calibri" w:hAnsi="Calibri"/>
                <w:b w:val="0"/>
                <w:sz w:val="19"/>
              </w:rPr>
              <w:t>30</w:t>
            </w:r>
          </w:p>
        </w:tc>
        <w:tc>
          <w:tcPr>
            <w:tcW w:type="dxa" w:w="1685"/>
          </w:tcPr>
          <w:p>
            <w:pPr>
              <w:spacing w:after="40"/>
              <w:jc w:val="right"/>
            </w:pPr>
            <w:r>
              <w:rPr>
                <w:rFonts w:ascii="Calibri" w:hAnsi="Calibri"/>
                <w:b w:val="0"/>
                <w:sz w:val="19"/>
              </w:rPr>
              <w:t>54</w:t>
            </w:r>
          </w:p>
        </w:tc>
      </w:tr>
      <w:tr>
        <w:tc>
          <w:tcPr>
            <w:tcW w:type="dxa" w:w="4306"/>
          </w:tcPr>
          <w:p>
            <w:pPr>
              <w:spacing w:after="40"/>
            </w:pPr>
            <w:r>
              <w:rPr>
                <w:rFonts w:ascii="Calibri" w:hAnsi="Calibri"/>
                <w:b w:val="0"/>
                <w:sz w:val="19"/>
              </w:rPr>
              <w:t>False alarms (Noise called PD)</w:t>
            </w:r>
          </w:p>
        </w:tc>
        <w:tc>
          <w:tcPr>
            <w:tcW w:type="dxa" w:w="1685"/>
          </w:tcPr>
          <w:p>
            <w:pPr>
              <w:spacing w:after="40"/>
              <w:jc w:val="right"/>
            </w:pPr>
            <w:r>
              <w:rPr>
                <w:rFonts w:ascii="Calibri" w:hAnsi="Calibri"/>
                <w:b w:val="0"/>
                <w:sz w:val="19"/>
              </w:rPr>
              <w:t>43</w:t>
            </w:r>
          </w:p>
        </w:tc>
        <w:tc>
          <w:tcPr>
            <w:tcW w:type="dxa" w:w="1685"/>
          </w:tcPr>
          <w:p>
            <w:pPr>
              <w:spacing w:after="40"/>
              <w:jc w:val="right"/>
            </w:pPr>
            <w:r>
              <w:rPr>
                <w:rFonts w:ascii="Calibri" w:hAnsi="Calibri"/>
                <w:b w:val="0"/>
                <w:sz w:val="19"/>
              </w:rPr>
              <w:t>–</w:t>
            </w:r>
          </w:p>
        </w:tc>
        <w:tc>
          <w:tcPr>
            <w:tcW w:type="dxa" w:w="1685"/>
          </w:tcPr>
          <w:p>
            <w:pPr>
              <w:spacing w:after="40"/>
              <w:jc w:val="right"/>
            </w:pPr>
            <w:r>
              <w:rPr>
                <w:rFonts w:ascii="Calibri" w:hAnsi="Calibri"/>
                <w:b w:val="0"/>
                <w:sz w:val="19"/>
              </w:rPr>
              <w:t>–</w:t>
            </w:r>
          </w:p>
        </w:tc>
      </w:tr>
      <w:tr>
        <w:tc>
          <w:tcPr>
            <w:tcW w:type="dxa" w:w="4306"/>
          </w:tcPr>
          <w:p>
            <w:pPr>
              <w:spacing w:after="40"/>
            </w:pPr>
            <w:r>
              <w:rPr>
                <w:rFonts w:ascii="Calibri" w:hAnsi="Calibri"/>
                <w:b w:val="0"/>
                <w:sz w:val="19"/>
              </w:rPr>
              <w:t>Missed PD (PD called Noise)</w:t>
            </w:r>
          </w:p>
        </w:tc>
        <w:tc>
          <w:tcPr>
            <w:tcW w:type="dxa" w:w="1685"/>
          </w:tcPr>
          <w:p>
            <w:pPr>
              <w:spacing w:after="40"/>
              <w:jc w:val="right"/>
            </w:pPr>
            <w:r>
              <w:rPr>
                <w:rFonts w:ascii="Calibri" w:hAnsi="Calibri"/>
                <w:b w:val="0"/>
                <w:sz w:val="19"/>
              </w:rPr>
              <w:t>18</w:t>
            </w:r>
          </w:p>
        </w:tc>
        <w:tc>
          <w:tcPr>
            <w:tcW w:type="dxa" w:w="1685"/>
          </w:tcPr>
          <w:p>
            <w:pPr>
              <w:spacing w:after="40"/>
              <w:jc w:val="right"/>
            </w:pPr>
            <w:r>
              <w:rPr>
                <w:rFonts w:ascii="Calibri" w:hAnsi="Calibri"/>
                <w:b w:val="0"/>
                <w:sz w:val="19"/>
              </w:rPr>
              <w:t>–</w:t>
            </w:r>
          </w:p>
        </w:tc>
        <w:tc>
          <w:tcPr>
            <w:tcW w:type="dxa" w:w="1685"/>
          </w:tcPr>
          <w:p>
            <w:pPr>
              <w:spacing w:after="40"/>
              <w:jc w:val="right"/>
            </w:pPr>
            <w:r>
              <w:rPr>
                <w:rFonts w:ascii="Calibri" w:hAnsi="Calibri"/>
                <w:b w:val="0"/>
                <w:sz w:val="19"/>
              </w:rPr>
              <w:t>–</w:t>
            </w:r>
          </w:p>
        </w:tc>
      </w:tr>
      <w:tr>
        <w:tc>
          <w:tcPr>
            <w:tcW w:type="dxa" w:w="4306"/>
          </w:tcPr>
          <w:p>
            <w:pPr>
              <w:spacing w:after="40"/>
            </w:pPr>
            <w:r>
              <w:rPr>
                <w:rFonts w:ascii="Calibri" w:hAnsi="Calibri"/>
                <w:b w:val="0"/>
                <w:sz w:val="19"/>
              </w:rPr>
              <w:t>Wrong under all three seeds</w:t>
            </w:r>
          </w:p>
        </w:tc>
        <w:tc>
          <w:tcPr>
            <w:tcW w:type="dxa" w:w="1685"/>
          </w:tcPr>
          <w:p>
            <w:pPr>
              <w:spacing w:after="40"/>
              <w:jc w:val="right"/>
            </w:pPr>
            <w:r>
              <w:rPr>
                <w:rFonts w:ascii="Calibri" w:hAnsi="Calibri"/>
                <w:b w:val="0"/>
                <w:sz w:val="19"/>
              </w:rPr>
              <w:t>10</w:t>
            </w:r>
          </w:p>
        </w:tc>
        <w:tc>
          <w:tcPr>
            <w:tcW w:type="dxa" w:w="1685"/>
          </w:tcPr>
          <w:p>
            <w:pPr>
              <w:spacing w:after="40"/>
              <w:jc w:val="right"/>
            </w:pPr>
            <w:r>
              <w:rPr>
                <w:rFonts w:ascii="Calibri" w:hAnsi="Calibri"/>
                <w:b w:val="0"/>
                <w:sz w:val="19"/>
              </w:rPr>
            </w:r>
          </w:p>
        </w:tc>
        <w:tc>
          <w:tcPr>
            <w:tcW w:type="dxa" w:w="1685"/>
          </w:tcPr>
          <w:p>
            <w:pPr>
              <w:spacing w:after="40"/>
              <w:jc w:val="right"/>
            </w:pPr>
            <w:r>
              <w:rPr>
                <w:rFonts w:ascii="Calibri" w:hAnsi="Calibri"/>
                <w:b w:val="0"/>
                <w:sz w:val="19"/>
              </w:rPr>
            </w:r>
          </w:p>
        </w:tc>
      </w:tr>
      <w:tr>
        <w:tc>
          <w:tcPr>
            <w:tcW w:type="dxa" w:w="4306"/>
          </w:tcPr>
          <w:p>
            <w:pPr>
              <w:spacing w:after="40"/>
            </w:pPr>
            <w:r>
              <w:rPr>
                <w:rFonts w:ascii="Calibri" w:hAnsi="Calibri"/>
                <w:b w:val="0"/>
                <w:sz w:val="19"/>
              </w:rPr>
              <w:t>Wrong under exactly one seed</w:t>
            </w:r>
          </w:p>
        </w:tc>
        <w:tc>
          <w:tcPr>
            <w:tcW w:type="dxa" w:w="1685"/>
          </w:tcPr>
          <w:p>
            <w:pPr>
              <w:spacing w:after="40"/>
              <w:jc w:val="right"/>
            </w:pPr>
            <w:r>
              <w:rPr>
                <w:rFonts w:ascii="Calibri" w:hAnsi="Calibri"/>
                <w:b w:val="0"/>
                <w:sz w:val="19"/>
              </w:rPr>
              <w:t>53</w:t>
            </w:r>
          </w:p>
        </w:tc>
        <w:tc>
          <w:tcPr>
            <w:tcW w:type="dxa" w:w="1685"/>
          </w:tcPr>
          <w:p>
            <w:pPr>
              <w:spacing w:after="40"/>
              <w:jc w:val="right"/>
            </w:pPr>
            <w:r>
              <w:rPr>
                <w:rFonts w:ascii="Calibri" w:hAnsi="Calibri"/>
                <w:b w:val="0"/>
                <w:sz w:val="19"/>
              </w:rPr>
            </w:r>
          </w:p>
        </w:tc>
        <w:tc>
          <w:tcPr>
            <w:tcW w:type="dxa" w:w="1685"/>
          </w:tcPr>
          <w:p>
            <w:pPr>
              <w:spacing w:after="40"/>
              <w:jc w:val="right"/>
            </w:pPr>
            <w:r>
              <w:rPr>
                <w:rFonts w:ascii="Calibri" w:hAnsi="Calibri"/>
                <w:b w:val="0"/>
                <w:sz w:val="19"/>
              </w:rPr>
            </w:r>
          </w:p>
        </w:tc>
      </w:tr>
    </w:tbl>
    <w:p>
      <w:pPr>
        <w:spacing w:after="200"/>
      </w:pPr>
    </w:p>
    <w:p>
      <w:pPr>
        <w:spacing w:after="120"/>
      </w:pPr>
      <w:r>
        <w:rPr>
          <w:b w:val="0"/>
          <w:i w:val="0"/>
          <w:color w:val="1A1A1A"/>
          <w:sz w:val="21"/>
        </w:rPr>
        <w:t>The direction of error depends on the operating point. At the validation-selected threshold the model over-calls PD (43 false alarms against 18 missed PD); at the F1-optimal threshold it becomes conservative (4 false alarms against 32 missed PD). The ranking of files is stable; the threshold is not.</w:t>
      </w:r>
    </w:p>
    <w:p>
      <w:pPr>
        <w:pStyle w:val="Heading2"/>
        <w:keepNext/>
        <w:spacing w:before="240" w:after="120"/>
      </w:pPr>
      <w:r>
        <w:rPr>
          <w:rFonts w:ascii="Calibri" w:hAnsi="Calibri"/>
          <w:b/>
          <w:color w:val="1A1A1A"/>
          <w:sz w:val="24"/>
        </w:rPr>
        <w:t>Statistical resolution of the test set</w:t>
      </w:r>
    </w:p>
    <w:p>
      <w:pPr>
        <w:spacing w:after="120"/>
      </w:pPr>
      <w:r>
        <w:rPr>
          <w:b w:val="0"/>
          <w:i w:val="0"/>
          <w:color w:val="1A1A1A"/>
          <w:sz w:val="21"/>
        </w:rPr>
        <w:t>Bootstrap resampling of measurement dates (2,000 resamples; dates rather than files, because files recorded on one date share an environment):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931"/>
            <w:shd w:val="clear" w:color="auto" w:fill="E8EEF6"/>
          </w:tcPr>
          <w:p>
            <w:pPr>
              <w:spacing w:after="40"/>
            </w:pPr>
            <w:r>
              <w:rPr>
                <w:rFonts w:ascii="Calibri" w:hAnsi="Calibri"/>
                <w:b/>
                <w:sz w:val="19"/>
              </w:rPr>
              <w:t>Method</w:t>
            </w:r>
          </w:p>
        </w:tc>
        <w:tc>
          <w:tcPr>
            <w:tcW w:type="dxa" w:w="2246"/>
            <w:shd w:val="clear" w:color="auto" w:fill="E8EEF6"/>
          </w:tcPr>
          <w:p>
            <w:pPr>
              <w:spacing w:after="40"/>
              <w:jc w:val="right"/>
            </w:pPr>
            <w:r>
              <w:rPr>
                <w:rFonts w:ascii="Calibri" w:hAnsi="Calibri"/>
                <w:b/>
                <w:sz w:val="19"/>
              </w:rPr>
              <w:t>Test AUROC</w:t>
            </w:r>
          </w:p>
        </w:tc>
        <w:tc>
          <w:tcPr>
            <w:tcW w:type="dxa" w:w="3182"/>
            <w:shd w:val="clear" w:color="auto" w:fill="E8EEF6"/>
          </w:tcPr>
          <w:p>
            <w:pPr>
              <w:spacing w:after="40"/>
              <w:jc w:val="right"/>
            </w:pPr>
            <w:r>
              <w:rPr>
                <w:rFonts w:ascii="Calibri" w:hAnsi="Calibri"/>
                <w:b/>
                <w:sz w:val="19"/>
              </w:rPr>
              <w:t>95% confidence interval</w:t>
            </w:r>
          </w:p>
        </w:tc>
      </w:tr>
      <w:tr>
        <w:tc>
          <w:tcPr>
            <w:tcW w:type="dxa" w:w="3931"/>
          </w:tcPr>
          <w:p>
            <w:pPr>
              <w:spacing w:after="40"/>
            </w:pPr>
            <w:r>
              <w:rPr>
                <w:rFonts w:ascii="Calibri" w:hAnsi="Calibri"/>
                <w:b/>
                <w:sz w:val="19"/>
              </w:rPr>
              <w:t>PatchCore (WideResNet-50, K=8)</w:t>
            </w:r>
          </w:p>
        </w:tc>
        <w:tc>
          <w:tcPr>
            <w:tcW w:type="dxa" w:w="2246"/>
          </w:tcPr>
          <w:p>
            <w:pPr>
              <w:spacing w:after="40"/>
              <w:jc w:val="right"/>
            </w:pPr>
            <w:r>
              <w:rPr>
                <w:rFonts w:ascii="Calibri" w:hAnsi="Calibri"/>
                <w:b/>
                <w:sz w:val="19"/>
              </w:rPr>
              <w:t>0.864</w:t>
            </w:r>
          </w:p>
        </w:tc>
        <w:tc>
          <w:tcPr>
            <w:tcW w:type="dxa" w:w="3182"/>
          </w:tcPr>
          <w:p>
            <w:pPr>
              <w:spacing w:after="40"/>
              <w:jc w:val="right"/>
            </w:pPr>
            <w:r>
              <w:rPr>
                <w:rFonts w:ascii="Calibri" w:hAnsi="Calibri"/>
                <w:b/>
                <w:sz w:val="19"/>
              </w:rPr>
              <w:t>[0.730, 0.965]</w:t>
            </w:r>
          </w:p>
        </w:tc>
      </w:tr>
      <w:tr>
        <w:tc>
          <w:tcPr>
            <w:tcW w:type="dxa" w:w="3931"/>
          </w:tcPr>
          <w:p>
            <w:pPr>
              <w:spacing w:after="40"/>
            </w:pPr>
            <w:r>
              <w:rPr>
                <w:rFonts w:ascii="Calibri" w:hAnsi="Calibri"/>
                <w:b w:val="0"/>
                <w:sz w:val="19"/>
              </w:rPr>
              <w:t>kNN-5 on the 256-D feature</w:t>
            </w:r>
          </w:p>
        </w:tc>
        <w:tc>
          <w:tcPr>
            <w:tcW w:type="dxa" w:w="2246"/>
          </w:tcPr>
          <w:p>
            <w:pPr>
              <w:spacing w:after="40"/>
              <w:jc w:val="right"/>
            </w:pPr>
            <w:r>
              <w:rPr>
                <w:rFonts w:ascii="Calibri" w:hAnsi="Calibri"/>
                <w:b w:val="0"/>
                <w:sz w:val="19"/>
              </w:rPr>
              <w:t>0.867</w:t>
            </w:r>
          </w:p>
        </w:tc>
        <w:tc>
          <w:tcPr>
            <w:tcW w:type="dxa" w:w="3182"/>
          </w:tcPr>
          <w:p>
            <w:pPr>
              <w:spacing w:after="40"/>
              <w:jc w:val="right"/>
            </w:pPr>
            <w:r>
              <w:rPr>
                <w:rFonts w:ascii="Calibri" w:hAnsi="Calibri"/>
                <w:b w:val="0"/>
                <w:sz w:val="19"/>
              </w:rPr>
              <w:t>[0.750, 0.948]</w:t>
            </w:r>
          </w:p>
        </w:tc>
      </w:tr>
      <w:tr>
        <w:tc>
          <w:tcPr>
            <w:tcW w:type="dxa" w:w="3931"/>
          </w:tcPr>
          <w:p>
            <w:pPr>
              <w:spacing w:after="40"/>
            </w:pPr>
            <w:r>
              <w:rPr>
                <w:rFonts w:ascii="Calibri" w:hAnsi="Calibri"/>
                <w:b w:val="0"/>
                <w:sz w:val="19"/>
              </w:rPr>
              <w:t>EfficientAD</w:t>
            </w:r>
          </w:p>
        </w:tc>
        <w:tc>
          <w:tcPr>
            <w:tcW w:type="dxa" w:w="2246"/>
          </w:tcPr>
          <w:p>
            <w:pPr>
              <w:spacing w:after="40"/>
              <w:jc w:val="right"/>
            </w:pPr>
            <w:r>
              <w:rPr>
                <w:rFonts w:ascii="Calibri" w:hAnsi="Calibri"/>
                <w:b w:val="0"/>
                <w:sz w:val="19"/>
              </w:rPr>
              <w:t>0.737</w:t>
            </w:r>
          </w:p>
        </w:tc>
        <w:tc>
          <w:tcPr>
            <w:tcW w:type="dxa" w:w="3182"/>
          </w:tcPr>
          <w:p>
            <w:pPr>
              <w:spacing w:after="40"/>
              <w:jc w:val="right"/>
            </w:pPr>
            <w:r>
              <w:rPr>
                <w:rFonts w:ascii="Calibri" w:hAnsi="Calibri"/>
                <w:b w:val="0"/>
                <w:sz w:val="19"/>
              </w:rPr>
              <w:t>[0.552, 0.869]</w:t>
            </w:r>
          </w:p>
        </w:tc>
      </w:tr>
      <w:tr>
        <w:tc>
          <w:tcPr>
            <w:tcW w:type="dxa" w:w="3931"/>
          </w:tcPr>
          <w:p>
            <w:pPr>
              <w:spacing w:after="40"/>
            </w:pPr>
            <w:r>
              <w:rPr>
                <w:rFonts w:ascii="Calibri" w:hAnsi="Calibri"/>
                <w:b w:val="0"/>
                <w:sz w:val="19"/>
              </w:rPr>
              <w:t>One-Class SVM</w:t>
            </w:r>
          </w:p>
        </w:tc>
        <w:tc>
          <w:tcPr>
            <w:tcW w:type="dxa" w:w="2246"/>
          </w:tcPr>
          <w:p>
            <w:pPr>
              <w:spacing w:after="40"/>
              <w:jc w:val="right"/>
            </w:pPr>
            <w:r>
              <w:rPr>
                <w:rFonts w:ascii="Calibri" w:hAnsi="Calibri"/>
                <w:b w:val="0"/>
                <w:sz w:val="19"/>
              </w:rPr>
              <w:t>0.611</w:t>
            </w:r>
          </w:p>
        </w:tc>
        <w:tc>
          <w:tcPr>
            <w:tcW w:type="dxa" w:w="3182"/>
          </w:tcPr>
          <w:p>
            <w:pPr>
              <w:spacing w:after="40"/>
              <w:jc w:val="right"/>
            </w:pPr>
            <w:r>
              <w:rPr>
                <w:rFonts w:ascii="Calibri" w:hAnsi="Calibri"/>
                <w:b w:val="0"/>
                <w:sz w:val="19"/>
              </w:rPr>
              <w:t>[0.379, 0.864]</w:t>
            </w:r>
          </w:p>
        </w:tc>
      </w:tr>
    </w:tbl>
    <w:p>
      <w:pPr>
        <w:spacing w:after="200"/>
      </w:pPr>
    </w:p>
    <w:p>
      <w:pPr>
        <w:pStyle w:val="ListBullet"/>
        <w:spacing w:after="80" w:line="276" w:lineRule="auto"/>
      </w:pPr>
      <w:r>
        <w:rPr>
          <w:rFonts w:ascii="Calibri" w:hAnsi="Calibri"/>
          <w:b/>
          <w:color w:val="1A1A1A"/>
          <w:sz w:val="21"/>
        </w:rPr>
        <w:t xml:space="preserve">PatchCore vs EfficientAD: </w:t>
      </w:r>
      <w:r>
        <w:rPr>
          <w:rFonts w:ascii="Calibri" w:hAnsi="Calibri"/>
          <w:b w:val="0"/>
          <w:color w:val="1A1A1A"/>
          <w:sz w:val="21"/>
        </w:rPr>
        <w:t>+0.128, P(PatchCore better) = 0.91</w:t>
      </w:r>
    </w:p>
    <w:p>
      <w:pPr>
        <w:pStyle w:val="ListBullet"/>
        <w:spacing w:after="80" w:line="276" w:lineRule="auto"/>
      </w:pPr>
      <w:r>
        <w:rPr>
          <w:rFonts w:ascii="Calibri" w:hAnsi="Calibri"/>
          <w:b/>
          <w:color w:val="1A1A1A"/>
          <w:sz w:val="21"/>
        </w:rPr>
        <w:t xml:space="preserve">PatchCore vs One-Class SVM: </w:t>
      </w:r>
      <w:r>
        <w:rPr>
          <w:rFonts w:ascii="Calibri" w:hAnsi="Calibri"/>
          <w:b w:val="0"/>
          <w:color w:val="1A1A1A"/>
          <w:sz w:val="21"/>
        </w:rPr>
        <w:t>+0.243, CI [0.006, 0.485], P = 0.98</w:t>
      </w:r>
    </w:p>
    <w:p>
      <w:pPr>
        <w:pStyle w:val="ListBullet"/>
        <w:spacing w:after="80" w:line="276" w:lineRule="auto"/>
      </w:pPr>
      <w:r>
        <w:rPr>
          <w:rFonts w:ascii="Calibri" w:hAnsi="Calibri"/>
          <w:b/>
          <w:color w:val="1A1A1A"/>
          <w:sz w:val="21"/>
        </w:rPr>
        <w:t xml:space="preserve">PatchCore vs kNN-5: </w:t>
      </w:r>
      <w:r>
        <w:rPr>
          <w:rFonts w:ascii="Calibri" w:hAnsi="Calibri"/>
          <w:b w:val="0"/>
          <w:color w:val="1A1A1A"/>
          <w:sz w:val="21"/>
        </w:rPr>
        <w:t>−0.007, CI [−0.127, +0.151], P = 0.46 — no measurable difference</w:t>
      </w:r>
    </w:p>
    <w:p>
      <w:pPr>
        <w:spacing w:after="200"/>
      </w:pPr>
      <w:r>
        <w:rPr>
          <w:b w:val="0"/>
          <w:i/>
          <w:color w:val="1A1A1A"/>
          <w:sz w:val="21"/>
        </w:rPr>
        <w:t>The confidence intervals are about ±0.12 wide. An improvement smaller than roughly 0.1 AUROC cannot be demonstrated on a test set of this size.</w:t>
      </w:r>
    </w:p>
    <w:p>
      <w:r>
        <w:br w:type="page"/>
      </w:r>
    </w:p>
    <w:p>
      <w:pPr>
        <w:pStyle w:val="Heading1"/>
        <w:keepNext/>
        <w:spacing w:before="320" w:after="120"/>
      </w:pPr>
      <w:r>
        <w:rPr>
          <w:rFonts w:ascii="Calibri" w:hAnsi="Calibri"/>
          <w:b/>
          <w:color w:val="1B3F6B"/>
          <w:sz w:val="30"/>
        </w:rPr>
        <w:t>2. Where the errors occur</w:t>
      </w:r>
    </w:p>
    <w:p>
      <w:pPr>
        <w:spacing w:after="120"/>
      </w:pPr>
      <w:r>
        <w:rPr>
          <w:b w:val="0"/>
          <w:i w:val="0"/>
          <w:color w:val="1A1A1A"/>
          <w:sz w:val="21"/>
        </w:rPr>
        <w:t>Three measurement dates account for 64% of all errors, and the two largest contributors are pure field-noise dates that the model had never seen: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59"/>
            <w:shd w:val="clear" w:color="auto" w:fill="E8EEF6"/>
          </w:tcPr>
          <w:p>
            <w:pPr>
              <w:spacing w:after="40"/>
            </w:pPr>
            <w:r>
              <w:rPr>
                <w:rFonts w:ascii="Calibri" w:hAnsi="Calibri"/>
                <w:b/>
                <w:sz w:val="19"/>
              </w:rPr>
              <w:t>Date</w:t>
            </w:r>
          </w:p>
        </w:tc>
        <w:tc>
          <w:tcPr>
            <w:tcW w:type="dxa" w:w="1310"/>
            <w:shd w:val="clear" w:color="auto" w:fill="E8EEF6"/>
          </w:tcPr>
          <w:p>
            <w:pPr>
              <w:spacing w:after="40"/>
              <w:jc w:val="right"/>
            </w:pPr>
            <w:r>
              <w:rPr>
                <w:rFonts w:ascii="Calibri" w:hAnsi="Calibri"/>
                <w:b/>
                <w:sz w:val="19"/>
              </w:rPr>
              <w:t>Files</w:t>
            </w:r>
          </w:p>
        </w:tc>
        <w:tc>
          <w:tcPr>
            <w:tcW w:type="dxa" w:w="1498"/>
            <w:shd w:val="clear" w:color="auto" w:fill="E8EEF6"/>
          </w:tcPr>
          <w:p>
            <w:pPr>
              <w:spacing w:after="40"/>
              <w:jc w:val="right"/>
            </w:pPr>
            <w:r>
              <w:rPr>
                <w:rFonts w:ascii="Calibri" w:hAnsi="Calibri"/>
                <w:b/>
                <w:sz w:val="19"/>
              </w:rPr>
              <w:t>PD files</w:t>
            </w:r>
          </w:p>
        </w:tc>
        <w:tc>
          <w:tcPr>
            <w:tcW w:type="dxa" w:w="1310"/>
            <w:shd w:val="clear" w:color="auto" w:fill="E8EEF6"/>
          </w:tcPr>
          <w:p>
            <w:pPr>
              <w:spacing w:after="40"/>
              <w:jc w:val="right"/>
            </w:pPr>
            <w:r>
              <w:rPr>
                <w:rFonts w:ascii="Calibri" w:hAnsi="Calibri"/>
                <w:b/>
                <w:sz w:val="19"/>
              </w:rPr>
              <w:t>Errors</w:t>
            </w:r>
          </w:p>
        </w:tc>
        <w:tc>
          <w:tcPr>
            <w:tcW w:type="dxa" w:w="1591"/>
            <w:shd w:val="clear" w:color="auto" w:fill="E8EEF6"/>
          </w:tcPr>
          <w:p>
            <w:pPr>
              <w:spacing w:after="40"/>
              <w:jc w:val="right"/>
            </w:pPr>
            <w:r>
              <w:rPr>
                <w:rFonts w:ascii="Calibri" w:hAnsi="Calibri"/>
                <w:b/>
                <w:sz w:val="19"/>
              </w:rPr>
              <w:t>Missed PD</w:t>
            </w:r>
          </w:p>
        </w:tc>
        <w:tc>
          <w:tcPr>
            <w:tcW w:type="dxa" w:w="1591"/>
            <w:shd w:val="clear" w:color="auto" w:fill="E8EEF6"/>
          </w:tcPr>
          <w:p>
            <w:pPr>
              <w:spacing w:after="40"/>
              <w:jc w:val="right"/>
            </w:pPr>
            <w:r>
              <w:rPr>
                <w:rFonts w:ascii="Calibri" w:hAnsi="Calibri"/>
                <w:b/>
                <w:sz w:val="19"/>
              </w:rPr>
              <w:t>False alarms</w:t>
            </w:r>
          </w:p>
        </w:tc>
      </w:tr>
      <w:tr>
        <w:tc>
          <w:tcPr>
            <w:tcW w:type="dxa" w:w="2059"/>
          </w:tcPr>
          <w:p>
            <w:pPr>
              <w:spacing w:after="40"/>
            </w:pPr>
            <w:r>
              <w:rPr>
                <w:rFonts w:ascii="Calibri" w:hAnsi="Calibri"/>
                <w:b w:val="0"/>
                <w:sz w:val="19"/>
              </w:rPr>
              <w:t>20250217</w:t>
            </w:r>
          </w:p>
        </w:tc>
        <w:tc>
          <w:tcPr>
            <w:tcW w:type="dxa" w:w="1310"/>
          </w:tcPr>
          <w:p>
            <w:pPr>
              <w:spacing w:after="40"/>
              <w:jc w:val="right"/>
            </w:pPr>
            <w:r>
              <w:rPr>
                <w:rFonts w:ascii="Calibri" w:hAnsi="Calibri"/>
                <w:b w:val="0"/>
                <w:sz w:val="19"/>
              </w:rPr>
              <w:t>32</w:t>
            </w:r>
          </w:p>
        </w:tc>
        <w:tc>
          <w:tcPr>
            <w:tcW w:type="dxa" w:w="1498"/>
          </w:tcPr>
          <w:p>
            <w:pPr>
              <w:spacing w:after="40"/>
              <w:jc w:val="right"/>
            </w:pPr>
            <w:r>
              <w:rPr>
                <w:rFonts w:ascii="Calibri" w:hAnsi="Calibri"/>
                <w:b w:val="0"/>
                <w:sz w:val="19"/>
              </w:rPr>
              <w:t>0</w:t>
            </w:r>
          </w:p>
        </w:tc>
        <w:tc>
          <w:tcPr>
            <w:tcW w:type="dxa" w:w="1310"/>
          </w:tcPr>
          <w:p>
            <w:pPr>
              <w:spacing w:after="40"/>
              <w:jc w:val="right"/>
            </w:pPr>
            <w:r>
              <w:rPr>
                <w:rFonts w:ascii="Calibri" w:hAnsi="Calibri"/>
                <w:b/>
                <w:sz w:val="19"/>
              </w:rPr>
              <w:t>20</w:t>
            </w:r>
          </w:p>
        </w:tc>
        <w:tc>
          <w:tcPr>
            <w:tcW w:type="dxa" w:w="1591"/>
          </w:tcPr>
          <w:p>
            <w:pPr>
              <w:spacing w:after="40"/>
              <w:jc w:val="right"/>
            </w:pPr>
            <w:r>
              <w:rPr>
                <w:rFonts w:ascii="Calibri" w:hAnsi="Calibri"/>
                <w:b w:val="0"/>
                <w:sz w:val="19"/>
              </w:rPr>
              <w:t>0</w:t>
            </w:r>
          </w:p>
        </w:tc>
        <w:tc>
          <w:tcPr>
            <w:tcW w:type="dxa" w:w="1591"/>
          </w:tcPr>
          <w:p>
            <w:pPr>
              <w:spacing w:after="40"/>
              <w:jc w:val="right"/>
            </w:pPr>
            <w:r>
              <w:rPr>
                <w:rFonts w:ascii="Calibri" w:hAnsi="Calibri"/>
                <w:b w:val="0"/>
                <w:sz w:val="19"/>
              </w:rPr>
              <w:t>20</w:t>
            </w:r>
          </w:p>
        </w:tc>
      </w:tr>
      <w:tr>
        <w:tc>
          <w:tcPr>
            <w:tcW w:type="dxa" w:w="2059"/>
          </w:tcPr>
          <w:p>
            <w:pPr>
              <w:spacing w:after="40"/>
            </w:pPr>
            <w:r>
              <w:rPr>
                <w:rFonts w:ascii="Calibri" w:hAnsi="Calibri"/>
                <w:b w:val="0"/>
                <w:sz w:val="19"/>
              </w:rPr>
              <w:t>20250213</w:t>
            </w:r>
          </w:p>
        </w:tc>
        <w:tc>
          <w:tcPr>
            <w:tcW w:type="dxa" w:w="1310"/>
          </w:tcPr>
          <w:p>
            <w:pPr>
              <w:spacing w:after="40"/>
              <w:jc w:val="right"/>
            </w:pPr>
            <w:r>
              <w:rPr>
                <w:rFonts w:ascii="Calibri" w:hAnsi="Calibri"/>
                <w:b w:val="0"/>
                <w:sz w:val="19"/>
              </w:rPr>
              <w:t>24</w:t>
            </w:r>
          </w:p>
        </w:tc>
        <w:tc>
          <w:tcPr>
            <w:tcW w:type="dxa" w:w="1498"/>
          </w:tcPr>
          <w:p>
            <w:pPr>
              <w:spacing w:after="40"/>
              <w:jc w:val="right"/>
            </w:pPr>
            <w:r>
              <w:rPr>
                <w:rFonts w:ascii="Calibri" w:hAnsi="Calibri"/>
                <w:b w:val="0"/>
                <w:sz w:val="19"/>
              </w:rPr>
              <w:t>0</w:t>
            </w:r>
          </w:p>
        </w:tc>
        <w:tc>
          <w:tcPr>
            <w:tcW w:type="dxa" w:w="1310"/>
          </w:tcPr>
          <w:p>
            <w:pPr>
              <w:spacing w:after="40"/>
              <w:jc w:val="right"/>
            </w:pPr>
            <w:r>
              <w:rPr>
                <w:rFonts w:ascii="Calibri" w:hAnsi="Calibri"/>
                <w:b/>
                <w:sz w:val="19"/>
              </w:rPr>
              <w:t>12</w:t>
            </w:r>
          </w:p>
        </w:tc>
        <w:tc>
          <w:tcPr>
            <w:tcW w:type="dxa" w:w="1591"/>
          </w:tcPr>
          <w:p>
            <w:pPr>
              <w:spacing w:after="40"/>
              <w:jc w:val="right"/>
            </w:pPr>
            <w:r>
              <w:rPr>
                <w:rFonts w:ascii="Calibri" w:hAnsi="Calibri"/>
                <w:b w:val="0"/>
                <w:sz w:val="19"/>
              </w:rPr>
              <w:t>0</w:t>
            </w:r>
          </w:p>
        </w:tc>
        <w:tc>
          <w:tcPr>
            <w:tcW w:type="dxa" w:w="1591"/>
          </w:tcPr>
          <w:p>
            <w:pPr>
              <w:spacing w:after="40"/>
              <w:jc w:val="right"/>
            </w:pPr>
            <w:r>
              <w:rPr>
                <w:rFonts w:ascii="Calibri" w:hAnsi="Calibri"/>
                <w:b w:val="0"/>
                <w:sz w:val="19"/>
              </w:rPr>
              <w:t>12</w:t>
            </w:r>
          </w:p>
        </w:tc>
      </w:tr>
      <w:tr>
        <w:tc>
          <w:tcPr>
            <w:tcW w:type="dxa" w:w="2059"/>
          </w:tcPr>
          <w:p>
            <w:pPr>
              <w:spacing w:after="40"/>
            </w:pPr>
            <w:r>
              <w:rPr>
                <w:rFonts w:ascii="Calibri" w:hAnsi="Calibri"/>
                <w:b w:val="0"/>
                <w:sz w:val="19"/>
              </w:rPr>
              <w:t>20220427</w:t>
            </w:r>
          </w:p>
        </w:tc>
        <w:tc>
          <w:tcPr>
            <w:tcW w:type="dxa" w:w="1310"/>
          </w:tcPr>
          <w:p>
            <w:pPr>
              <w:spacing w:after="40"/>
              <w:jc w:val="right"/>
            </w:pPr>
            <w:r>
              <w:rPr>
                <w:rFonts w:ascii="Calibri" w:hAnsi="Calibri"/>
                <w:b w:val="0"/>
                <w:sz w:val="19"/>
              </w:rPr>
              <w:t>17</w:t>
            </w:r>
          </w:p>
        </w:tc>
        <w:tc>
          <w:tcPr>
            <w:tcW w:type="dxa" w:w="1498"/>
          </w:tcPr>
          <w:p>
            <w:pPr>
              <w:spacing w:after="40"/>
              <w:jc w:val="right"/>
            </w:pPr>
            <w:r>
              <w:rPr>
                <w:rFonts w:ascii="Calibri" w:hAnsi="Calibri"/>
                <w:b w:val="0"/>
                <w:sz w:val="19"/>
              </w:rPr>
              <w:t>17</w:t>
            </w:r>
          </w:p>
        </w:tc>
        <w:tc>
          <w:tcPr>
            <w:tcW w:type="dxa" w:w="1310"/>
          </w:tcPr>
          <w:p>
            <w:pPr>
              <w:spacing w:after="40"/>
              <w:jc w:val="right"/>
            </w:pPr>
            <w:r>
              <w:rPr>
                <w:rFonts w:ascii="Calibri" w:hAnsi="Calibri"/>
                <w:b w:val="0"/>
                <w:sz w:val="19"/>
              </w:rPr>
              <w:t>7</w:t>
            </w:r>
          </w:p>
        </w:tc>
        <w:tc>
          <w:tcPr>
            <w:tcW w:type="dxa" w:w="1591"/>
          </w:tcPr>
          <w:p>
            <w:pPr>
              <w:spacing w:after="40"/>
              <w:jc w:val="right"/>
            </w:pPr>
            <w:r>
              <w:rPr>
                <w:rFonts w:ascii="Calibri" w:hAnsi="Calibri"/>
                <w:b w:val="0"/>
                <w:sz w:val="19"/>
              </w:rPr>
              <w:t>7</w:t>
            </w:r>
          </w:p>
        </w:tc>
        <w:tc>
          <w:tcPr>
            <w:tcW w:type="dxa" w:w="1591"/>
          </w:tcPr>
          <w:p>
            <w:pPr>
              <w:spacing w:after="40"/>
              <w:jc w:val="right"/>
            </w:pPr>
            <w:r>
              <w:rPr>
                <w:rFonts w:ascii="Calibri" w:hAnsi="Calibri"/>
                <w:b w:val="0"/>
                <w:sz w:val="19"/>
              </w:rPr>
              <w:t>0</w:t>
            </w:r>
          </w:p>
        </w:tc>
      </w:tr>
      <w:tr>
        <w:tc>
          <w:tcPr>
            <w:tcW w:type="dxa" w:w="2059"/>
          </w:tcPr>
          <w:p>
            <w:pPr>
              <w:spacing w:after="40"/>
            </w:pPr>
            <w:r>
              <w:rPr>
                <w:rFonts w:ascii="Calibri" w:hAnsi="Calibri"/>
                <w:b w:val="0"/>
                <w:sz w:val="19"/>
              </w:rPr>
              <w:t>20231023</w:t>
            </w:r>
          </w:p>
        </w:tc>
        <w:tc>
          <w:tcPr>
            <w:tcW w:type="dxa" w:w="1310"/>
          </w:tcPr>
          <w:p>
            <w:pPr>
              <w:spacing w:after="40"/>
              <w:jc w:val="right"/>
            </w:pPr>
            <w:r>
              <w:rPr>
                <w:rFonts w:ascii="Calibri" w:hAnsi="Calibri"/>
                <w:b w:val="0"/>
                <w:sz w:val="19"/>
              </w:rPr>
              <w:t>6</w:t>
            </w:r>
          </w:p>
        </w:tc>
        <w:tc>
          <w:tcPr>
            <w:tcW w:type="dxa" w:w="1498"/>
          </w:tcPr>
          <w:p>
            <w:pPr>
              <w:spacing w:after="40"/>
              <w:jc w:val="right"/>
            </w:pPr>
            <w:r>
              <w:rPr>
                <w:rFonts w:ascii="Calibri" w:hAnsi="Calibri"/>
                <w:b w:val="0"/>
                <w:sz w:val="19"/>
              </w:rPr>
              <w:t>6</w:t>
            </w:r>
          </w:p>
        </w:tc>
        <w:tc>
          <w:tcPr>
            <w:tcW w:type="dxa" w:w="1310"/>
          </w:tcPr>
          <w:p>
            <w:pPr>
              <w:spacing w:after="40"/>
              <w:jc w:val="right"/>
            </w:pPr>
            <w:r>
              <w:rPr>
                <w:rFonts w:ascii="Calibri" w:hAnsi="Calibri"/>
                <w:b w:val="0"/>
                <w:sz w:val="19"/>
              </w:rPr>
              <w:t>5</w:t>
            </w:r>
          </w:p>
        </w:tc>
        <w:tc>
          <w:tcPr>
            <w:tcW w:type="dxa" w:w="1591"/>
          </w:tcPr>
          <w:p>
            <w:pPr>
              <w:spacing w:after="40"/>
              <w:jc w:val="right"/>
            </w:pPr>
            <w:r>
              <w:rPr>
                <w:rFonts w:ascii="Calibri" w:hAnsi="Calibri"/>
                <w:b w:val="0"/>
                <w:sz w:val="19"/>
              </w:rPr>
              <w:t>5</w:t>
            </w:r>
          </w:p>
        </w:tc>
        <w:tc>
          <w:tcPr>
            <w:tcW w:type="dxa" w:w="1591"/>
          </w:tcPr>
          <w:p>
            <w:pPr>
              <w:spacing w:after="40"/>
              <w:jc w:val="right"/>
            </w:pPr>
            <w:r>
              <w:rPr>
                <w:rFonts w:ascii="Calibri" w:hAnsi="Calibri"/>
                <w:b w:val="0"/>
                <w:sz w:val="19"/>
              </w:rPr>
              <w:t>0</w:t>
            </w:r>
          </w:p>
        </w:tc>
      </w:tr>
    </w:tbl>
    <w:p>
      <w:pPr>
        <w:spacing w:after="200"/>
      </w:pPr>
    </w:p>
    <w:p>
      <w:pPr>
        <w:spacing w:after="60"/>
        <w:jc w:val="center"/>
      </w:pPr>
      <w:r>
        <w:drawing>
          <wp:inline xmlns:a="http://schemas.openxmlformats.org/drawingml/2006/main" xmlns:pic="http://schemas.openxmlformats.org/drawingml/2006/picture">
            <wp:extent cx="5486400" cy="2072640"/>
            <wp:docPr id="1" name="Picture 1"/>
            <wp:cNvGraphicFramePr>
              <a:graphicFrameLocks noChangeAspect="1"/>
            </wp:cNvGraphicFramePr>
            <a:graphic>
              <a:graphicData uri="http://schemas.openxmlformats.org/drawingml/2006/picture">
                <pic:pic>
                  <pic:nvPicPr>
                    <pic:cNvPr id="0" name="error_rate_by_date.png"/>
                    <pic:cNvPicPr/>
                  </pic:nvPicPr>
                  <pic:blipFill>
                    <a:blip r:embed="rId9"/>
                    <a:stretch>
                      <a:fillRect/>
                    </a:stretch>
                  </pic:blipFill>
                  <pic:spPr>
                    <a:xfrm>
                      <a:off x="0" y="0"/>
                      <a:ext cx="5486400" cy="2072640"/>
                    </a:xfrm>
                    <a:prstGeom prst="rect"/>
                  </pic:spPr>
                </pic:pic>
              </a:graphicData>
            </a:graphic>
          </wp:inline>
        </w:drawing>
      </w:r>
    </w:p>
    <w:p>
      <w:pPr>
        <w:spacing w:after="240"/>
        <w:jc w:val="center"/>
      </w:pPr>
      <w:r>
        <w:rPr>
          <w:b w:val="0"/>
          <w:i/>
          <w:color w:val="5C6470"/>
          <w:sz w:val="17"/>
        </w:rPr>
        <w:t>Figure 1. Test error rate per measurement date (dates with at least three files). Errors are not spread evenly: two unfamiliar field-noise environments dominate.</w:t>
      </w:r>
    </w:p>
    <w:p>
      <w:pPr>
        <w:spacing w:after="120"/>
      </w:pPr>
      <w:r>
        <w:rPr>
          <w:b w:val="0"/>
          <w:i w:val="0"/>
          <w:color w:val="1A1A1A"/>
          <w:sz w:val="21"/>
        </w:rPr>
        <w:t>The other detectors fail on largely different files. Of the files PatchCore misclassifies, only 16 are also wrong for EfficientAD and 29 for the One-Class SVM. The failures are therefore specific to the method rather than a property of intrinsically difficult measurements.</w:t>
      </w:r>
    </w:p>
    <w:p>
      <w:pPr>
        <w:pStyle w:val="Heading1"/>
        <w:keepNext/>
        <w:spacing w:before="320" w:after="120"/>
      </w:pPr>
      <w:r>
        <w:rPr>
          <w:rFonts w:ascii="Calibri" w:hAnsi="Calibri"/>
          <w:b/>
          <w:color w:val="1B3F6B"/>
          <w:sz w:val="30"/>
        </w:rPr>
        <w:t>3. Failure modes</w:t>
      </w:r>
    </w:p>
    <w:p>
      <w:pPr>
        <w:pStyle w:val="Heading2"/>
        <w:keepNext/>
        <w:spacing w:before="240" w:after="120"/>
      </w:pPr>
      <w:r>
        <w:rPr>
          <w:rFonts w:ascii="Calibri" w:hAnsi="Calibri"/>
          <w:b/>
          <w:color w:val="1A1A1A"/>
          <w:sz w:val="24"/>
        </w:rPr>
        <w:t>3.1 Over-sensitivity: noise classified as PD (43 files)</w:t>
      </w:r>
    </w:p>
    <w:p>
      <w:pPr>
        <w:pStyle w:val="ListBullet"/>
        <w:spacing w:after="80" w:line="276" w:lineRule="auto"/>
      </w:pPr>
      <w:r>
        <w:rPr>
          <w:rFonts w:ascii="Calibri" w:hAnsi="Calibri"/>
          <w:b w:val="0"/>
          <w:color w:val="1A1A1A"/>
          <w:sz w:val="21"/>
        </w:rPr>
        <w:t>32 of these come from the two unseen field-noise dates listed above.</w:t>
      </w:r>
    </w:p>
    <w:p>
      <w:pPr>
        <w:pStyle w:val="ListBullet"/>
        <w:spacing w:after="80" w:line="276" w:lineRule="auto"/>
      </w:pPr>
      <w:r>
        <w:rPr>
          <w:rFonts w:ascii="Calibri" w:hAnsi="Calibri"/>
          <w:b w:val="0"/>
          <w:color w:val="1A1A1A"/>
          <w:sz w:val="21"/>
        </w:rPr>
        <w:t>21 of the 43 sit in a feature-space neighbourhood that is majority PD, so they are genuinely PD-like rather than merely borderline.</w:t>
      </w:r>
    </w:p>
    <w:p>
      <w:pPr>
        <w:pStyle w:val="ListBullet"/>
        <w:spacing w:after="80" w:line="276" w:lineRule="auto"/>
      </w:pPr>
      <w:r>
        <w:rPr>
          <w:rFonts w:ascii="Calibri" w:hAnsi="Calibri"/>
          <w:b w:val="0"/>
          <w:color w:val="1A1A1A"/>
          <w:sz w:val="21"/>
        </w:rPr>
        <w:t>Median pulse count 4,334, against 18,747 for correctly classified noise.</w:t>
      </w:r>
    </w:p>
    <w:p>
      <w:pPr>
        <w:pStyle w:val="Heading2"/>
        <w:keepNext/>
        <w:spacing w:before="240" w:after="120"/>
      </w:pPr>
      <w:r>
        <w:rPr>
          <w:rFonts w:ascii="Calibri" w:hAnsi="Calibri"/>
          <w:b/>
          <w:color w:val="1A1A1A"/>
          <w:sz w:val="24"/>
        </w:rPr>
        <w:t>3.2 Under-sensitivity: PD classified as noise (18 files)</w:t>
      </w:r>
    </w:p>
    <w:p>
      <w:pPr>
        <w:pStyle w:val="ListBullet"/>
        <w:spacing w:after="80" w:line="276" w:lineRule="auto"/>
      </w:pPr>
      <w:r>
        <w:rPr>
          <w:rFonts w:ascii="Calibri" w:hAnsi="Calibri"/>
          <w:b w:val="0"/>
          <w:color w:val="1A1A1A"/>
          <w:sz w:val="21"/>
        </w:rPr>
        <w:t>Median pulse count 3,787, against 34,086 for correctly detected PD — a factor of nine.</w:t>
      </w:r>
    </w:p>
    <w:p>
      <w:pPr>
        <w:pStyle w:val="ListBullet"/>
        <w:spacing w:after="80" w:line="276" w:lineRule="auto"/>
      </w:pPr>
      <w:r>
        <w:rPr>
          <w:rFonts w:ascii="Calibri" w:hAnsi="Calibri"/>
          <w:b w:val="0"/>
          <w:color w:val="1A1A1A"/>
          <w:sz w:val="21"/>
        </w:rPr>
        <w:t>By fault type at the F1-optimal threshold: Corona 6 of 6 missed, Void 23 of 51 missed, Floating 15 of 17 correctly detected.</w:t>
      </w:r>
    </w:p>
    <w:p>
      <w:pPr>
        <w:pStyle w:val="ListBullet"/>
        <w:spacing w:after="80" w:line="276" w:lineRule="auto"/>
      </w:pPr>
      <w:r>
        <w:rPr>
          <w:rFonts w:ascii="Calibri" w:hAnsi="Calibri"/>
          <w:b w:val="0"/>
          <w:color w:val="1A1A1A"/>
          <w:sz w:val="21"/>
        </w:rPr>
        <w:t>Every missed PD file contains at least one window scoring on the PD side — but so do noise files, which is why increasing window sensitivity does not help (Section 5.1).</w:t>
      </w:r>
    </w:p>
    <w:p>
      <w:pPr>
        <w:pStyle w:val="Heading2"/>
        <w:keepNext/>
        <w:spacing w:before="240" w:after="120"/>
      </w:pPr>
      <w:r>
        <w:rPr>
          <w:rFonts w:ascii="Calibri" w:hAnsi="Calibri"/>
          <w:b/>
          <w:color w:val="1A1A1A"/>
          <w:sz w:val="24"/>
        </w:rPr>
        <w:t>3.3 Relationship to the decision threshold</w:t>
      </w:r>
    </w:p>
    <w:p>
      <w:pPr>
        <w:spacing w:after="60"/>
        <w:jc w:val="center"/>
      </w:pPr>
      <w:r>
        <w:drawing>
          <wp:inline xmlns:a="http://schemas.openxmlformats.org/drawingml/2006/main" xmlns:pic="http://schemas.openxmlformats.org/drawingml/2006/picture">
            <wp:extent cx="5120640" cy="2633472"/>
            <wp:docPr id="2" name="Picture 2"/>
            <wp:cNvGraphicFramePr>
              <a:graphicFrameLocks noChangeAspect="1"/>
            </wp:cNvGraphicFramePr>
            <a:graphic>
              <a:graphicData uri="http://schemas.openxmlformats.org/drawingml/2006/picture">
                <pic:pic>
                  <pic:nvPicPr>
                    <pic:cNvPr id="0" name="margin_hist.png"/>
                    <pic:cNvPicPr/>
                  </pic:nvPicPr>
                  <pic:blipFill>
                    <a:blip r:embed="rId10"/>
                    <a:stretch>
                      <a:fillRect/>
                    </a:stretch>
                  </pic:blipFill>
                  <pic:spPr>
                    <a:xfrm>
                      <a:off x="0" y="0"/>
                      <a:ext cx="5120640" cy="2633472"/>
                    </a:xfrm>
                    <a:prstGeom prst="rect"/>
                  </pic:spPr>
                </pic:pic>
              </a:graphicData>
            </a:graphic>
          </wp:inline>
        </w:drawing>
      </w:r>
    </w:p>
    <w:p>
      <w:pPr>
        <w:spacing w:after="240"/>
        <w:jc w:val="center"/>
      </w:pPr>
      <w:r>
        <w:rPr>
          <w:b w:val="0"/>
          <w:i/>
          <w:color w:val="5C6470"/>
          <w:sz w:val="17"/>
        </w:rPr>
        <w:t>Figure 2. Distance from the decision threshold. Errors cluster at the threshold while correctly classified files sit further away. Median absolute margin: 0.035 for errors against 0.131 for correct files.</w:t>
      </w:r>
    </w:p>
    <w:p>
      <w:pPr>
        <w:spacing w:after="120"/>
      </w:pPr>
      <w:r>
        <w:rPr>
          <w:b w:val="0"/>
          <w:i w:val="0"/>
          <w:color w:val="1A1A1A"/>
          <w:sz w:val="21"/>
        </w:rPr>
        <w:t>The half of the test files closest to the threshold carries a 40% error rate; the far half carries 13%.</w:t>
      </w:r>
    </w:p>
    <w:p>
      <w:r>
        <w:br w:type="page"/>
      </w:r>
    </w:p>
    <w:p>
      <w:pPr>
        <w:pStyle w:val="Heading1"/>
        <w:keepNext/>
        <w:spacing w:before="320" w:after="120"/>
      </w:pPr>
      <w:r>
        <w:rPr>
          <w:rFonts w:ascii="Calibri" w:hAnsi="Calibri"/>
          <w:b/>
          <w:color w:val="1B3F6B"/>
          <w:sz w:val="30"/>
        </w:rPr>
        <w:t>4. Visual analysis of the raw 2D patterns</w:t>
      </w:r>
    </w:p>
    <w:p>
      <w:pPr>
        <w:spacing w:after="120"/>
      </w:pPr>
      <w:r>
        <w:rPr>
          <w:b w:val="0"/>
          <w:i w:val="0"/>
          <w:color w:val="1A1A1A"/>
          <w:sz w:val="21"/>
        </w:rPr>
        <w:t>Each case figure shows three views of one misclassified measurement: the φ-q-n PRPD pattern (phase against amplitude, colour = pulse count — the conventional representation in the partial-discharge literature), the phase-resolved pulse sequence actually consumed by the model (128 phase bins × 3,600 cycles), and the 28 per-window scores that are averaged into the file decision.</w:t>
      </w:r>
    </w:p>
    <w:p>
      <w:pPr>
        <w:spacing w:after="60"/>
        <w:jc w:val="center"/>
      </w:pPr>
      <w:r>
        <w:drawing>
          <wp:inline xmlns:a="http://schemas.openxmlformats.org/drawingml/2006/main" xmlns:pic="http://schemas.openxmlformats.org/drawingml/2006/picture">
            <wp:extent cx="5394960" cy="1393698"/>
            <wp:docPr id="3" name="Picture 3"/>
            <wp:cNvGraphicFramePr>
              <a:graphicFrameLocks noChangeAspect="1"/>
            </wp:cNvGraphicFramePr>
            <a:graphic>
              <a:graphicData uri="http://schemas.openxmlformats.org/drawingml/2006/picture">
                <pic:pic>
                  <pic:nvPicPr>
                    <pic:cNvPr id="0" name="missed_PD_96bb9b1481031827.png"/>
                    <pic:cNvPicPr/>
                  </pic:nvPicPr>
                  <pic:blipFill>
                    <a:blip r:embed="rId11"/>
                    <a:stretch>
                      <a:fillRect/>
                    </a:stretch>
                  </pic:blipFill>
                  <pic:spPr>
                    <a:xfrm>
                      <a:off x="0" y="0"/>
                      <a:ext cx="5394960" cy="1393698"/>
                    </a:xfrm>
                    <a:prstGeom prst="rect"/>
                  </pic:spPr>
                </pic:pic>
              </a:graphicData>
            </a:graphic>
          </wp:inline>
        </w:drawing>
      </w:r>
    </w:p>
    <w:p>
      <w:pPr>
        <w:spacing w:after="240"/>
        <w:jc w:val="center"/>
      </w:pPr>
      <w:r>
        <w:rPr>
          <w:b w:val="0"/>
          <w:i/>
          <w:color w:val="5C6470"/>
          <w:sz w:val="17"/>
        </w:rPr>
        <w:t>Figure 3. Missed PD — Field Corona, 20231023. Discharge activity is sparse, most windows carry little structure, and the averaged score falls on the noise side of the threshold. This file is misclassified under all three seeds.</w:t>
      </w:r>
    </w:p>
    <w:p>
      <w:pPr>
        <w:spacing w:after="60"/>
        <w:jc w:val="center"/>
      </w:pPr>
      <w:r>
        <w:drawing>
          <wp:inline xmlns:a="http://schemas.openxmlformats.org/drawingml/2006/main" xmlns:pic="http://schemas.openxmlformats.org/drawingml/2006/picture">
            <wp:extent cx="5394960" cy="1393698"/>
            <wp:docPr id="4" name="Picture 4"/>
            <wp:cNvGraphicFramePr>
              <a:graphicFrameLocks noChangeAspect="1"/>
            </wp:cNvGraphicFramePr>
            <a:graphic>
              <a:graphicData uri="http://schemas.openxmlformats.org/drawingml/2006/picture">
                <pic:pic>
                  <pic:nvPicPr>
                    <pic:cNvPr id="0" name="false_alarm_2c1f324981b5fc3e.png"/>
                    <pic:cNvPicPr/>
                  </pic:nvPicPr>
                  <pic:blipFill>
                    <a:blip r:embed="rId12"/>
                    <a:stretch>
                      <a:fillRect/>
                    </a:stretch>
                  </pic:blipFill>
                  <pic:spPr>
                    <a:xfrm>
                      <a:off x="0" y="0"/>
                      <a:ext cx="5394960" cy="1393698"/>
                    </a:xfrm>
                    <a:prstGeom prst="rect"/>
                  </pic:spPr>
                </pic:pic>
              </a:graphicData>
            </a:graphic>
          </wp:inline>
        </w:drawing>
      </w:r>
    </w:p>
    <w:p>
      <w:pPr>
        <w:spacing w:after="240"/>
        <w:jc w:val="center"/>
      </w:pPr>
      <w:r>
        <w:rPr>
          <w:b w:val="0"/>
          <w:i/>
          <w:color w:val="5C6470"/>
          <w:sz w:val="17"/>
        </w:rPr>
        <w:t>Figure 4. False alarm — Field Noise, 20250213. A structured, phase-correlated interference pattern that resembles discharge activity in feature space, from a noise environment absent from the training data.</w:t>
      </w:r>
    </w:p>
    <w:p>
      <w:pPr>
        <w:spacing w:after="60"/>
        <w:jc w:val="center"/>
      </w:pPr>
      <w:r>
        <w:drawing>
          <wp:inline xmlns:a="http://schemas.openxmlformats.org/drawingml/2006/main" xmlns:pic="http://schemas.openxmlformats.org/drawingml/2006/picture">
            <wp:extent cx="3749039" cy="3099206"/>
            <wp:docPr id="5" name="Picture 5"/>
            <wp:cNvGraphicFramePr>
              <a:graphicFrameLocks noChangeAspect="1"/>
            </wp:cNvGraphicFramePr>
            <a:graphic>
              <a:graphicData uri="http://schemas.openxmlformats.org/drawingml/2006/picture">
                <pic:pic>
                  <pic:nvPicPr>
                    <pic:cNvPr id="0" name="tsne_errors.png"/>
                    <pic:cNvPicPr/>
                  </pic:nvPicPr>
                  <pic:blipFill>
                    <a:blip r:embed="rId13"/>
                    <a:stretch>
                      <a:fillRect/>
                    </a:stretch>
                  </pic:blipFill>
                  <pic:spPr>
                    <a:xfrm>
                      <a:off x="0" y="0"/>
                      <a:ext cx="3749039" cy="3099206"/>
                    </a:xfrm>
                    <a:prstGeom prst="rect"/>
                  </pic:spPr>
                </pic:pic>
              </a:graphicData>
            </a:graphic>
          </wp:inline>
        </w:drawing>
      </w:r>
    </w:p>
    <w:p>
      <w:pPr>
        <w:spacing w:after="240"/>
        <w:jc w:val="center"/>
      </w:pPr>
      <w:r>
        <w:rPr>
          <w:b w:val="0"/>
          <w:i/>
          <w:color w:val="5C6470"/>
          <w:sz w:val="17"/>
        </w:rPr>
        <w:t>Figure 5. t-SNE projection of the 256-dimensional feature for all measurements. Blue = PD, beige = Noise (training and validation); red = missed PD, orange = false alarms. The errors do not form one cluster: they lie along the boundary regions between the classes.</w:t>
      </w:r>
    </w:p>
    <w:p>
      <w:pPr>
        <w:pStyle w:val="Heading1"/>
        <w:keepNext/>
        <w:spacing w:before="320" w:after="120"/>
      </w:pPr>
      <w:r>
        <w:rPr>
          <w:rFonts w:ascii="Calibri" w:hAnsi="Calibri"/>
          <w:b/>
          <w:color w:val="1B3F6B"/>
          <w:sz w:val="30"/>
        </w:rPr>
        <w:t>5. Root cause</w:t>
      </w:r>
    </w:p>
    <w:p>
      <w:pPr>
        <w:spacing w:after="120"/>
      </w:pPr>
      <w:r>
        <w:rPr>
          <w:b w:val="0"/>
          <w:i w:val="0"/>
          <w:color w:val="1A1A1A"/>
          <w:sz w:val="21"/>
        </w:rPr>
        <w:t>PatchCore performs no training in the conventional sense: a frozen ImageNet backbone extracts patch features, a greedy coreset retains 1% of them, and classification is a nearest-neighbour distance comparison. Two memory banks are built, one from PD and one from Noise, and the file score is the difference between the two distances. Four candidate causes were tested.</w:t>
      </w:r>
    </w:p>
    <w:p>
      <w:pPr>
        <w:pStyle w:val="Heading2"/>
        <w:keepNext/>
        <w:spacing w:before="240" w:after="120"/>
      </w:pPr>
      <w:r>
        <w:rPr>
          <w:rFonts w:ascii="Calibri" w:hAnsi="Calibri"/>
          <w:b/>
          <w:color w:val="1A1A1A"/>
          <w:sz w:val="24"/>
        </w:rPr>
        <w:t>5.1 Rejected: window aggregation</w:t>
      </w:r>
    </w:p>
    <w:p>
      <w:pPr>
        <w:spacing w:after="120"/>
      </w:pPr>
      <w:r>
        <w:rPr>
          <w:b w:val="0"/>
          <w:i w:val="0"/>
          <w:color w:val="1A1A1A"/>
          <w:sz w:val="21"/>
        </w:rPr>
        <w:t>The hypothesis that averaging 28 windows dilutes bursty discharge was tested by replacing the mean with the minimum, the maximum, the 90th percentile, and rules of the form “PD if at least k of 28 windows look PD-like”. Every alternative is worse on validation (mean 0.959 AUROC; minimum 0.916; “at least three windows” 0.752, with 124 false alarms). Noise files also contain PD-like windows, so raising window sensitivity is counter-productive.</w:t>
      </w:r>
    </w:p>
    <w:p>
      <w:pPr>
        <w:pStyle w:val="Heading2"/>
        <w:keepNext/>
        <w:spacing w:before="240" w:after="120"/>
      </w:pPr>
      <w:r>
        <w:rPr>
          <w:rFonts w:ascii="Calibri" w:hAnsi="Calibri"/>
          <w:b/>
          <w:color w:val="1A1A1A"/>
          <w:sz w:val="24"/>
        </w:rPr>
        <w:t>5.2 Rejected: coreset compression</w:t>
      </w:r>
    </w:p>
    <w:p>
      <w:pPr>
        <w:spacing w:after="120"/>
      </w:pPr>
      <w:r>
        <w:rPr>
          <w:b w:val="0"/>
          <w:i w:val="0"/>
          <w:color w:val="1A1A1A"/>
          <w:sz w:val="21"/>
        </w:rPr>
        <w:t>The possibility that subsampling discards rare but legitimate variation was tested across compression ratios: 0.1% gives 0.748 validation AUROC, 1% gives 0.954, and 5% gives 0.957. Performance saturates, so memory-bank capacity is not the limiting factor.</w:t>
      </w:r>
    </w:p>
    <w:p>
      <w:pPr>
        <w:pStyle w:val="Heading2"/>
        <w:keepNext/>
        <w:spacing w:before="240" w:after="120"/>
      </w:pPr>
      <w:r>
        <w:rPr>
          <w:rFonts w:ascii="Calibri" w:hAnsi="Calibri"/>
          <w:b/>
          <w:color w:val="1A1A1A"/>
          <w:sz w:val="24"/>
        </w:rPr>
        <w:t>5.3 Confirmed: the PD bank is dominated by laboratory data</w:t>
      </w:r>
    </w:p>
    <w:p>
      <w:pPr>
        <w:spacing w:after="120"/>
      </w:pPr>
      <w:r>
        <w:rPr>
          <w:b w:val="0"/>
          <w:i w:val="0"/>
          <w:color w:val="1A1A1A"/>
          <w:sz w:val="21"/>
        </w:rPr>
        <w:t>The memory banks were rebuilt so that each bank entry records the training window it came from, which allows every decision to be traced back to the specific training data it matched.</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434"/>
            <w:shd w:val="clear" w:color="auto" w:fill="E8EEF6"/>
          </w:tcPr>
          <w:p>
            <w:pPr>
              <w:spacing w:after="40"/>
            </w:pPr>
            <w:r>
              <w:rPr>
                <w:rFonts w:ascii="Calibri" w:hAnsi="Calibri"/>
                <w:b/>
                <w:sz w:val="19"/>
              </w:rPr>
              <w:t>PD files</w:t>
            </w:r>
          </w:p>
        </w:tc>
        <w:tc>
          <w:tcPr>
            <w:tcW w:type="dxa" w:w="936"/>
            <w:shd w:val="clear" w:color="auto" w:fill="E8EEF6"/>
          </w:tcPr>
          <w:p>
            <w:pPr>
              <w:spacing w:after="40"/>
              <w:jc w:val="right"/>
            </w:pPr>
            <w:r>
              <w:rPr>
                <w:rFonts w:ascii="Calibri" w:hAnsi="Calibri"/>
                <w:b/>
                <w:sz w:val="19"/>
              </w:rPr>
              <w:t>Files</w:t>
            </w:r>
          </w:p>
        </w:tc>
        <w:tc>
          <w:tcPr>
            <w:tcW w:type="dxa" w:w="2059"/>
            <w:shd w:val="clear" w:color="auto" w:fill="E8EEF6"/>
          </w:tcPr>
          <w:p>
            <w:pPr>
              <w:spacing w:after="40"/>
              <w:jc w:val="right"/>
            </w:pPr>
            <w:r>
              <w:rPr>
                <w:rFonts w:ascii="Calibri" w:hAnsi="Calibri"/>
                <w:b/>
                <w:sz w:val="19"/>
              </w:rPr>
              <w:t>Laboratory share of matches</w:t>
            </w:r>
          </w:p>
        </w:tc>
        <w:tc>
          <w:tcPr>
            <w:tcW w:type="dxa" w:w="1498"/>
            <w:shd w:val="clear" w:color="auto" w:fill="E8EEF6"/>
          </w:tcPr>
          <w:p>
            <w:pPr>
              <w:spacing w:after="40"/>
              <w:jc w:val="right"/>
            </w:pPr>
            <w:r>
              <w:rPr>
                <w:rFonts w:ascii="Calibri" w:hAnsi="Calibri"/>
                <w:b/>
                <w:sz w:val="19"/>
              </w:rPr>
              <w:t>Distance to PD bank</w:t>
            </w:r>
          </w:p>
        </w:tc>
        <w:tc>
          <w:tcPr>
            <w:tcW w:type="dxa" w:w="1498"/>
            <w:shd w:val="clear" w:color="auto" w:fill="E8EEF6"/>
          </w:tcPr>
          <w:p>
            <w:pPr>
              <w:spacing w:after="40"/>
              <w:jc w:val="right"/>
            </w:pPr>
            <w:r>
              <w:rPr>
                <w:rFonts w:ascii="Calibri" w:hAnsi="Calibri"/>
                <w:b/>
                <w:sz w:val="19"/>
              </w:rPr>
              <w:t>Distance to Noise bank</w:t>
            </w:r>
          </w:p>
        </w:tc>
        <w:tc>
          <w:tcPr>
            <w:tcW w:type="dxa" w:w="936"/>
            <w:shd w:val="clear" w:color="auto" w:fill="E8EEF6"/>
          </w:tcPr>
          <w:p>
            <w:pPr>
              <w:spacing w:after="40"/>
              <w:jc w:val="right"/>
            </w:pPr>
            <w:r>
              <w:rPr>
                <w:rFonts w:ascii="Calibri" w:hAnsi="Calibri"/>
                <w:b/>
                <w:sz w:val="19"/>
              </w:rPr>
              <w:t>Gap</w:t>
            </w:r>
          </w:p>
        </w:tc>
      </w:tr>
      <w:tr>
        <w:tc>
          <w:tcPr>
            <w:tcW w:type="dxa" w:w="2434"/>
          </w:tcPr>
          <w:p>
            <w:pPr>
              <w:spacing w:after="40"/>
            </w:pPr>
            <w:r>
              <w:rPr>
                <w:rFonts w:ascii="Calibri" w:hAnsi="Calibri"/>
                <w:b w:val="0"/>
                <w:sz w:val="19"/>
              </w:rPr>
              <w:t>Correctly detected</w:t>
            </w:r>
          </w:p>
        </w:tc>
        <w:tc>
          <w:tcPr>
            <w:tcW w:type="dxa" w:w="936"/>
          </w:tcPr>
          <w:p>
            <w:pPr>
              <w:spacing w:after="40"/>
              <w:jc w:val="right"/>
            </w:pPr>
            <w:r>
              <w:rPr>
                <w:rFonts w:ascii="Calibri" w:hAnsi="Calibri"/>
                <w:b w:val="0"/>
                <w:sz w:val="19"/>
              </w:rPr>
              <w:t>57</w:t>
            </w:r>
          </w:p>
        </w:tc>
        <w:tc>
          <w:tcPr>
            <w:tcW w:type="dxa" w:w="2059"/>
          </w:tcPr>
          <w:p>
            <w:pPr>
              <w:spacing w:after="40"/>
              <w:jc w:val="right"/>
            </w:pPr>
            <w:r>
              <w:rPr>
                <w:rFonts w:ascii="Calibri" w:hAnsi="Calibri"/>
                <w:b w:val="0"/>
                <w:sz w:val="19"/>
              </w:rPr>
              <w:t>0.2</w:t>
            </w:r>
          </w:p>
        </w:tc>
        <w:tc>
          <w:tcPr>
            <w:tcW w:type="dxa" w:w="1498"/>
          </w:tcPr>
          <w:p>
            <w:pPr>
              <w:spacing w:after="40"/>
              <w:jc w:val="right"/>
            </w:pPr>
            <w:r>
              <w:rPr>
                <w:rFonts w:ascii="Calibri" w:hAnsi="Calibri"/>
                <w:b w:val="0"/>
                <w:sz w:val="19"/>
              </w:rPr>
              <w:t>1.787</w:t>
            </w:r>
          </w:p>
        </w:tc>
        <w:tc>
          <w:tcPr>
            <w:tcW w:type="dxa" w:w="1498"/>
          </w:tcPr>
          <w:p>
            <w:pPr>
              <w:spacing w:after="40"/>
              <w:jc w:val="right"/>
            </w:pPr>
            <w:r>
              <w:rPr>
                <w:rFonts w:ascii="Calibri" w:hAnsi="Calibri"/>
                <w:b w:val="0"/>
                <w:sz w:val="19"/>
              </w:rPr>
              <w:t>2.828</w:t>
            </w:r>
          </w:p>
        </w:tc>
        <w:tc>
          <w:tcPr>
            <w:tcW w:type="dxa" w:w="936"/>
          </w:tcPr>
          <w:p>
            <w:pPr>
              <w:spacing w:after="40"/>
              <w:jc w:val="right"/>
            </w:pPr>
            <w:r>
              <w:rPr>
                <w:rFonts w:ascii="Calibri" w:hAnsi="Calibri"/>
                <w:b/>
                <w:sz w:val="19"/>
              </w:rPr>
              <w:t>0.925</w:t>
            </w:r>
          </w:p>
        </w:tc>
      </w:tr>
      <w:tr>
        <w:tc>
          <w:tcPr>
            <w:tcW w:type="dxa" w:w="2434"/>
          </w:tcPr>
          <w:p>
            <w:pPr>
              <w:spacing w:after="40"/>
            </w:pPr>
            <w:r>
              <w:rPr>
                <w:rFonts w:ascii="Calibri" w:hAnsi="Calibri"/>
                <w:b w:val="0"/>
                <w:sz w:val="19"/>
              </w:rPr>
              <w:t>Missed</w:t>
            </w:r>
          </w:p>
        </w:tc>
        <w:tc>
          <w:tcPr>
            <w:tcW w:type="dxa" w:w="936"/>
          </w:tcPr>
          <w:p>
            <w:pPr>
              <w:spacing w:after="40"/>
              <w:jc w:val="right"/>
            </w:pPr>
            <w:r>
              <w:rPr>
                <w:rFonts w:ascii="Calibri" w:hAnsi="Calibri"/>
                <w:b w:val="0"/>
                <w:sz w:val="19"/>
              </w:rPr>
              <w:t>18</w:t>
            </w:r>
          </w:p>
        </w:tc>
        <w:tc>
          <w:tcPr>
            <w:tcW w:type="dxa" w:w="2059"/>
          </w:tcPr>
          <w:p>
            <w:pPr>
              <w:spacing w:after="40"/>
              <w:jc w:val="right"/>
            </w:pPr>
            <w:r>
              <w:rPr>
                <w:rFonts w:ascii="Calibri" w:hAnsi="Calibri"/>
                <w:b/>
                <w:sz w:val="19"/>
              </w:rPr>
              <w:t>0.8</w:t>
            </w:r>
          </w:p>
        </w:tc>
        <w:tc>
          <w:tcPr>
            <w:tcW w:type="dxa" w:w="1498"/>
          </w:tcPr>
          <w:p>
            <w:pPr>
              <w:spacing w:after="40"/>
              <w:jc w:val="right"/>
            </w:pPr>
            <w:r>
              <w:rPr>
                <w:rFonts w:ascii="Calibri" w:hAnsi="Calibri"/>
                <w:b w:val="0"/>
                <w:sz w:val="19"/>
              </w:rPr>
              <w:t>1.628</w:t>
            </w:r>
          </w:p>
        </w:tc>
        <w:tc>
          <w:tcPr>
            <w:tcW w:type="dxa" w:w="1498"/>
          </w:tcPr>
          <w:p>
            <w:pPr>
              <w:spacing w:after="40"/>
              <w:jc w:val="right"/>
            </w:pPr>
            <w:r>
              <w:rPr>
                <w:rFonts w:ascii="Calibri" w:hAnsi="Calibri"/>
                <w:b w:val="0"/>
                <w:sz w:val="19"/>
              </w:rPr>
              <w:t>1.733</w:t>
            </w:r>
          </w:p>
        </w:tc>
        <w:tc>
          <w:tcPr>
            <w:tcW w:type="dxa" w:w="936"/>
          </w:tcPr>
          <w:p>
            <w:pPr>
              <w:spacing w:after="40"/>
              <w:jc w:val="right"/>
            </w:pPr>
            <w:r>
              <w:rPr>
                <w:rFonts w:ascii="Calibri" w:hAnsi="Calibri"/>
                <w:b/>
                <w:sz w:val="19"/>
              </w:rPr>
              <w:t>0.152</w:t>
            </w:r>
          </w:p>
        </w:tc>
      </w:tr>
    </w:tbl>
    <w:p>
      <w:pPr>
        <w:spacing w:after="200"/>
      </w:pPr>
    </w:p>
    <w:p>
      <w:pPr>
        <w:spacing w:after="120"/>
      </w:pPr>
      <w:r>
        <w:rPr>
          <w:b w:val="0"/>
          <w:i w:val="0"/>
          <w:color w:val="1A1A1A"/>
          <w:sz w:val="21"/>
        </w:rPr>
        <w:t>Missed PD files predominantly match laboratory training windows, whereas correctly detected PD files match field windows (mean 0.70 against 0.31, p = 6×10⁻⁵). The PD bank holds 1,435 laboratory files against only 348 field files, which makes it a poor reference for field measurements.</w:t>
      </w:r>
    </w:p>
    <w:p>
      <w:pPr>
        <w:pStyle w:val="Heading2"/>
        <w:keepNext/>
        <w:spacing w:before="240" w:after="120"/>
      </w:pPr>
      <w:r>
        <w:rPr>
          <w:rFonts w:ascii="Calibri" w:hAnsi="Calibri"/>
          <w:b/>
          <w:color w:val="1A1A1A"/>
          <w:sz w:val="24"/>
        </w:rPr>
        <w:t>5.4 The underlying mechanism: bank ambiguity on quiet measurements</w:t>
      </w:r>
    </w:p>
    <w:p>
      <w:pPr>
        <w:spacing w:after="120"/>
      </w:pPr>
      <w:r>
        <w:rPr>
          <w:b w:val="0"/>
          <w:i w:val="0"/>
          <w:color w:val="1A1A1A"/>
          <w:sz w:val="21"/>
        </w:rPr>
        <w:t>The same table refutes the intuitive explanation. Missed PD files are not far from the PD bank — they are in fact slightly closer to it than correctly detected files (1.628 against 1.787). What collapses is the difference between the two banks: the gap falls from 0.925 to 0.152 (p = 1×10⁻⁶), and false alarms show the mirror image with a slightly negative gap.</w:t>
      </w:r>
    </w:p>
    <w:p>
      <w:pPr>
        <w:spacing w:after="120"/>
      </w:pPr>
      <w:r>
        <w:rPr>
          <w:b w:val="0"/>
          <w:i w:val="0"/>
          <w:color w:val="1A1A1A"/>
          <w:sz w:val="21"/>
        </w:rPr>
        <w:t xml:space="preserve">Quiet measurements produce near-empty windows, and near-empty windows are well represented in both memory banks. </w:t>
      </w:r>
      <w:r>
        <w:rPr>
          <w:b/>
          <w:i w:val="0"/>
          <w:color w:val="1A1A1A"/>
          <w:sz w:val="21"/>
        </w:rPr>
        <w:t>Both distances shrink, their difference collapses toward zero, the file lands at the decision threshold, and the seed or the threshold determines the outcome.</w:t>
      </w:r>
    </w:p>
    <w:p>
      <w:pPr>
        <w:spacing w:after="120"/>
      </w:pPr>
      <w:r>
        <w:rPr>
          <w:b w:val="0"/>
          <w:i w:val="0"/>
          <w:color w:val="1A1A1A"/>
          <w:sz w:val="21"/>
        </w:rPr>
        <w:t>This single mechanism accounts for the other observations: errors are quiet (Section 3), lie at the threshold (Figure 2), are unstable across seeds (Section 1), and differ between methods (Section 2).</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493"/>
            <w:shd w:val="clear" w:color="auto" w:fill="E8EEF6"/>
          </w:tcPr>
          <w:p>
            <w:pPr>
              <w:spacing w:after="40"/>
            </w:pPr>
            <w:r>
              <w:rPr>
                <w:rFonts w:ascii="Calibri" w:hAnsi="Calibri"/>
                <w:b/>
                <w:sz w:val="19"/>
              </w:rPr>
              <w:t>Measure</w:t>
            </w:r>
          </w:p>
        </w:tc>
        <w:tc>
          <w:tcPr>
            <w:tcW w:type="dxa" w:w="2434"/>
            <w:shd w:val="clear" w:color="auto" w:fill="E8EEF6"/>
          </w:tcPr>
          <w:p>
            <w:pPr>
              <w:spacing w:after="40"/>
              <w:jc w:val="right"/>
            </w:pPr>
            <w:r>
              <w:rPr>
                <w:rFonts w:ascii="Calibri" w:hAnsi="Calibri"/>
                <w:b/>
                <w:sz w:val="19"/>
              </w:rPr>
              <w:t>Correct PD</w:t>
            </w:r>
          </w:p>
        </w:tc>
        <w:tc>
          <w:tcPr>
            <w:tcW w:type="dxa" w:w="2434"/>
            <w:shd w:val="clear" w:color="auto" w:fill="E8EEF6"/>
          </w:tcPr>
          <w:p>
            <w:pPr>
              <w:spacing w:after="40"/>
              <w:jc w:val="right"/>
            </w:pPr>
            <w:r>
              <w:rPr>
                <w:rFonts w:ascii="Calibri" w:hAnsi="Calibri"/>
                <w:b/>
                <w:sz w:val="19"/>
              </w:rPr>
              <w:t>Missed PD</w:t>
            </w:r>
          </w:p>
        </w:tc>
      </w:tr>
      <w:tr>
        <w:tc>
          <w:tcPr>
            <w:tcW w:type="dxa" w:w="4493"/>
          </w:tcPr>
          <w:p>
            <w:pPr>
              <w:spacing w:after="40"/>
            </w:pPr>
            <w:r>
              <w:rPr>
                <w:rFonts w:ascii="Calibri" w:hAnsi="Calibri"/>
                <w:b w:val="0"/>
                <w:sz w:val="19"/>
              </w:rPr>
              <w:t>Median pulse count</w:t>
            </w:r>
          </w:p>
        </w:tc>
        <w:tc>
          <w:tcPr>
            <w:tcW w:type="dxa" w:w="2434"/>
          </w:tcPr>
          <w:p>
            <w:pPr>
              <w:spacing w:after="40"/>
              <w:jc w:val="right"/>
            </w:pPr>
            <w:r>
              <w:rPr>
                <w:rFonts w:ascii="Calibri" w:hAnsi="Calibri"/>
                <w:b w:val="0"/>
                <w:sz w:val="19"/>
              </w:rPr>
              <w:t>34,086</w:t>
            </w:r>
          </w:p>
        </w:tc>
        <w:tc>
          <w:tcPr>
            <w:tcW w:type="dxa" w:w="2434"/>
          </w:tcPr>
          <w:p>
            <w:pPr>
              <w:spacing w:after="40"/>
              <w:jc w:val="right"/>
            </w:pPr>
            <w:r>
              <w:rPr>
                <w:rFonts w:ascii="Calibri" w:hAnsi="Calibri"/>
                <w:b w:val="0"/>
                <w:sz w:val="19"/>
              </w:rPr>
              <w:t>3,787</w:t>
            </w:r>
          </w:p>
        </w:tc>
      </w:tr>
      <w:tr>
        <w:tc>
          <w:tcPr>
            <w:tcW w:type="dxa" w:w="4493"/>
          </w:tcPr>
          <w:p>
            <w:pPr>
              <w:spacing w:after="40"/>
            </w:pPr>
            <w:r>
              <w:rPr>
                <w:rFonts w:ascii="Calibri" w:hAnsi="Calibri"/>
                <w:b w:val="0"/>
                <w:sz w:val="19"/>
              </w:rPr>
              <w:t>Median distance to threshold</w:t>
            </w:r>
          </w:p>
        </w:tc>
        <w:tc>
          <w:tcPr>
            <w:tcW w:type="dxa" w:w="2434"/>
          </w:tcPr>
          <w:p>
            <w:pPr>
              <w:spacing w:after="40"/>
              <w:jc w:val="right"/>
            </w:pPr>
            <w:r>
              <w:rPr>
                <w:rFonts w:ascii="Calibri" w:hAnsi="Calibri"/>
                <w:b w:val="0"/>
                <w:sz w:val="19"/>
              </w:rPr>
              <w:t>0.131</w:t>
            </w:r>
          </w:p>
        </w:tc>
        <w:tc>
          <w:tcPr>
            <w:tcW w:type="dxa" w:w="2434"/>
          </w:tcPr>
          <w:p>
            <w:pPr>
              <w:spacing w:after="40"/>
              <w:jc w:val="right"/>
            </w:pPr>
            <w:r>
              <w:rPr>
                <w:rFonts w:ascii="Calibri" w:hAnsi="Calibri"/>
                <w:b w:val="0"/>
                <w:sz w:val="19"/>
              </w:rPr>
              <w:t>0.035</w:t>
            </w:r>
          </w:p>
        </w:tc>
      </w:tr>
      <w:tr>
        <w:tc>
          <w:tcPr>
            <w:tcW w:type="dxa" w:w="4493"/>
          </w:tcPr>
          <w:p>
            <w:pPr>
              <w:spacing w:after="40"/>
            </w:pPr>
            <w:r>
              <w:rPr>
                <w:rFonts w:ascii="Calibri" w:hAnsi="Calibri"/>
                <w:b w:val="0"/>
                <w:sz w:val="19"/>
              </w:rPr>
              <w:t>Gap between the two memory banks</w:t>
            </w:r>
          </w:p>
        </w:tc>
        <w:tc>
          <w:tcPr>
            <w:tcW w:type="dxa" w:w="2434"/>
          </w:tcPr>
          <w:p>
            <w:pPr>
              <w:spacing w:after="40"/>
              <w:jc w:val="right"/>
            </w:pPr>
            <w:r>
              <w:rPr>
                <w:rFonts w:ascii="Calibri" w:hAnsi="Calibri"/>
                <w:b w:val="0"/>
                <w:sz w:val="19"/>
              </w:rPr>
              <w:t>0.925</w:t>
            </w:r>
          </w:p>
        </w:tc>
        <w:tc>
          <w:tcPr>
            <w:tcW w:type="dxa" w:w="2434"/>
          </w:tcPr>
          <w:p>
            <w:pPr>
              <w:spacing w:after="40"/>
              <w:jc w:val="right"/>
            </w:pPr>
            <w:r>
              <w:rPr>
                <w:rFonts w:ascii="Calibri" w:hAnsi="Calibri"/>
                <w:b w:val="0"/>
                <w:sz w:val="19"/>
              </w:rPr>
              <w:t>0.152</w:t>
            </w:r>
          </w:p>
        </w:tc>
      </w:tr>
      <w:tr>
        <w:tc>
          <w:tcPr>
            <w:tcW w:type="dxa" w:w="4493"/>
          </w:tcPr>
          <w:p>
            <w:pPr>
              <w:spacing w:after="40"/>
            </w:pPr>
            <w:r>
              <w:rPr>
                <w:rFonts w:ascii="Calibri" w:hAnsi="Calibri"/>
                <w:b w:val="0"/>
                <w:sz w:val="19"/>
              </w:rPr>
              <w:t>Share of matches from laboratory data</w:t>
            </w:r>
          </w:p>
        </w:tc>
        <w:tc>
          <w:tcPr>
            <w:tcW w:type="dxa" w:w="2434"/>
          </w:tcPr>
          <w:p>
            <w:pPr>
              <w:spacing w:after="40"/>
              <w:jc w:val="right"/>
            </w:pPr>
            <w:r>
              <w:rPr>
                <w:rFonts w:ascii="Calibri" w:hAnsi="Calibri"/>
                <w:b w:val="0"/>
                <w:sz w:val="19"/>
              </w:rPr>
              <w:t>0.2</w:t>
            </w:r>
          </w:p>
        </w:tc>
        <w:tc>
          <w:tcPr>
            <w:tcW w:type="dxa" w:w="2434"/>
          </w:tcPr>
          <w:p>
            <w:pPr>
              <w:spacing w:after="40"/>
              <w:jc w:val="right"/>
            </w:pPr>
            <w:r>
              <w:rPr>
                <w:rFonts w:ascii="Calibri" w:hAnsi="Calibri"/>
                <w:b w:val="0"/>
                <w:sz w:val="19"/>
              </w:rPr>
              <w:t>0.8</w:t>
            </w:r>
          </w:p>
        </w:tc>
      </w:tr>
    </w:tbl>
    <w:p>
      <w:pPr>
        <w:spacing w:after="200"/>
      </w:pPr>
    </w:p>
    <w:p>
      <w:r>
        <w:br w:type="page"/>
      </w:r>
    </w:p>
    <w:p>
      <w:pPr>
        <w:pStyle w:val="Heading1"/>
        <w:keepNext/>
        <w:spacing w:before="320" w:after="120"/>
      </w:pPr>
      <w:r>
        <w:rPr>
          <w:rFonts w:ascii="Calibri" w:hAnsi="Calibri"/>
          <w:b/>
          <w:color w:val="1B3F6B"/>
          <w:sz w:val="30"/>
        </w:rPr>
        <w:t>6. Label quality</w:t>
      </w:r>
    </w:p>
    <w:p>
      <w:pPr>
        <w:spacing w:after="120"/>
      </w:pPr>
      <w:r>
        <w:rPr>
          <w:b w:val="0"/>
          <w:i w:val="0"/>
          <w:color w:val="1A1A1A"/>
          <w:sz w:val="21"/>
        </w:rPr>
        <w:t>Ten files are misclassified under all three seeds. All are missed PD, they come from two dates, and they divide into two distinct groups: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59"/>
            <w:shd w:val="clear" w:color="auto" w:fill="E8EEF6"/>
          </w:tcPr>
          <w:p>
            <w:pPr>
              <w:spacing w:after="40"/>
            </w:pPr>
            <w:r>
              <w:rPr>
                <w:rFonts w:ascii="Calibri" w:hAnsi="Calibri"/>
                <w:b/>
                <w:sz w:val="19"/>
              </w:rPr>
              <w:t>Group</w:t>
            </w:r>
          </w:p>
        </w:tc>
        <w:tc>
          <w:tcPr>
            <w:tcW w:type="dxa" w:w="655"/>
            <w:shd w:val="clear" w:color="auto" w:fill="E8EEF6"/>
          </w:tcPr>
          <w:p>
            <w:pPr>
              <w:spacing w:after="40"/>
              <w:jc w:val="right"/>
            </w:pPr>
            <w:r>
              <w:rPr>
                <w:rFonts w:ascii="Calibri" w:hAnsi="Calibri"/>
                <w:b/>
                <w:sz w:val="19"/>
              </w:rPr>
              <w:t>n</w:t>
            </w:r>
          </w:p>
        </w:tc>
        <w:tc>
          <w:tcPr>
            <w:tcW w:type="dxa" w:w="2340"/>
            <w:shd w:val="clear" w:color="auto" w:fill="E8EEF6"/>
          </w:tcPr>
          <w:p>
            <w:pPr>
              <w:spacing w:after="40"/>
              <w:jc w:val="right"/>
            </w:pPr>
            <w:r>
              <w:rPr>
                <w:rFonts w:ascii="Calibri" w:hAnsi="Calibri"/>
                <w:b/>
                <w:sz w:val="19"/>
              </w:rPr>
              <w:t>Analyzer suspect score</w:t>
            </w:r>
          </w:p>
        </w:tc>
        <w:tc>
          <w:tcPr>
            <w:tcW w:type="dxa" w:w="4306"/>
            <w:shd w:val="clear" w:color="auto" w:fill="E8EEF6"/>
          </w:tcPr>
          <w:p>
            <w:pPr>
              <w:spacing w:after="40"/>
              <w:jc w:val="right"/>
            </w:pPr>
            <w:r>
              <w:rPr>
                <w:rFonts w:ascii="Calibri" w:hAnsi="Calibri"/>
                <w:b/>
                <w:sz w:val="19"/>
              </w:rPr>
              <w:t>Interpretation</w:t>
            </w:r>
          </w:p>
        </w:tc>
      </w:tr>
      <w:tr>
        <w:tc>
          <w:tcPr>
            <w:tcW w:type="dxa" w:w="2059"/>
          </w:tcPr>
          <w:p>
            <w:pPr>
              <w:spacing w:after="40"/>
            </w:pPr>
            <w:r>
              <w:rPr>
                <w:rFonts w:ascii="Calibri" w:hAnsi="Calibri"/>
                <w:b w:val="0"/>
                <w:sz w:val="19"/>
              </w:rPr>
              <w:t>Corona, 20231023</w:t>
            </w:r>
          </w:p>
        </w:tc>
        <w:tc>
          <w:tcPr>
            <w:tcW w:type="dxa" w:w="655"/>
          </w:tcPr>
          <w:p>
            <w:pPr>
              <w:spacing w:after="40"/>
              <w:jc w:val="right"/>
            </w:pPr>
            <w:r>
              <w:rPr>
                <w:rFonts w:ascii="Calibri" w:hAnsi="Calibri"/>
                <w:b w:val="0"/>
                <w:sz w:val="19"/>
              </w:rPr>
              <w:t>3</w:t>
            </w:r>
          </w:p>
        </w:tc>
        <w:tc>
          <w:tcPr>
            <w:tcW w:type="dxa" w:w="2340"/>
          </w:tcPr>
          <w:p>
            <w:pPr>
              <w:spacing w:after="40"/>
              <w:jc w:val="right"/>
            </w:pPr>
            <w:r>
              <w:rPr>
                <w:rFonts w:ascii="Calibri" w:hAnsi="Calibri"/>
                <w:b w:val="0"/>
                <w:sz w:val="19"/>
              </w:rPr>
              <w:t>434 / 375 / 358</w:t>
            </w:r>
          </w:p>
        </w:tc>
        <w:tc>
          <w:tcPr>
            <w:tcW w:type="dxa" w:w="4306"/>
          </w:tcPr>
          <w:p>
            <w:pPr>
              <w:spacing w:after="40"/>
              <w:jc w:val="right"/>
            </w:pPr>
            <w:r>
              <w:rPr>
                <w:rFonts w:ascii="Calibri" w:hAnsi="Calibri"/>
                <w:b w:val="0"/>
                <w:sz w:val="19"/>
              </w:rPr>
              <w:t>Above the 95th-percentile cut (210)</w:t>
            </w:r>
          </w:p>
        </w:tc>
      </w:tr>
      <w:tr>
        <w:tc>
          <w:tcPr>
            <w:tcW w:type="dxa" w:w="2059"/>
          </w:tcPr>
          <w:p>
            <w:pPr>
              <w:spacing w:after="40"/>
            </w:pPr>
            <w:r>
              <w:rPr>
                <w:rFonts w:ascii="Calibri" w:hAnsi="Calibri"/>
                <w:b w:val="0"/>
                <w:sz w:val="19"/>
              </w:rPr>
              <w:t>Void, 20220427</w:t>
            </w:r>
          </w:p>
        </w:tc>
        <w:tc>
          <w:tcPr>
            <w:tcW w:type="dxa" w:w="655"/>
          </w:tcPr>
          <w:p>
            <w:pPr>
              <w:spacing w:after="40"/>
              <w:jc w:val="right"/>
            </w:pPr>
            <w:r>
              <w:rPr>
                <w:rFonts w:ascii="Calibri" w:hAnsi="Calibri"/>
                <w:b w:val="0"/>
                <w:sz w:val="19"/>
              </w:rPr>
              <w:t>7</w:t>
            </w:r>
          </w:p>
        </w:tc>
        <w:tc>
          <w:tcPr>
            <w:tcW w:type="dxa" w:w="2340"/>
          </w:tcPr>
          <w:p>
            <w:pPr>
              <w:spacing w:after="40"/>
              <w:jc w:val="right"/>
            </w:pPr>
            <w:r>
              <w:rPr>
                <w:rFonts w:ascii="Calibri" w:hAnsi="Calibri"/>
                <w:b w:val="0"/>
                <w:sz w:val="19"/>
              </w:rPr>
              <w:t>7.8 – 17.2</w:t>
            </w:r>
          </w:p>
        </w:tc>
        <w:tc>
          <w:tcPr>
            <w:tcW w:type="dxa" w:w="4306"/>
          </w:tcPr>
          <w:p>
            <w:pPr>
              <w:spacing w:after="40"/>
              <w:jc w:val="right"/>
            </w:pPr>
            <w:r>
              <w:rPr>
                <w:rFonts w:ascii="Calibri" w:hAnsi="Calibri"/>
                <w:b w:val="0"/>
                <w:sz w:val="19"/>
              </w:rPr>
              <w:t>Typical for their class (percentile 0.6–20%)</w:t>
            </w:r>
          </w:p>
        </w:tc>
      </w:tr>
    </w:tbl>
    <w:p>
      <w:pPr>
        <w:spacing w:after="200"/>
      </w:pPr>
    </w:p>
    <w:p>
      <w:pPr>
        <w:pStyle w:val="ListBullet"/>
        <w:spacing w:after="80" w:line="276" w:lineRule="auto"/>
      </w:pPr>
      <w:r>
        <w:rPr>
          <w:rFonts w:ascii="Calibri" w:hAnsi="Calibri"/>
          <w:b/>
          <w:color w:val="1A1A1A"/>
          <w:sz w:val="21"/>
        </w:rPr>
        <w:t xml:space="preserve">The three Corona files </w:t>
      </w:r>
      <w:r>
        <w:rPr>
          <w:rFonts w:ascii="Calibri" w:hAnsi="Calibri"/>
          <w:b w:val="0"/>
          <w:color w:val="1A1A1A"/>
          <w:sz w:val="21"/>
        </w:rPr>
        <w:t>are independently flagged as atypical by the Analyzer's label-quality check, which uses a different method (pooled shrinkage Mahalanobis distance on the 256-D feature). They are candidates for expert re-examination of the original PRPD patterns. No labels were changed.</w:t>
      </w:r>
    </w:p>
    <w:p>
      <w:pPr>
        <w:pStyle w:val="ListBullet"/>
        <w:spacing w:after="80" w:line="276" w:lineRule="auto"/>
      </w:pPr>
      <w:r>
        <w:rPr>
          <w:rFonts w:ascii="Calibri" w:hAnsi="Calibri"/>
          <w:b/>
          <w:color w:val="1A1A1A"/>
          <w:sz w:val="21"/>
        </w:rPr>
        <w:t xml:space="preserve">The seven Void files </w:t>
      </w:r>
      <w:r>
        <w:rPr>
          <w:rFonts w:ascii="Calibri" w:hAnsi="Calibri"/>
          <w:b w:val="0"/>
          <w:color w:val="1A1A1A"/>
          <w:sz w:val="21"/>
        </w:rPr>
        <w:t>are textbook examples of their class by that same measure, yet PatchCore misses all of them. These represent a genuine model failure rather than a labelling problem.</w:t>
      </w:r>
    </w:p>
    <w:p>
      <w:pPr>
        <w:pStyle w:val="Heading1"/>
        <w:keepNext/>
        <w:spacing w:before="320" w:after="120"/>
      </w:pPr>
      <w:r>
        <w:rPr>
          <w:rFonts w:ascii="Calibri" w:hAnsi="Calibri"/>
          <w:b/>
          <w:color w:val="1B3F6B"/>
          <w:sz w:val="30"/>
        </w:rPr>
        <w:t>7. Conclusions and next steps</w:t>
      </w:r>
    </w:p>
    <w:p>
      <w:pPr>
        <w:pStyle w:val="ListBullet"/>
        <w:spacing w:after="80" w:line="276" w:lineRule="auto"/>
      </w:pPr>
      <w:r>
        <w:rPr>
          <w:rFonts w:ascii="Calibri" w:hAnsi="Calibri"/>
          <w:b/>
          <w:color w:val="1A1A1A"/>
          <w:sz w:val="21"/>
        </w:rPr>
        <w:t xml:space="preserve">Report the comparison as measured. </w:t>
      </w:r>
      <w:r>
        <w:rPr>
          <w:rFonts w:ascii="Calibri" w:hAnsi="Calibri"/>
          <w:b w:val="0"/>
          <w:color w:val="1A1A1A"/>
          <w:sz w:val="21"/>
        </w:rPr>
        <w:t>On this dataset an ImageNet-based memory bank does not outperform a 5-nearest-neighbour classifier on the hand-crafted 256-dimensional feature. It does outperform EfficientAD and the One-Class SVM by a statistically significant margin.</w:t>
      </w:r>
    </w:p>
    <w:p>
      <w:pPr>
        <w:pStyle w:val="ListBullet"/>
        <w:spacing w:after="80" w:line="276" w:lineRule="auto"/>
      </w:pPr>
      <w:r>
        <w:rPr>
          <w:rFonts w:ascii="Calibri" w:hAnsi="Calibri"/>
          <w:b/>
          <w:color w:val="1A1A1A"/>
          <w:sz w:val="21"/>
        </w:rPr>
        <w:t xml:space="preserve">Stop tuning against this test set. </w:t>
      </w:r>
      <w:r>
        <w:rPr>
          <w:rFonts w:ascii="Calibri" w:hAnsi="Calibri"/>
          <w:b w:val="0"/>
          <w:color w:val="1A1A1A"/>
          <w:sz w:val="21"/>
        </w:rPr>
        <w:t>The bootstrap confidence interval (±0.12 AUROC) is wider than any effect measured during model selection. Date-grouped cross-validation across all field dates should replace the single 15% split before further model work.</w:t>
      </w:r>
    </w:p>
    <w:p>
      <w:pPr>
        <w:pStyle w:val="ListBullet"/>
        <w:spacing w:after="80" w:line="276" w:lineRule="auto"/>
      </w:pPr>
      <w:r>
        <w:rPr>
          <w:rFonts w:ascii="Calibri" w:hAnsi="Calibri"/>
          <w:b/>
          <w:color w:val="1A1A1A"/>
          <w:sz w:val="21"/>
        </w:rPr>
        <w:t xml:space="preserve">Improve the data rather than the model. </w:t>
      </w:r>
      <w:r>
        <w:rPr>
          <w:rFonts w:ascii="Calibri" w:hAnsi="Calibri"/>
          <w:b w:val="0"/>
          <w:color w:val="1A1A1A"/>
          <w:sz w:val="21"/>
        </w:rPr>
        <w:t>Two unseen noise environments cause half the errors, and 690 field measurements are currently excluded from validation and test only because their dates cannot be parsed from the filenames. Most of those filenames contain Unix timestamps, so the dates are recoverable. This is likely to matter more than any hyperparameter.</w:t>
      </w:r>
    </w:p>
    <w:p>
      <w:pPr>
        <w:pStyle w:val="ListBullet"/>
        <w:spacing w:after="80" w:line="276" w:lineRule="auto"/>
      </w:pPr>
      <w:r>
        <w:rPr>
          <w:rFonts w:ascii="Calibri" w:hAnsi="Calibri"/>
          <w:b/>
          <w:color w:val="1A1A1A"/>
          <w:sz w:val="21"/>
        </w:rPr>
        <w:t xml:space="preserve">Rebalance the PD memory bank toward field data. </w:t>
      </w:r>
      <w:r>
        <w:rPr>
          <w:rFonts w:ascii="Calibri" w:hAnsi="Calibri"/>
          <w:b w:val="0"/>
          <w:color w:val="1A1A1A"/>
          <w:sz w:val="21"/>
        </w:rPr>
        <w:t>This is the best-supported model-side change (Section 5.3): more windows per field file, or a field-only PD bank for comparison.</w:t>
      </w:r>
    </w:p>
    <w:p>
      <w:pPr>
        <w:pStyle w:val="ListBullet"/>
        <w:spacing w:after="80" w:line="276" w:lineRule="auto"/>
      </w:pPr>
      <w:r>
        <w:rPr>
          <w:rFonts w:ascii="Calibri" w:hAnsi="Calibri"/>
          <w:b/>
          <w:color w:val="1A1A1A"/>
          <w:sz w:val="21"/>
        </w:rPr>
        <w:t xml:space="preserve">Submit the three Corona files for expert review, </w:t>
      </w:r>
      <w:r>
        <w:rPr>
          <w:rFonts w:ascii="Calibri" w:hAnsi="Calibri"/>
          <w:b w:val="0"/>
          <w:color w:val="1A1A1A"/>
          <w:sz w:val="21"/>
        </w:rPr>
        <w:t>and treat the seven Void files as the documented model-failure case.</w:t>
      </w:r>
    </w:p>
    <w:p>
      <w:pPr>
        <w:pStyle w:val="Heading1"/>
        <w:keepNext/>
        <w:spacing w:before="320" w:after="120"/>
      </w:pPr>
      <w:r>
        <w:rPr>
          <w:rFonts w:ascii="Calibri" w:hAnsi="Calibri"/>
          <w:b/>
          <w:color w:val="1B3F6B"/>
          <w:sz w:val="30"/>
        </w:rPr>
        <w:t>Appendix: method and reproducibility</w:t>
      </w:r>
    </w:p>
    <w:p>
      <w:pPr>
        <w:pStyle w:val="ListBullet"/>
        <w:spacing w:after="80" w:line="276" w:lineRule="auto"/>
      </w:pPr>
      <w:r>
        <w:rPr>
          <w:rFonts w:ascii="Calibri" w:hAnsi="Calibri"/>
          <w:b w:val="0"/>
          <w:color w:val="1A1A1A"/>
          <w:sz w:val="21"/>
        </w:rPr>
        <w:t>Dataset: 3,118 measurements (Lab PD 1,435, Lab Noise 156, Field PD 498, Field Noise 1,029); synthetic files excluded. Each measurement is 128 phase bins × 3,600 cycles of 8-bit peak amplitudes.</w:t>
      </w:r>
    </w:p>
    <w:p>
      <w:pPr>
        <w:pStyle w:val="ListBullet"/>
        <w:spacing w:after="80" w:line="276" w:lineRule="auto"/>
      </w:pPr>
      <w:r>
        <w:rPr>
          <w:rFonts w:ascii="Calibri" w:hAnsi="Calibri"/>
          <w:b w:val="0"/>
          <w:color w:val="1A1A1A"/>
          <w:sz w:val="21"/>
        </w:rPr>
        <w:t>Split by measurement date: no date appears in two splits, all laboratory data is in training, and validation and test are field-only (230 and 229 files).</w:t>
      </w:r>
    </w:p>
    <w:p>
      <w:pPr>
        <w:pStyle w:val="ListBullet"/>
        <w:spacing w:after="80" w:line="276" w:lineRule="auto"/>
      </w:pPr>
      <w:r>
        <w:rPr>
          <w:rFonts w:ascii="Calibri" w:hAnsi="Calibri"/>
          <w:b w:val="0"/>
          <w:color w:val="1A1A1A"/>
          <w:sz w:val="21"/>
        </w:rPr>
        <w:t>Model: WideResNet-50 (ImageNet, frozen), features from layers 2 and 3, 128×128 windows resized to 224, 1% greedy coreset, 8 windows per training file, three seeds (42/43/44).</w:t>
      </w:r>
    </w:p>
    <w:p>
      <w:pPr>
        <w:pStyle w:val="ListBullet"/>
        <w:spacing w:after="80" w:line="276" w:lineRule="auto"/>
      </w:pPr>
      <w:r>
        <w:rPr>
          <w:rFonts w:ascii="Calibri" w:hAnsi="Calibri"/>
          <w:b w:val="0"/>
          <w:color w:val="1A1A1A"/>
          <w:sz w:val="21"/>
        </w:rPr>
        <w:t>Pixel-level AUROC is not reported: the dataset has no pixel-level ground truth. Window-level AUROC (0.811) is reported in its place.</w:t>
      </w:r>
    </w:p>
    <w:p>
      <w:pPr>
        <w:pStyle w:val="ListBullet"/>
        <w:spacing w:after="80" w:line="276" w:lineRule="auto"/>
      </w:pPr>
      <w:r>
        <w:rPr>
          <w:rFonts w:ascii="Calibri" w:hAnsi="Calibri"/>
          <w:b w:val="0"/>
          <w:color w:val="1A1A1A"/>
          <w:sz w:val="21"/>
        </w:rPr>
        <w:t>Code and outputs: github.com/MikeJoester/prpd-analyzer — Comparison/error_analysis.py, error_figures.py, nn_audit.py; results in Results/patchcore/error_analysis/ and Plans/PatchCore_error_analysis_results.md.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