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МИНОБРНАУКИ РОССИИ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Санкт-Петербургский государственный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электротехнический университет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«ЛЭТИ» им. В.И. Ульянова (Ленина)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Кафедра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 ЭВМ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A"/>
          <w:spacing w:val="5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bCs/>
          <w:caps/>
          <w:smallCaps/>
          <w:color w:val="00000A"/>
          <w:spacing w:val="5"/>
          <w:sz w:val="28"/>
          <w:szCs w:val="28"/>
          <w:lang w:eastAsia="zh-CN"/>
        </w:rPr>
        <w:t>отчет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по лабораторной работе</w:t>
      </w:r>
      <w:r w:rsidRPr="00046B6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№2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по дисциплине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«Операционные системы»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Тема: Исследование структур загрузочных модулей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A"/>
          <w:spacing w:val="5"/>
          <w:sz w:val="24"/>
          <w:szCs w:val="24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1593" w:rsidRPr="00046B64" w:rsidTr="009055F0">
        <w:trPr>
          <w:trHeight w:val="614"/>
        </w:trPr>
        <w:tc>
          <w:tcPr>
            <w:tcW w:w="2206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Студент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гр.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4E1593" w:rsidRPr="00046B64" w:rsidTr="009055F0">
        <w:trPr>
          <w:trHeight w:val="614"/>
        </w:trPr>
        <w:tc>
          <w:tcPr>
            <w:tcW w:w="2206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1593" w:rsidRPr="00046B64" w:rsidRDefault="004E1593" w:rsidP="00905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4E1593" w:rsidRPr="00046B64" w:rsidRDefault="004E1593" w:rsidP="00905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  <w:t>Санкт-Петербург</w:t>
      </w:r>
    </w:p>
    <w:p w:rsidR="004E1593" w:rsidRPr="00046B64" w:rsidRDefault="004E1593" w:rsidP="004E15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Необходимо написать и отладить программный модуль типа .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E1593">
        <w:rPr>
          <w:rFonts w:ascii="Times New Roman" w:hAnsi="Times New Roman" w:cs="Times New Roman"/>
          <w:sz w:val="28"/>
          <w:szCs w:val="28"/>
        </w:rPr>
        <w:t>, выбирает и распечатывает следующую информацию: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1.</w:t>
      </w:r>
      <w:r w:rsidRPr="004E1593">
        <w:rPr>
          <w:rFonts w:ascii="Times New Roman" w:hAnsi="Times New Roman" w:cs="Times New Roman"/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2.</w:t>
      </w:r>
      <w:r w:rsidRPr="004E1593">
        <w:rPr>
          <w:rFonts w:ascii="Times New Roman" w:hAnsi="Times New Roman" w:cs="Times New Roman"/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3.</w:t>
      </w:r>
      <w:r w:rsidRPr="004E1593">
        <w:rPr>
          <w:rFonts w:ascii="Times New Roman" w:hAnsi="Times New Roman" w:cs="Times New Roman"/>
          <w:sz w:val="28"/>
          <w:szCs w:val="28"/>
        </w:rPr>
        <w:tab/>
        <w:t>Хвост командной строки в символьном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4.</w:t>
      </w:r>
      <w:r w:rsidRPr="004E1593">
        <w:rPr>
          <w:rFonts w:ascii="Times New Roman" w:hAnsi="Times New Roman" w:cs="Times New Roman"/>
          <w:sz w:val="28"/>
          <w:szCs w:val="28"/>
        </w:rPr>
        <w:tab/>
        <w:t>Содержимое области среды в символьном виде.</w:t>
      </w:r>
    </w:p>
    <w:p w:rsidR="002B2936" w:rsidRPr="004E1593" w:rsidRDefault="002B2936" w:rsidP="004E1593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5.</w:t>
      </w:r>
      <w:r w:rsidRPr="004E1593">
        <w:rPr>
          <w:rFonts w:ascii="Times New Roman" w:hAnsi="Times New Roman" w:cs="Times New Roman"/>
          <w:sz w:val="28"/>
          <w:szCs w:val="28"/>
        </w:rPr>
        <w:tab/>
        <w:t>Путь загружаемого модуля.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Оформить отчёт и ответить на контрольные вопросы.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t>Необходимые сведения для выполнения лабораторной работы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При начальной загрузке программы формируется PSP, который размещается в начале первого сегмента программы. PSP занимает 256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байт  и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располагается с адреса, кратного границе сегмента. При загрузке модулей типа .COM все сегментные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регистры  указывают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Формат PSP: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среды  содержит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последовательность символьных строк вида:   имя=параметр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Каждая строка завершается байтом нулей.</w:t>
      </w:r>
    </w:p>
    <w:p w:rsidR="002B2936" w:rsidRPr="004E1593" w:rsidRDefault="002B2936" w:rsidP="004E15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первой  строке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 xml:space="preserve">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proofErr w:type="gramStart"/>
      <w:r w:rsidRPr="004E1593">
        <w:rPr>
          <w:rFonts w:ascii="Times New Roman" w:hAnsi="Times New Roman" w:cs="Times New Roman"/>
          <w:sz w:val="28"/>
          <w:szCs w:val="28"/>
        </w:rPr>
        <w:t>h,  01</w:t>
      </w:r>
      <w:proofErr w:type="gramEnd"/>
      <w:r w:rsidRPr="004E1593">
        <w:rPr>
          <w:rFonts w:ascii="Times New Roman" w:hAnsi="Times New Roman" w:cs="Times New Roman"/>
          <w:sz w:val="28"/>
          <w:szCs w:val="28"/>
        </w:rPr>
        <w:t>h, после которых располагается маршрут загруженной программы. Маршрут также заканчивается байтом 00h.</w:t>
      </w: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4A5148" w:rsidRPr="004E1593" w:rsidRDefault="004A5148" w:rsidP="004E1593">
      <w:pPr>
        <w:pStyle w:val="a3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587"/>
        <w:gridCol w:w="6222"/>
      </w:tblGrid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Смещение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Длина поля (байт)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Содержимое поля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20h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Зарезервировано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Ah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22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Eh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23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12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Вектор прерывания 24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CS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</w:rPr>
              <w:t>(44)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5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6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). Перекрывается если 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FCB</w:t>
            </w:r>
            <w:r w:rsidRPr="004E1593">
              <w:rPr>
                <w:rFonts w:ascii="Times New Roman" w:hAnsi="Times New Roman"/>
                <w:sz w:val="28"/>
                <w:szCs w:val="28"/>
              </w:rPr>
              <w:t xml:space="preserve"> с адреса 5</w:t>
            </w:r>
            <w:proofErr w:type="spellStart"/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  <w:proofErr w:type="spellEnd"/>
            <w:r w:rsidRPr="004E1593">
              <w:rPr>
                <w:rFonts w:ascii="Times New Roman" w:hAnsi="Times New Roman"/>
                <w:sz w:val="28"/>
                <w:szCs w:val="28"/>
              </w:rPr>
              <w:t xml:space="preserve"> открыт.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80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4A5148" w:rsidRPr="004E1593" w:rsidTr="004A5148">
        <w:tc>
          <w:tcPr>
            <w:tcW w:w="1536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81</w:t>
            </w:r>
            <w:r w:rsidRPr="004E159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22" w:type="dxa"/>
          </w:tcPr>
          <w:p w:rsidR="004A5148" w:rsidRPr="004E1593" w:rsidRDefault="004A5148" w:rsidP="004E1593">
            <w:pPr>
              <w:tabs>
                <w:tab w:val="left" w:pos="296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1593">
              <w:rPr>
                <w:rFonts w:ascii="Times New Roman" w:hAnsi="Times New Roman"/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4A5148" w:rsidRPr="004E1593" w:rsidRDefault="004A5148" w:rsidP="004E159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148" w:rsidRPr="004E1593" w:rsidRDefault="004A5148" w:rsidP="004E159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 В результате выполнения лабораторной работы была написана программа, описание функций которой представлено в таблице ниже.</w:t>
      </w:r>
    </w:p>
    <w:p w:rsidR="004A5148" w:rsidRPr="004E1593" w:rsidRDefault="004A5148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TETR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вспомогательная для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процедура;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16чный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WRD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слова в неупакованный 16чный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E1593">
        <w:rPr>
          <w:rFonts w:ascii="Times New Roman" w:hAnsi="Times New Roman" w:cs="Times New Roman"/>
          <w:sz w:val="28"/>
          <w:szCs w:val="28"/>
        </w:rPr>
        <w:t>_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4E1593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10чный формат;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>_NOT_AVAIL</w:t>
      </w:r>
      <w:bookmarkStart w:id="0" w:name="_GoBack"/>
      <w:bookmarkEnd w:id="0"/>
      <w:r w:rsidRPr="004E1593">
        <w:rPr>
          <w:rFonts w:ascii="Times New Roman" w:hAnsi="Times New Roman" w:cs="Times New Roman"/>
          <w:sz w:val="28"/>
          <w:szCs w:val="28"/>
        </w:rPr>
        <w:t>ABLE_MEMORY - получение адреса недоступной памяти;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_ENVIRONMENT_SEGMENT_ADDRESS - получение сегментного адреса среды;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_COMMAND_TAIL - Получение хвоста командной строки;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 xml:space="preserve">- 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1593">
        <w:rPr>
          <w:rFonts w:ascii="Times New Roman" w:hAnsi="Times New Roman" w:cs="Times New Roman"/>
          <w:sz w:val="28"/>
          <w:szCs w:val="28"/>
        </w:rPr>
        <w:t xml:space="preserve"> _ENVIRONMENT_DATA - Получение содержимого среды;</w:t>
      </w:r>
    </w:p>
    <w:p w:rsidR="002B2936" w:rsidRPr="004E1593" w:rsidRDefault="002B2936" w:rsidP="004E1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- PRINT_STRING - Вывод строки на экран</w:t>
      </w:r>
    </w:p>
    <w:p w:rsidR="002B2936" w:rsidRPr="004E1593" w:rsidRDefault="002B2936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B2936" w:rsidRPr="004E1593" w:rsidRDefault="002B2936" w:rsidP="004E1593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2B2936" w:rsidRPr="004E1593" w:rsidRDefault="002B2936" w:rsidP="004E1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593">
        <w:rPr>
          <w:rFonts w:ascii="Times New Roman" w:hAnsi="Times New Roman" w:cs="Times New Roman"/>
          <w:sz w:val="28"/>
          <w:szCs w:val="28"/>
        </w:rPr>
        <w:t>Результаты запуска</w:t>
      </w:r>
      <w:r w:rsidRPr="004E1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5312" w:rsidRDefault="00C771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E1593">
        <w:rPr>
          <w:noProof/>
          <w:sz w:val="28"/>
          <w:szCs w:val="28"/>
          <w:lang w:eastAsia="ru-RU"/>
        </w:rPr>
        <w:drawing>
          <wp:inline distT="0" distB="0" distL="0" distR="0" wp14:anchorId="0AAF55A7" wp14:editId="7C83CC8E">
            <wp:extent cx="5940425" cy="19626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324"/>
                    <a:stretch/>
                  </pic:blipFill>
                  <pic:spPr bwMode="auto">
                    <a:xfrm>
                      <a:off x="0" y="0"/>
                      <a:ext cx="5940425" cy="19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593" w:rsidRPr="004E1593" w:rsidRDefault="004E1593" w:rsidP="004E15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1: работа программы</w:t>
      </w:r>
    </w:p>
    <w:p w:rsidR="004A5148" w:rsidRPr="004E1593" w:rsidRDefault="004A5148" w:rsidP="004E1593">
      <w:pPr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Ответы на контрольные вопросы:</w:t>
      </w:r>
    </w:p>
    <w:p w:rsidR="004A5148" w:rsidRPr="004E1593" w:rsidRDefault="004A5148" w:rsidP="004E1593">
      <w:pPr>
        <w:tabs>
          <w:tab w:val="left" w:pos="2968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Сегментный адрес недоступной памяти.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На какую область памяти указывает адрес недоступной памяти?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Адрес недоступной памяти указывает на область оперативной памяти.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4A5148" w:rsidRPr="004E1593" w:rsidRDefault="004A5148" w:rsidP="004E1593">
      <w:pPr>
        <w:tabs>
          <w:tab w:val="left" w:pos="993"/>
        </w:tabs>
        <w:ind w:firstLine="207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  Адрес располагается сразу за памятью, отведённой программе.</w:t>
      </w:r>
    </w:p>
    <w:p w:rsidR="004A5148" w:rsidRPr="004E1593" w:rsidRDefault="004A5148" w:rsidP="004E159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Можно ли в эту область памяти писать?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Да, так как память DOS не имеет защиты.</w:t>
      </w:r>
    </w:p>
    <w:p w:rsidR="004A5148" w:rsidRPr="004E1593" w:rsidRDefault="004A5148" w:rsidP="004E1593">
      <w:pPr>
        <w:tabs>
          <w:tab w:val="left" w:pos="2968"/>
        </w:tabs>
        <w:jc w:val="both"/>
        <w:rPr>
          <w:rFonts w:ascii="Times New Roman" w:hAnsi="Times New Roman"/>
          <w:b/>
          <w:sz w:val="28"/>
          <w:szCs w:val="28"/>
        </w:rPr>
      </w:pPr>
      <w:r w:rsidRPr="004E1593">
        <w:rPr>
          <w:rFonts w:ascii="Times New Roman" w:hAnsi="Times New Roman"/>
          <w:b/>
          <w:sz w:val="28"/>
          <w:szCs w:val="28"/>
        </w:rPr>
        <w:t>Среда</w:t>
      </w:r>
      <w:r w:rsidR="004E1593">
        <w:rPr>
          <w:rFonts w:ascii="Times New Roman" w:hAnsi="Times New Roman"/>
          <w:b/>
          <w:sz w:val="28"/>
          <w:szCs w:val="28"/>
        </w:rPr>
        <w:t>,</w:t>
      </w:r>
      <w:r w:rsidRPr="004E1593">
        <w:rPr>
          <w:rFonts w:ascii="Times New Roman" w:hAnsi="Times New Roman"/>
          <w:b/>
          <w:sz w:val="28"/>
          <w:szCs w:val="28"/>
        </w:rPr>
        <w:t xml:space="preserve"> передаваемая программе.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Что такое среда?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Среда – область памяти, в которой в виде символьных строк записаны значения переменных, называемых переменными окружения.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Когда создается среда? Перед запуском приложения или в другое время?</w:t>
      </w:r>
    </w:p>
    <w:p w:rsidR="004A5148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 xml:space="preserve">При загрузке </w:t>
      </w:r>
      <w:r w:rsidRPr="004E1593">
        <w:rPr>
          <w:rFonts w:ascii="Times New Roman" w:hAnsi="Times New Roman"/>
          <w:sz w:val="28"/>
          <w:szCs w:val="28"/>
          <w:lang w:val="en-US"/>
        </w:rPr>
        <w:t>DOS</w:t>
      </w:r>
      <w:r w:rsidRPr="004E1593">
        <w:rPr>
          <w:rFonts w:ascii="Times New Roman" w:hAnsi="Times New Roman"/>
          <w:sz w:val="28"/>
          <w:szCs w:val="28"/>
        </w:rPr>
        <w:t>; при запуске программы происходит лишь копирование среды в новую область памяти.</w:t>
      </w:r>
    </w:p>
    <w:p w:rsidR="004A5148" w:rsidRPr="004E1593" w:rsidRDefault="004A5148" w:rsidP="004E1593">
      <w:pPr>
        <w:pStyle w:val="a5"/>
        <w:numPr>
          <w:ilvl w:val="0"/>
          <w:numId w:val="2"/>
        </w:num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593">
        <w:rPr>
          <w:rFonts w:ascii="Times New Roman" w:hAnsi="Times New Roman" w:cs="Times New Roman"/>
          <w:sz w:val="28"/>
          <w:szCs w:val="28"/>
        </w:rPr>
        <w:t>Откуда берется информация, записываемая в среду?</w:t>
      </w:r>
    </w:p>
    <w:p w:rsidR="00C771FC" w:rsidRPr="004E1593" w:rsidRDefault="004A5148" w:rsidP="004E1593">
      <w:pPr>
        <w:tabs>
          <w:tab w:val="left" w:pos="2968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4E1593">
        <w:rPr>
          <w:rFonts w:ascii="Times New Roman" w:hAnsi="Times New Roman"/>
          <w:sz w:val="28"/>
          <w:szCs w:val="28"/>
        </w:rPr>
        <w:t>Информация записывается в среду из системного файла AUTOEXEC.BAT.</w:t>
      </w:r>
    </w:p>
    <w:sectPr w:rsidR="00C771FC" w:rsidRPr="004E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97C"/>
    <w:multiLevelType w:val="hybridMultilevel"/>
    <w:tmpl w:val="08B8B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6"/>
    <w:rsid w:val="002B2936"/>
    <w:rsid w:val="004A5148"/>
    <w:rsid w:val="004E1593"/>
    <w:rsid w:val="00865312"/>
    <w:rsid w:val="00C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4F1D"/>
  <w15:chartTrackingRefBased/>
  <w15:docId w15:val="{824EB0EE-B5BF-47DE-8B7E-F50B410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293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2B293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51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2018-02-19T18:37:00Z</dcterms:created>
  <dcterms:modified xsi:type="dcterms:W3CDTF">2018-02-27T15:36:00Z</dcterms:modified>
</cp:coreProperties>
</file>