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44622" w:rsidRPr="009B6B5E" w:rsidRDefault="00000000">
      <w:pPr>
        <w:spacing w:after="80"/>
        <w:rPr>
          <w:lang w:val="en-US"/>
        </w:rPr>
      </w:pPr>
      <w:r w:rsidRPr="009B6B5E">
        <w:rPr>
          <w:rFonts w:ascii="DM Serif Display" w:eastAsia="DM Serif Display" w:hAnsi="DM Serif Display" w:cs="DM Serif Display"/>
          <w:b/>
          <w:bCs/>
          <w:color w:val="1B3A4B"/>
          <w:sz w:val="48"/>
          <w:szCs w:val="48"/>
          <w:lang w:val="en-US"/>
        </w:rPr>
        <w:t>AYNI GOLD</w:t>
      </w:r>
    </w:p>
    <w:p w:rsidR="00344622" w:rsidRPr="009B6B5E" w:rsidRDefault="00000000">
      <w:pPr>
        <w:spacing w:after="40"/>
        <w:rPr>
          <w:lang w:val="en-US"/>
        </w:rPr>
      </w:pPr>
      <w:r w:rsidRPr="009B6B5E">
        <w:rPr>
          <w:b/>
          <w:bCs/>
          <w:color w:val="C9A84C"/>
          <w:sz w:val="28"/>
          <w:szCs w:val="28"/>
          <w:lang w:val="en-US"/>
        </w:rPr>
        <w:t>Product Vision &amp; Prototype Rationale</w:t>
      </w:r>
    </w:p>
    <w:p w:rsidR="00344622" w:rsidRPr="009B6B5E" w:rsidRDefault="00000000">
      <w:pPr>
        <w:pBdr>
          <w:bottom w:val="single" w:sz="6" w:space="8" w:color="C9A84C"/>
        </w:pBdr>
        <w:spacing w:after="400"/>
        <w:rPr>
          <w:lang w:val="en-US"/>
        </w:rPr>
      </w:pPr>
      <w:r w:rsidRPr="009B6B5E">
        <w:rPr>
          <w:color w:val="6B7280"/>
          <w:sz w:val="20"/>
          <w:szCs w:val="20"/>
          <w:lang w:val="en-US"/>
        </w:rPr>
        <w:t xml:space="preserve">Internal </w:t>
      </w:r>
      <w:proofErr w:type="gramStart"/>
      <w:r w:rsidRPr="009B6B5E">
        <w:rPr>
          <w:color w:val="6B7280"/>
          <w:sz w:val="20"/>
          <w:szCs w:val="20"/>
          <w:lang w:val="en-US"/>
        </w:rPr>
        <w:t>Document  ·</w:t>
      </w:r>
      <w:proofErr w:type="gramEnd"/>
      <w:r w:rsidRPr="009B6B5E">
        <w:rPr>
          <w:color w:val="6B7280"/>
          <w:sz w:val="20"/>
          <w:szCs w:val="20"/>
          <w:lang w:val="en-US"/>
        </w:rPr>
        <w:t xml:space="preserve">  </w:t>
      </w:r>
      <w:proofErr w:type="gramStart"/>
      <w:r w:rsidRPr="009B6B5E">
        <w:rPr>
          <w:color w:val="6B7280"/>
          <w:sz w:val="20"/>
          <w:szCs w:val="20"/>
          <w:lang w:val="en-US"/>
        </w:rPr>
        <w:t>CPO  ·</w:t>
      </w:r>
      <w:proofErr w:type="gramEnd"/>
      <w:r w:rsidRPr="009B6B5E">
        <w:rPr>
          <w:color w:val="6B7280"/>
          <w:sz w:val="20"/>
          <w:szCs w:val="20"/>
          <w:lang w:val="en-US"/>
        </w:rPr>
        <w:t xml:space="preserve">  March 2026</w:t>
      </w:r>
    </w:p>
    <w:p w:rsidR="00344622" w:rsidRPr="009B6B5E" w:rsidRDefault="00000000">
      <w:pPr>
        <w:pStyle w:val="1"/>
        <w:rPr>
          <w:lang w:val="en-US"/>
        </w:rPr>
      </w:pPr>
      <w:r w:rsidRPr="009B6B5E">
        <w:rPr>
          <w:lang w:val="en-US"/>
        </w:rPr>
        <w:t>Purpose of This Document</w:t>
      </w:r>
    </w:p>
    <w:p w:rsidR="00344622" w:rsidRPr="009B6B5E" w:rsidRDefault="00000000">
      <w:pPr>
        <w:spacing w:after="200"/>
        <w:rPr>
          <w:lang w:val="en-US"/>
        </w:rPr>
      </w:pPr>
      <w:r w:rsidRPr="009B6B5E">
        <w:rPr>
          <w:lang w:val="en-US"/>
        </w:rPr>
        <w:t>This document describes the product vision, the rationale behind key decisions in the prototype, and the role of the prototype in our workflow. The goal is to give the team a unified context for discussions and implementation.</w:t>
      </w:r>
    </w:p>
    <w:p w:rsidR="00344622" w:rsidRPr="009B6B5E" w:rsidRDefault="00000000">
      <w:pPr>
        <w:pStyle w:val="1"/>
        <w:rPr>
          <w:lang w:val="en-US"/>
        </w:rPr>
      </w:pPr>
      <w:r w:rsidRPr="009B6B5E">
        <w:rPr>
          <w:lang w:val="en-US"/>
        </w:rPr>
        <w:t>Role of the Prototype</w:t>
      </w:r>
    </w:p>
    <w:p w:rsidR="00344622" w:rsidRDefault="00000000">
      <w:pPr>
        <w:spacing w:after="160"/>
      </w:pPr>
      <w:r w:rsidRPr="009B6B5E">
        <w:rPr>
          <w:lang w:val="en-US"/>
        </w:rPr>
        <w:t>The prototype (</w:t>
      </w:r>
      <w:proofErr w:type="spellStart"/>
      <w:r w:rsidRPr="009B6B5E">
        <w:rPr>
          <w:b/>
          <w:bCs/>
          <w:lang w:val="en-US"/>
        </w:rPr>
        <w:t>ayni-app.pages.dev</w:t>
      </w:r>
      <w:proofErr w:type="spellEnd"/>
      <w:r w:rsidRPr="009B6B5E">
        <w:rPr>
          <w:lang w:val="en-US"/>
        </w:rPr>
        <w:t xml:space="preserve">) is a </w:t>
      </w:r>
      <w:r w:rsidRPr="009B6B5E">
        <w:rPr>
          <w:b/>
          <w:bCs/>
          <w:lang w:val="en-US"/>
        </w:rPr>
        <w:t>product specification</w:t>
      </w:r>
      <w:r w:rsidRPr="009B6B5E">
        <w:rPr>
          <w:lang w:val="en-US"/>
        </w:rPr>
        <w:t xml:space="preserve">, not a final design. </w:t>
      </w:r>
      <w:r>
        <w:t xml:space="preserve">It </w:t>
      </w:r>
      <w:proofErr w:type="spellStart"/>
      <w:r>
        <w:t>captures</w:t>
      </w:r>
      <w:proofErr w:type="spellEnd"/>
      <w:r>
        <w:t>:</w:t>
      </w:r>
    </w:p>
    <w:p w:rsidR="00344622" w:rsidRDefault="00000000">
      <w:pPr>
        <w:pStyle w:val="a4"/>
        <w:numPr>
          <w:ilvl w:val="0"/>
          <w:numId w:val="2"/>
        </w:numPr>
        <w:spacing w:after="80"/>
      </w:pPr>
      <w:r>
        <w:t xml:space="preserve">Application </w:t>
      </w:r>
      <w:proofErr w:type="spellStart"/>
      <w:r>
        <w:t>structure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navigation</w:t>
      </w:r>
      <w:proofErr w:type="spellEnd"/>
    </w:p>
    <w:p w:rsidR="00344622" w:rsidRDefault="00000000">
      <w:pPr>
        <w:pStyle w:val="a4"/>
        <w:numPr>
          <w:ilvl w:val="0"/>
          <w:numId w:val="2"/>
        </w:numPr>
        <w:spacing w:after="80"/>
      </w:pPr>
      <w:proofErr w:type="spellStart"/>
      <w:r>
        <w:t>Screen</w:t>
      </w:r>
      <w:proofErr w:type="spellEnd"/>
      <w:r>
        <w:t xml:space="preserve"> </w:t>
      </w:r>
      <w:proofErr w:type="spellStart"/>
      <w:r>
        <w:t>inventory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hierarchy</w:t>
      </w:r>
      <w:proofErr w:type="spellEnd"/>
    </w:p>
    <w:p w:rsidR="00344622" w:rsidRPr="009B6B5E" w:rsidRDefault="00000000">
      <w:pPr>
        <w:pStyle w:val="a4"/>
        <w:numPr>
          <w:ilvl w:val="0"/>
          <w:numId w:val="2"/>
        </w:numPr>
        <w:spacing w:after="80"/>
        <w:rPr>
          <w:lang w:val="en-US"/>
        </w:rPr>
      </w:pPr>
      <w:r w:rsidRPr="009B6B5E">
        <w:rPr>
          <w:lang w:val="en-US"/>
        </w:rPr>
        <w:t>User flows from first visit to reinvesting</w:t>
      </w:r>
    </w:p>
    <w:p w:rsidR="00344622" w:rsidRPr="009B6B5E" w:rsidRDefault="00000000">
      <w:pPr>
        <w:pStyle w:val="a4"/>
        <w:numPr>
          <w:ilvl w:val="0"/>
          <w:numId w:val="2"/>
        </w:numPr>
        <w:spacing w:after="80"/>
        <w:rPr>
          <w:lang w:val="en-US"/>
        </w:rPr>
      </w:pPr>
      <w:r w:rsidRPr="009B6B5E">
        <w:rPr>
          <w:lang w:val="en-US"/>
        </w:rPr>
        <w:t>The full backlog in implemented form</w:t>
      </w:r>
    </w:p>
    <w:p w:rsidR="00344622" w:rsidRPr="009B6B5E" w:rsidRDefault="00000000">
      <w:pPr>
        <w:spacing w:after="200"/>
        <w:rPr>
          <w:lang w:val="en-US"/>
        </w:rPr>
      </w:pPr>
      <w:r w:rsidRPr="009B6B5E">
        <w:rPr>
          <w:lang w:val="en-US"/>
        </w:rPr>
        <w:t xml:space="preserve">The prototype is the </w:t>
      </w:r>
      <w:r w:rsidRPr="009B6B5E">
        <w:rPr>
          <w:b/>
          <w:bCs/>
          <w:i/>
          <w:iCs/>
          <w:lang w:val="en-US"/>
        </w:rPr>
        <w:t>baseline</w:t>
      </w:r>
      <w:r w:rsidRPr="009B6B5E">
        <w:rPr>
          <w:lang w:val="en-US"/>
        </w:rPr>
        <w:t xml:space="preserve"> from which the design team adapts, improves, and solves UX problems. Within this structure, not in parallel.</w:t>
      </w:r>
    </w:p>
    <w:p w:rsidR="00344622" w:rsidRPr="009B6B5E" w:rsidRDefault="00000000">
      <w:pPr>
        <w:pStyle w:val="1"/>
        <w:rPr>
          <w:lang w:val="en-US"/>
        </w:rPr>
      </w:pPr>
      <w:r w:rsidRPr="009B6B5E">
        <w:rPr>
          <w:lang w:val="en-US"/>
        </w:rPr>
        <w:t>Product Vision</w:t>
      </w:r>
    </w:p>
    <w:p w:rsidR="00344622" w:rsidRPr="009B6B5E" w:rsidRDefault="00000000">
      <w:pPr>
        <w:pStyle w:val="2"/>
        <w:rPr>
          <w:lang w:val="en-US"/>
        </w:rPr>
      </w:pPr>
      <w:r w:rsidRPr="009B6B5E">
        <w:rPr>
          <w:lang w:val="en-US"/>
        </w:rPr>
        <w:t>Target Audience</w:t>
      </w:r>
    </w:p>
    <w:p w:rsidR="00344622" w:rsidRPr="009B6B5E" w:rsidRDefault="00000000">
      <w:pPr>
        <w:spacing w:after="120"/>
        <w:rPr>
          <w:lang w:val="en-US"/>
        </w:rPr>
      </w:pPr>
      <w:r w:rsidRPr="009B6B5E">
        <w:rPr>
          <w:b/>
          <w:bCs/>
          <w:lang w:val="en-US"/>
        </w:rPr>
        <w:t xml:space="preserve">Primary: </w:t>
      </w:r>
      <w:r w:rsidRPr="009B6B5E">
        <w:rPr>
          <w:lang w:val="en-US"/>
        </w:rPr>
        <w:t>Web2 audience with $10k+ positions (financial directors, HNW individuals). People accustomed to private banking, not DeFi interfaces.</w:t>
      </w:r>
    </w:p>
    <w:p w:rsidR="00344622" w:rsidRPr="009B6B5E" w:rsidRDefault="00000000">
      <w:pPr>
        <w:spacing w:after="200"/>
        <w:rPr>
          <w:lang w:val="en-US"/>
        </w:rPr>
      </w:pPr>
      <w:r w:rsidRPr="009B6B5E">
        <w:rPr>
          <w:b/>
          <w:bCs/>
          <w:lang w:val="en-US"/>
        </w:rPr>
        <w:t xml:space="preserve">Secondary: </w:t>
      </w:r>
      <w:r w:rsidRPr="009B6B5E">
        <w:rPr>
          <w:lang w:val="en-US"/>
        </w:rPr>
        <w:t>Web3 users (retail). The product must pass Web3 scrutiny, but the packaging is fintech, not crypto.</w:t>
      </w:r>
    </w:p>
    <w:p w:rsidR="00344622" w:rsidRPr="009B6B5E" w:rsidRDefault="00000000">
      <w:pPr>
        <w:pStyle w:val="2"/>
        <w:rPr>
          <w:lang w:val="en-US"/>
        </w:rPr>
      </w:pPr>
      <w:r w:rsidRPr="009B6B5E">
        <w:rPr>
          <w:lang w:val="en-US"/>
        </w:rPr>
        <w:t>Core Principle: Trust Through Simplicity</w:t>
      </w:r>
    </w:p>
    <w:p w:rsidR="00344622" w:rsidRPr="009B6B5E" w:rsidRDefault="00000000">
      <w:pPr>
        <w:spacing w:after="120"/>
        <w:rPr>
          <w:lang w:val="en-US"/>
        </w:rPr>
      </w:pPr>
      <w:r w:rsidRPr="009B6B5E">
        <w:rPr>
          <w:lang w:val="en-US"/>
        </w:rPr>
        <w:t xml:space="preserve">Our audience are not crypto enthusiasts. For them, cryptocurrency is a means, not an end in itself. Every interface element must answer the question: </w:t>
      </w:r>
      <w:r w:rsidRPr="009B6B5E">
        <w:rPr>
          <w:i/>
          <w:iCs/>
          <w:lang w:val="en-US"/>
        </w:rPr>
        <w:t>“Why should I trust this product?”</w:t>
      </w:r>
    </w:p>
    <w:p w:rsidR="00344622" w:rsidRPr="009B6B5E" w:rsidRDefault="00000000">
      <w:pPr>
        <w:spacing w:after="200"/>
        <w:rPr>
          <w:lang w:val="en-US"/>
        </w:rPr>
      </w:pPr>
      <w:r w:rsidRPr="009B6B5E">
        <w:rPr>
          <w:lang w:val="en-US"/>
        </w:rPr>
        <w:t>This drives every decision: from the visual language (light, fintech, Swiss-banking aesthetic) to the information architecture (numbers are consistent, data is transparent, on-chain links are accessible).</w:t>
      </w:r>
    </w:p>
    <w:p w:rsidR="00344622" w:rsidRPr="009B6B5E" w:rsidRDefault="00000000">
      <w:pPr>
        <w:pStyle w:val="1"/>
        <w:rPr>
          <w:lang w:val="en-US"/>
        </w:rPr>
      </w:pPr>
      <w:r w:rsidRPr="009B6B5E">
        <w:rPr>
          <w:lang w:val="en-US"/>
        </w:rPr>
        <w:t>Rationale Behind Key Decisions</w:t>
      </w:r>
    </w:p>
    <w:p w:rsidR="00344622" w:rsidRPr="009B6B5E" w:rsidRDefault="00000000">
      <w:pPr>
        <w:pStyle w:val="2"/>
        <w:rPr>
          <w:lang w:val="en-US"/>
        </w:rPr>
      </w:pPr>
      <w:r w:rsidRPr="009B6B5E">
        <w:rPr>
          <w:lang w:val="en-US"/>
        </w:rPr>
        <w:t>1. Navigation Structure: Home → Positions → Resources → Participate</w:t>
      </w:r>
    </w:p>
    <w:p w:rsidR="00344622" w:rsidRDefault="00000000">
      <w:pPr>
        <w:spacing w:after="120"/>
      </w:pPr>
      <w:r w:rsidRPr="009B6B5E">
        <w:rPr>
          <w:b/>
          <w:bCs/>
          <w:lang w:val="en-US"/>
        </w:rPr>
        <w:t xml:space="preserve">Problem: </w:t>
      </w:r>
      <w:r w:rsidRPr="009B6B5E">
        <w:rPr>
          <w:lang w:val="en-US"/>
        </w:rPr>
        <w:t xml:space="preserve">The current structure is inherited from crypto platforms (Wallets, Staking, Swap). </w:t>
      </w:r>
      <w:r>
        <w:t xml:space="preserve">For a Web2 </w:t>
      </w:r>
      <w:proofErr w:type="spellStart"/>
      <w:r>
        <w:t>user</w:t>
      </w:r>
      <w:proofErr w:type="spellEnd"/>
      <w:r>
        <w:t xml:space="preserve">,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unreadable</w:t>
      </w:r>
      <w:proofErr w:type="spellEnd"/>
      <w:r>
        <w:t>.</w:t>
      </w:r>
    </w:p>
    <w:p w:rsidR="00344622" w:rsidRPr="009B6B5E" w:rsidRDefault="00000000">
      <w:pPr>
        <w:spacing w:after="200"/>
        <w:rPr>
          <w:lang w:val="en-US"/>
        </w:rPr>
      </w:pPr>
      <w:r w:rsidRPr="009B6B5E">
        <w:rPr>
          <w:b/>
          <w:bCs/>
          <w:lang w:val="en-US"/>
        </w:rPr>
        <w:t xml:space="preserve">Solution: </w:t>
      </w:r>
      <w:r w:rsidRPr="009B6B5E">
        <w:rPr>
          <w:lang w:val="en-US"/>
        </w:rPr>
        <w:t xml:space="preserve">Navigation is built around user tasks, not technical entities. </w:t>
      </w:r>
      <w:r w:rsidRPr="009B6B5E">
        <w:rPr>
          <w:b/>
          <w:bCs/>
          <w:lang w:val="en-US"/>
        </w:rPr>
        <w:t>Home</w:t>
      </w:r>
      <w:r w:rsidRPr="009B6B5E">
        <w:rPr>
          <w:lang w:val="en-US"/>
        </w:rPr>
        <w:t xml:space="preserve"> </w:t>
      </w:r>
      <w:r w:rsidR="009B6B5E">
        <w:rPr>
          <w:lang w:val="en-US"/>
        </w:rPr>
        <w:t>-</w:t>
      </w:r>
      <w:r w:rsidRPr="009B6B5E">
        <w:rPr>
          <w:lang w:val="en-US"/>
        </w:rPr>
        <w:t xml:space="preserve"> “how much I’ve earned.” </w:t>
      </w:r>
      <w:r w:rsidRPr="009B6B5E">
        <w:rPr>
          <w:b/>
          <w:bCs/>
          <w:lang w:val="en-US"/>
        </w:rPr>
        <w:t>Positions</w:t>
      </w:r>
      <w:r w:rsidRPr="009B6B5E">
        <w:rPr>
          <w:lang w:val="en-US"/>
        </w:rPr>
        <w:t xml:space="preserve"> </w:t>
      </w:r>
      <w:proofErr w:type="gramStart"/>
      <w:r w:rsidR="009B6B5E">
        <w:rPr>
          <w:lang w:val="en-US"/>
        </w:rPr>
        <w:t>-</w:t>
      </w:r>
      <w:r w:rsidRPr="009B6B5E">
        <w:rPr>
          <w:lang w:val="en-US"/>
        </w:rPr>
        <w:t>“</w:t>
      </w:r>
      <w:proofErr w:type="gramEnd"/>
      <w:r w:rsidRPr="009B6B5E">
        <w:rPr>
          <w:lang w:val="en-US"/>
        </w:rPr>
        <w:t xml:space="preserve">where my money is and what’s happening.” </w:t>
      </w:r>
      <w:r w:rsidRPr="009B6B5E">
        <w:rPr>
          <w:b/>
          <w:bCs/>
          <w:lang w:val="en-US"/>
        </w:rPr>
        <w:t>Resources</w:t>
      </w:r>
      <w:r w:rsidRPr="009B6B5E">
        <w:rPr>
          <w:lang w:val="en-US"/>
        </w:rPr>
        <w:t xml:space="preserve"> </w:t>
      </w:r>
      <w:r w:rsidR="009B6B5E">
        <w:rPr>
          <w:lang w:val="en-US"/>
        </w:rPr>
        <w:t>-</w:t>
      </w:r>
      <w:r w:rsidRPr="009B6B5E">
        <w:rPr>
          <w:lang w:val="en-US"/>
        </w:rPr>
        <w:t xml:space="preserve"> “why to trust.” </w:t>
      </w:r>
      <w:r w:rsidRPr="009B6B5E">
        <w:rPr>
          <w:b/>
          <w:bCs/>
          <w:lang w:val="en-US"/>
        </w:rPr>
        <w:t>Participate</w:t>
      </w:r>
      <w:r w:rsidRPr="009B6B5E">
        <w:rPr>
          <w:lang w:val="en-US"/>
        </w:rPr>
        <w:t xml:space="preserve"> </w:t>
      </w:r>
      <w:r w:rsidR="009B6B5E">
        <w:rPr>
          <w:lang w:val="en-US"/>
        </w:rPr>
        <w:t>-</w:t>
      </w:r>
      <w:r w:rsidRPr="009B6B5E">
        <w:rPr>
          <w:lang w:val="en-US"/>
        </w:rPr>
        <w:t xml:space="preserve"> “start or increase.”</w:t>
      </w:r>
    </w:p>
    <w:p w:rsidR="00344622" w:rsidRPr="009B6B5E" w:rsidRDefault="00000000">
      <w:pPr>
        <w:pStyle w:val="2"/>
        <w:rPr>
          <w:lang w:val="en-US"/>
        </w:rPr>
      </w:pPr>
      <w:r w:rsidRPr="009B6B5E">
        <w:rPr>
          <w:lang w:val="en-US"/>
        </w:rPr>
        <w:lastRenderedPageBreak/>
        <w:t>2. Auto-lock Toggle in the Purchase Flow</w:t>
      </w:r>
    </w:p>
    <w:p w:rsidR="00344622" w:rsidRPr="009B6B5E" w:rsidRDefault="00000000">
      <w:pPr>
        <w:spacing w:after="120"/>
        <w:rPr>
          <w:lang w:val="en-US"/>
        </w:rPr>
      </w:pPr>
      <w:r w:rsidRPr="009B6B5E">
        <w:rPr>
          <w:b/>
          <w:bCs/>
          <w:lang w:val="en-US"/>
        </w:rPr>
        <w:t xml:space="preserve">Problem: </w:t>
      </w:r>
      <w:r w:rsidRPr="009B6B5E">
        <w:rPr>
          <w:lang w:val="en-US"/>
        </w:rPr>
        <w:t>Purchasing and locking are separated. A Web2 user buys AYNI, doesn’t understand they then need to lock, and drops off. This is the primary cause of churn.</w:t>
      </w:r>
    </w:p>
    <w:p w:rsidR="00344622" w:rsidRPr="009B6B5E" w:rsidRDefault="00000000">
      <w:pPr>
        <w:spacing w:after="200"/>
        <w:rPr>
          <w:lang w:val="en-US"/>
        </w:rPr>
      </w:pPr>
      <w:r w:rsidRPr="009B6B5E">
        <w:rPr>
          <w:b/>
          <w:bCs/>
          <w:lang w:val="en-US"/>
        </w:rPr>
        <w:t xml:space="preserve">Solution: </w:t>
      </w:r>
      <w:r w:rsidRPr="009B6B5E">
        <w:rPr>
          <w:lang w:val="en-US"/>
        </w:rPr>
        <w:t>A “Buy and start earning” checkbox (ON by default) merges purchasing and locking into a single step. Reduces friction, increases conversion and TVL.</w:t>
      </w:r>
    </w:p>
    <w:p w:rsidR="00344622" w:rsidRPr="009B6B5E" w:rsidRDefault="00000000">
      <w:pPr>
        <w:pStyle w:val="2"/>
        <w:rPr>
          <w:lang w:val="en-US"/>
        </w:rPr>
      </w:pPr>
      <w:r w:rsidRPr="009B6B5E">
        <w:rPr>
          <w:lang w:val="en-US"/>
        </w:rPr>
        <w:t>3. Calculator with Projections on Participate</w:t>
      </w:r>
    </w:p>
    <w:p w:rsidR="00344622" w:rsidRPr="009B6B5E" w:rsidRDefault="00000000">
      <w:pPr>
        <w:spacing w:after="120"/>
        <w:rPr>
          <w:lang w:val="en-US"/>
        </w:rPr>
      </w:pPr>
      <w:r w:rsidRPr="009B6B5E">
        <w:rPr>
          <w:b/>
          <w:bCs/>
          <w:lang w:val="en-US"/>
        </w:rPr>
        <w:t xml:space="preserve">Problem: </w:t>
      </w:r>
      <w:r w:rsidRPr="009B6B5E">
        <w:rPr>
          <w:lang w:val="en-US"/>
        </w:rPr>
        <w:t>The product’s value is not obvious before participating. The user doesn’t understand how much they could receive.</w:t>
      </w:r>
    </w:p>
    <w:p w:rsidR="00344622" w:rsidRPr="009B6B5E" w:rsidRDefault="00000000">
      <w:pPr>
        <w:spacing w:after="200"/>
        <w:rPr>
          <w:lang w:val="en-US"/>
        </w:rPr>
      </w:pPr>
      <w:r w:rsidRPr="009B6B5E">
        <w:rPr>
          <w:b/>
          <w:bCs/>
          <w:lang w:val="en-US"/>
        </w:rPr>
        <w:t xml:space="preserve">Solution: </w:t>
      </w:r>
      <w:r w:rsidRPr="009B6B5E">
        <w:rPr>
          <w:lang w:val="en-US"/>
        </w:rPr>
        <w:t xml:space="preserve">An interactive calculator with amount and term sliders. Displays a projection range (conservative / base / optimistic). For amounts &gt;$5k </w:t>
      </w:r>
      <w:r w:rsidR="009B6B5E">
        <w:rPr>
          <w:lang w:val="en-US"/>
        </w:rPr>
        <w:t>-</w:t>
      </w:r>
      <w:r w:rsidRPr="009B6B5E">
        <w:rPr>
          <w:lang w:val="en-US"/>
        </w:rPr>
        <w:t xml:space="preserve"> redirect to OTC channel.</w:t>
      </w:r>
    </w:p>
    <w:p w:rsidR="00344622" w:rsidRPr="009B6B5E" w:rsidRDefault="00000000">
      <w:pPr>
        <w:pStyle w:val="2"/>
        <w:rPr>
          <w:lang w:val="en-US"/>
        </w:rPr>
      </w:pPr>
      <w:r w:rsidRPr="009B6B5E">
        <w:rPr>
          <w:lang w:val="en-US"/>
        </w:rPr>
        <w:t>4. Resources Instead of Scattered Trust Pages</w:t>
      </w:r>
    </w:p>
    <w:p w:rsidR="00344622" w:rsidRPr="009B6B5E" w:rsidRDefault="00000000">
      <w:pPr>
        <w:spacing w:after="120"/>
        <w:rPr>
          <w:lang w:val="en-US"/>
        </w:rPr>
      </w:pPr>
      <w:r w:rsidRPr="009B6B5E">
        <w:rPr>
          <w:b/>
          <w:bCs/>
          <w:lang w:val="en-US"/>
        </w:rPr>
        <w:t xml:space="preserve">Problem: </w:t>
      </w:r>
      <w:r w:rsidRPr="009B6B5E">
        <w:rPr>
          <w:lang w:val="en-US"/>
        </w:rPr>
        <w:t>Trust documents (Scoping Study, audits, licenses) are scattered across the site. An HNW user cannot quickly verify the project.</w:t>
      </w:r>
    </w:p>
    <w:p w:rsidR="00344622" w:rsidRPr="009B6B5E" w:rsidRDefault="00000000">
      <w:pPr>
        <w:spacing w:after="200"/>
        <w:rPr>
          <w:lang w:val="en-US"/>
        </w:rPr>
      </w:pPr>
      <w:r w:rsidRPr="009B6B5E">
        <w:rPr>
          <w:b/>
          <w:bCs/>
          <w:lang w:val="en-US"/>
        </w:rPr>
        <w:t xml:space="preserve">Solution: </w:t>
      </w:r>
      <w:r w:rsidRPr="009B6B5E">
        <w:rPr>
          <w:lang w:val="en-US"/>
        </w:rPr>
        <w:t xml:space="preserve">A unified Resources section with three sub-sections: Learn (education), Trust &amp; Transparency (verification), </w:t>
      </w:r>
      <w:proofErr w:type="spellStart"/>
      <w:r w:rsidRPr="009B6B5E">
        <w:rPr>
          <w:lang w:val="en-US"/>
        </w:rPr>
        <w:t>Tokenomics</w:t>
      </w:r>
      <w:proofErr w:type="spellEnd"/>
      <w:r w:rsidRPr="009B6B5E">
        <w:rPr>
          <w:lang w:val="en-US"/>
        </w:rPr>
        <w:t xml:space="preserve"> (token economics). Everything in one place, structured by depth of detail.</w:t>
      </w:r>
    </w:p>
    <w:p w:rsidR="00344622" w:rsidRPr="009B6B5E" w:rsidRDefault="00000000">
      <w:pPr>
        <w:pStyle w:val="2"/>
        <w:rPr>
          <w:lang w:val="en-US"/>
        </w:rPr>
      </w:pPr>
      <w:r w:rsidRPr="009B6B5E">
        <w:rPr>
          <w:lang w:val="en-US"/>
        </w:rPr>
        <w:t>5. Compliance-Safe Terminology</w:t>
      </w:r>
    </w:p>
    <w:p w:rsidR="00344622" w:rsidRPr="009B6B5E" w:rsidRDefault="00000000">
      <w:pPr>
        <w:spacing w:after="120"/>
        <w:rPr>
          <w:lang w:val="en-US"/>
        </w:rPr>
      </w:pPr>
      <w:r w:rsidRPr="009B6B5E">
        <w:rPr>
          <w:b/>
          <w:bCs/>
          <w:lang w:val="en-US"/>
        </w:rPr>
        <w:t xml:space="preserve">Problem: </w:t>
      </w:r>
      <w:r w:rsidRPr="009B6B5E">
        <w:rPr>
          <w:lang w:val="en-US"/>
        </w:rPr>
        <w:t>Using terms like “invest,” “staking,” “rewards,” and “portfolio” creates legal risk (securities classification).</w:t>
      </w:r>
    </w:p>
    <w:p w:rsidR="00344622" w:rsidRPr="009B6B5E" w:rsidRDefault="00000000">
      <w:pPr>
        <w:spacing w:after="200"/>
        <w:rPr>
          <w:lang w:val="en-US"/>
        </w:rPr>
      </w:pPr>
      <w:r w:rsidRPr="009B6B5E">
        <w:rPr>
          <w:b/>
          <w:bCs/>
          <w:lang w:val="en-US"/>
        </w:rPr>
        <w:t xml:space="preserve">Solution: </w:t>
      </w:r>
      <w:r w:rsidRPr="009B6B5E">
        <w:rPr>
          <w:lang w:val="en-US"/>
        </w:rPr>
        <w:t xml:space="preserve">All terminology has been replaced: participate instead of invest, positions instead of portfolio, distributions instead of rewards. This is not a stylistic choice </w:t>
      </w:r>
      <w:r w:rsidR="009B6B5E">
        <w:rPr>
          <w:lang w:val="en-US"/>
        </w:rPr>
        <w:t>-</w:t>
      </w:r>
      <w:r w:rsidRPr="009B6B5E">
        <w:rPr>
          <w:lang w:val="en-US"/>
        </w:rPr>
        <w:t>it is compliance.</w:t>
      </w:r>
    </w:p>
    <w:p w:rsidR="00344622" w:rsidRPr="009B6B5E" w:rsidRDefault="00000000">
      <w:pPr>
        <w:pStyle w:val="2"/>
        <w:rPr>
          <w:lang w:val="en-US"/>
        </w:rPr>
      </w:pPr>
      <w:r w:rsidRPr="009B6B5E">
        <w:rPr>
          <w:lang w:val="en-US"/>
        </w:rPr>
        <w:t>6. Visual Transition: Dark Crypto → Light Fintech?</w:t>
      </w:r>
    </w:p>
    <w:p w:rsidR="00344622" w:rsidRPr="009B6B5E" w:rsidRDefault="00000000">
      <w:pPr>
        <w:spacing w:after="200"/>
        <w:rPr>
          <w:lang w:val="en-US"/>
        </w:rPr>
      </w:pPr>
      <w:r w:rsidRPr="009B6B5E">
        <w:rPr>
          <w:b/>
          <w:bCs/>
          <w:lang w:val="en-US"/>
        </w:rPr>
        <w:t>Requires design exploration</w:t>
      </w:r>
    </w:p>
    <w:p w:rsidR="00344622" w:rsidRPr="009B6B5E" w:rsidRDefault="00344622">
      <w:pPr>
        <w:spacing w:after="200"/>
        <w:rPr>
          <w:lang w:val="en-US"/>
        </w:rPr>
      </w:pPr>
    </w:p>
    <w:p w:rsidR="00344622" w:rsidRPr="009B6B5E" w:rsidRDefault="00000000">
      <w:pPr>
        <w:pBdr>
          <w:top w:val="single" w:sz="3" w:space="8" w:color="C9A84C"/>
        </w:pBdr>
        <w:spacing w:before="200"/>
        <w:rPr>
          <w:lang w:val="en-US"/>
        </w:rPr>
      </w:pPr>
      <w:r w:rsidRPr="009B6B5E">
        <w:rPr>
          <w:i/>
          <w:iCs/>
          <w:color w:val="6B7280"/>
          <w:sz w:val="20"/>
          <w:szCs w:val="20"/>
          <w:lang w:val="en-US"/>
        </w:rPr>
        <w:t xml:space="preserve">Mikhail Lesik, </w:t>
      </w:r>
      <w:proofErr w:type="gramStart"/>
      <w:r w:rsidRPr="009B6B5E">
        <w:rPr>
          <w:i/>
          <w:iCs/>
          <w:color w:val="6B7280"/>
          <w:sz w:val="20"/>
          <w:szCs w:val="20"/>
          <w:lang w:val="en-US"/>
        </w:rPr>
        <w:t>CPO  ·</w:t>
      </w:r>
      <w:proofErr w:type="gramEnd"/>
      <w:r w:rsidRPr="009B6B5E">
        <w:rPr>
          <w:i/>
          <w:iCs/>
          <w:color w:val="6B7280"/>
          <w:sz w:val="20"/>
          <w:szCs w:val="20"/>
          <w:lang w:val="en-US"/>
        </w:rPr>
        <w:t xml:space="preserve">  AYNI </w:t>
      </w:r>
      <w:proofErr w:type="gramStart"/>
      <w:r w:rsidRPr="009B6B5E">
        <w:rPr>
          <w:i/>
          <w:iCs/>
          <w:color w:val="6B7280"/>
          <w:sz w:val="20"/>
          <w:szCs w:val="20"/>
          <w:lang w:val="en-US"/>
        </w:rPr>
        <w:t xml:space="preserve">Gold </w:t>
      </w:r>
      <w:proofErr w:type="gramEnd"/>
    </w:p>
    <w:sectPr w:rsidR="00344622" w:rsidRPr="009B6B5E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Inter">
    <w:altName w:val="Cambria"/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M Serif Display">
    <w:panose1 w:val="00000000000000000000"/>
    <w:charset w:val="00"/>
    <w:family w:val="auto"/>
    <w:pitch w:val="variable"/>
    <w:sig w:usb0="8000006F" w:usb1="000000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081057"/>
    <w:multiLevelType w:val="hybridMultilevel"/>
    <w:tmpl w:val="24402340"/>
    <w:lvl w:ilvl="0" w:tplc="B220106C">
      <w:start w:val="1"/>
      <w:numFmt w:val="bullet"/>
      <w:lvlText w:val="•"/>
      <w:lvlJc w:val="left"/>
      <w:pPr>
        <w:ind w:left="720" w:hanging="360"/>
      </w:pPr>
    </w:lvl>
    <w:lvl w:ilvl="1" w:tplc="77C66ADE">
      <w:numFmt w:val="decimal"/>
      <w:lvlText w:val=""/>
      <w:lvlJc w:val="left"/>
    </w:lvl>
    <w:lvl w:ilvl="2" w:tplc="3FB213AC">
      <w:numFmt w:val="decimal"/>
      <w:lvlText w:val=""/>
      <w:lvlJc w:val="left"/>
    </w:lvl>
    <w:lvl w:ilvl="3" w:tplc="04AE097E">
      <w:numFmt w:val="decimal"/>
      <w:lvlText w:val=""/>
      <w:lvlJc w:val="left"/>
    </w:lvl>
    <w:lvl w:ilvl="4" w:tplc="A65CAFAC">
      <w:numFmt w:val="decimal"/>
      <w:lvlText w:val=""/>
      <w:lvlJc w:val="left"/>
    </w:lvl>
    <w:lvl w:ilvl="5" w:tplc="D53A99AA">
      <w:numFmt w:val="decimal"/>
      <w:lvlText w:val=""/>
      <w:lvlJc w:val="left"/>
    </w:lvl>
    <w:lvl w:ilvl="6" w:tplc="9222C344">
      <w:numFmt w:val="decimal"/>
      <w:lvlText w:val=""/>
      <w:lvlJc w:val="left"/>
    </w:lvl>
    <w:lvl w:ilvl="7" w:tplc="821AC072">
      <w:numFmt w:val="decimal"/>
      <w:lvlText w:val=""/>
      <w:lvlJc w:val="left"/>
    </w:lvl>
    <w:lvl w:ilvl="8" w:tplc="496E4E2A">
      <w:numFmt w:val="decimal"/>
      <w:lvlText w:val=""/>
      <w:lvlJc w:val="left"/>
    </w:lvl>
  </w:abstractNum>
  <w:abstractNum w:abstractNumId="1" w15:restartNumberingAfterBreak="0">
    <w:nsid w:val="3F914CED"/>
    <w:multiLevelType w:val="hybridMultilevel"/>
    <w:tmpl w:val="EF22901E"/>
    <w:lvl w:ilvl="0" w:tplc="40C05282">
      <w:start w:val="1"/>
      <w:numFmt w:val="bullet"/>
      <w:lvlText w:val="●"/>
      <w:lvlJc w:val="left"/>
      <w:pPr>
        <w:ind w:left="720" w:hanging="360"/>
      </w:pPr>
    </w:lvl>
    <w:lvl w:ilvl="1" w:tplc="C382F9AE">
      <w:start w:val="1"/>
      <w:numFmt w:val="bullet"/>
      <w:lvlText w:val="○"/>
      <w:lvlJc w:val="left"/>
      <w:pPr>
        <w:ind w:left="1440" w:hanging="360"/>
      </w:pPr>
    </w:lvl>
    <w:lvl w:ilvl="2" w:tplc="38743ED0">
      <w:start w:val="1"/>
      <w:numFmt w:val="bullet"/>
      <w:lvlText w:val="■"/>
      <w:lvlJc w:val="left"/>
      <w:pPr>
        <w:ind w:left="2160" w:hanging="360"/>
      </w:pPr>
    </w:lvl>
    <w:lvl w:ilvl="3" w:tplc="05307ACC">
      <w:start w:val="1"/>
      <w:numFmt w:val="bullet"/>
      <w:lvlText w:val="●"/>
      <w:lvlJc w:val="left"/>
      <w:pPr>
        <w:ind w:left="2880" w:hanging="360"/>
      </w:pPr>
    </w:lvl>
    <w:lvl w:ilvl="4" w:tplc="8A4AB5F6">
      <w:start w:val="1"/>
      <w:numFmt w:val="bullet"/>
      <w:lvlText w:val="○"/>
      <w:lvlJc w:val="left"/>
      <w:pPr>
        <w:ind w:left="3600" w:hanging="360"/>
      </w:pPr>
    </w:lvl>
    <w:lvl w:ilvl="5" w:tplc="4F62C34E">
      <w:start w:val="1"/>
      <w:numFmt w:val="bullet"/>
      <w:lvlText w:val="■"/>
      <w:lvlJc w:val="left"/>
      <w:pPr>
        <w:ind w:left="4320" w:hanging="360"/>
      </w:pPr>
    </w:lvl>
    <w:lvl w:ilvl="6" w:tplc="0F885A2E">
      <w:start w:val="1"/>
      <w:numFmt w:val="bullet"/>
      <w:lvlText w:val="●"/>
      <w:lvlJc w:val="left"/>
      <w:pPr>
        <w:ind w:left="5040" w:hanging="360"/>
      </w:pPr>
    </w:lvl>
    <w:lvl w:ilvl="7" w:tplc="317240B2">
      <w:start w:val="1"/>
      <w:numFmt w:val="bullet"/>
      <w:lvlText w:val="●"/>
      <w:lvlJc w:val="left"/>
      <w:pPr>
        <w:ind w:left="5760" w:hanging="360"/>
      </w:pPr>
    </w:lvl>
    <w:lvl w:ilvl="8" w:tplc="7C00B04C">
      <w:start w:val="1"/>
      <w:numFmt w:val="bullet"/>
      <w:lvlText w:val="●"/>
      <w:lvlJc w:val="left"/>
      <w:pPr>
        <w:ind w:left="6480" w:hanging="360"/>
      </w:pPr>
    </w:lvl>
  </w:abstractNum>
  <w:num w:numId="1" w16cid:durableId="1015771683">
    <w:abstractNumId w:val="1"/>
    <w:lvlOverride w:ilvl="0">
      <w:startOverride w:val="1"/>
    </w:lvlOverride>
  </w:num>
  <w:num w:numId="2" w16cid:durableId="12656540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4622"/>
    <w:rsid w:val="00344622"/>
    <w:rsid w:val="003D039F"/>
    <w:rsid w:val="009B6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7A583BC"/>
  <w15:docId w15:val="{BD328BE5-BD25-1047-BEA1-70AA23F0E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eastAsia="Inter" w:hAnsi="Inter" w:cs="Inter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pBdr>
        <w:bottom w:val="single" w:sz="4" w:space="6" w:color="C9A84C"/>
      </w:pBdr>
      <w:spacing w:before="360" w:after="200"/>
      <w:outlineLvl w:val="0"/>
    </w:pPr>
    <w:rPr>
      <w:b/>
      <w:bCs/>
      <w:color w:val="1B3A4B"/>
      <w:sz w:val="28"/>
      <w:szCs w:val="28"/>
    </w:rPr>
  </w:style>
  <w:style w:type="paragraph" w:styleId="2">
    <w:name w:val="heading 2"/>
    <w:uiPriority w:val="9"/>
    <w:unhideWhenUsed/>
    <w:qFormat/>
    <w:pPr>
      <w:spacing w:before="280" w:after="120"/>
      <w:outlineLvl w:val="1"/>
    </w:pPr>
    <w:rPr>
      <w:b/>
      <w:bCs/>
      <w:color w:val="1B3A4B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516</Words>
  <Characters>2947</Characters>
  <Application>Microsoft Office Word</Application>
  <DocSecurity>0</DocSecurity>
  <Lines>24</Lines>
  <Paragraphs>6</Paragraphs>
  <ScaleCrop>false</ScaleCrop>
  <Company/>
  <LinksUpToDate>false</LinksUpToDate>
  <CharactersWithSpaces>3457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Office User</cp:lastModifiedBy>
  <cp:revision>2</cp:revision>
  <dcterms:created xsi:type="dcterms:W3CDTF">2026-03-09T10:59:00Z</dcterms:created>
  <dcterms:modified xsi:type="dcterms:W3CDTF">2026-03-09T11:32:00Z</dcterms:modified>
</cp:coreProperties>
</file>