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3EA6" w:rsidRPr="006B1157" w:rsidRDefault="00000000">
      <w:pPr>
        <w:spacing w:after="80"/>
        <w:rPr>
          <w:lang w:val="en-US"/>
        </w:rPr>
      </w:pPr>
      <w:r w:rsidRPr="006B1157">
        <w:rPr>
          <w:rFonts w:ascii="DM Serif Display" w:eastAsia="DM Serif Display" w:hAnsi="DM Serif Display" w:cs="DM Serif Display"/>
          <w:b/>
          <w:bCs/>
          <w:color w:val="1B3A4B"/>
          <w:sz w:val="48"/>
          <w:szCs w:val="48"/>
          <w:lang w:val="en-US"/>
        </w:rPr>
        <w:t>AYNI GOLD</w:t>
      </w:r>
    </w:p>
    <w:p w:rsidR="001B3EA6" w:rsidRPr="006B1157" w:rsidRDefault="00000000">
      <w:pPr>
        <w:spacing w:after="40"/>
        <w:rPr>
          <w:lang w:val="en-US"/>
        </w:rPr>
      </w:pPr>
      <w:r w:rsidRPr="006B1157">
        <w:rPr>
          <w:b/>
          <w:bCs/>
          <w:color w:val="C9A84C"/>
          <w:sz w:val="28"/>
          <w:szCs w:val="28"/>
          <w:lang w:val="en-US"/>
        </w:rPr>
        <w:t>Product Vision &amp; Prototype Rationale</w:t>
      </w:r>
    </w:p>
    <w:p w:rsidR="001B3EA6" w:rsidRDefault="00000000">
      <w:pPr>
        <w:pBdr>
          <w:bottom w:val="single" w:sz="6" w:space="8" w:color="C9A84C"/>
        </w:pBdr>
        <w:spacing w:after="400"/>
      </w:pPr>
      <w:r>
        <w:rPr>
          <w:color w:val="6B7280"/>
          <w:sz w:val="20"/>
          <w:szCs w:val="20"/>
        </w:rPr>
        <w:t xml:space="preserve">Внутренний </w:t>
      </w:r>
      <w:proofErr w:type="gramStart"/>
      <w:r>
        <w:rPr>
          <w:color w:val="6B7280"/>
          <w:sz w:val="20"/>
          <w:szCs w:val="20"/>
        </w:rPr>
        <w:t>документ  ·</w:t>
      </w:r>
      <w:proofErr w:type="gramEnd"/>
      <w:r>
        <w:rPr>
          <w:color w:val="6B7280"/>
          <w:sz w:val="20"/>
          <w:szCs w:val="20"/>
        </w:rPr>
        <w:t xml:space="preserve">  </w:t>
      </w:r>
      <w:proofErr w:type="gramStart"/>
      <w:r>
        <w:rPr>
          <w:color w:val="6B7280"/>
          <w:sz w:val="20"/>
          <w:szCs w:val="20"/>
        </w:rPr>
        <w:t>CPO  ·</w:t>
      </w:r>
      <w:proofErr w:type="gramEnd"/>
      <w:r>
        <w:rPr>
          <w:color w:val="6B7280"/>
          <w:sz w:val="20"/>
          <w:szCs w:val="20"/>
        </w:rPr>
        <w:t xml:space="preserve">  Март 2026</w:t>
      </w:r>
    </w:p>
    <w:p w:rsidR="001B3EA6" w:rsidRDefault="00000000">
      <w:pPr>
        <w:pStyle w:val="1"/>
      </w:pPr>
      <w:r>
        <w:t>Зачем этот документ</w:t>
      </w:r>
    </w:p>
    <w:p w:rsidR="001B3EA6" w:rsidRDefault="00000000">
      <w:pPr>
        <w:spacing w:after="200"/>
      </w:pPr>
      <w:r>
        <w:t xml:space="preserve">Этот документ описывает продуктовое видение, логику ключевых решений в прототипе и роль прототипа в рабочем процессе. Цель </w:t>
      </w:r>
      <w:r w:rsidR="00A363A0">
        <w:t>-</w:t>
      </w:r>
      <w:r>
        <w:t xml:space="preserve"> дать команде единый контекст для обсуждений и реализации.</w:t>
      </w:r>
    </w:p>
    <w:p w:rsidR="001B3EA6" w:rsidRDefault="00000000">
      <w:pPr>
        <w:pStyle w:val="1"/>
      </w:pPr>
      <w:r>
        <w:t>Роль прототипа</w:t>
      </w:r>
    </w:p>
    <w:p w:rsidR="001B3EA6" w:rsidRDefault="00000000">
      <w:pPr>
        <w:spacing w:after="160"/>
      </w:pPr>
      <w:r>
        <w:t>Прототип (</w:t>
      </w:r>
      <w:r>
        <w:rPr>
          <w:b/>
          <w:bCs/>
        </w:rPr>
        <w:t>ayni-app.pages.dev</w:t>
      </w:r>
      <w:r>
        <w:t xml:space="preserve">) — это </w:t>
      </w:r>
      <w:r>
        <w:rPr>
          <w:b/>
          <w:bCs/>
        </w:rPr>
        <w:t>продуктовая спецификация</w:t>
      </w:r>
      <w:r>
        <w:t>, а не финальный дизайн. Он фиксирует:</w:t>
      </w:r>
    </w:p>
    <w:p w:rsidR="001B3EA6" w:rsidRDefault="00000000">
      <w:pPr>
        <w:pStyle w:val="a4"/>
        <w:numPr>
          <w:ilvl w:val="0"/>
          <w:numId w:val="2"/>
        </w:numPr>
        <w:spacing w:after="80"/>
      </w:pPr>
      <w:r>
        <w:t>Структуру приложения и навигацию</w:t>
      </w:r>
    </w:p>
    <w:p w:rsidR="001B3EA6" w:rsidRDefault="00000000">
      <w:pPr>
        <w:pStyle w:val="a4"/>
        <w:numPr>
          <w:ilvl w:val="0"/>
          <w:numId w:val="2"/>
        </w:numPr>
        <w:spacing w:after="80"/>
      </w:pPr>
      <w:r>
        <w:t>Набор экранов и их иерархию</w:t>
      </w:r>
    </w:p>
    <w:p w:rsidR="001B3EA6" w:rsidRDefault="00000000">
      <w:pPr>
        <w:pStyle w:val="a4"/>
        <w:numPr>
          <w:ilvl w:val="0"/>
          <w:numId w:val="2"/>
        </w:numPr>
        <w:spacing w:after="80"/>
      </w:pPr>
      <w:r>
        <w:t>Пользовательские сценарии (flows) от первого визита до реинвестирования</w:t>
      </w:r>
    </w:p>
    <w:p w:rsidR="001B3EA6" w:rsidRDefault="00000000">
      <w:pPr>
        <w:pStyle w:val="a4"/>
        <w:numPr>
          <w:ilvl w:val="0"/>
          <w:numId w:val="2"/>
        </w:numPr>
        <w:spacing w:after="80"/>
      </w:pPr>
      <w:r>
        <w:t>Полный бэклог в реализованном виде</w:t>
      </w:r>
    </w:p>
    <w:p w:rsidR="001B3EA6" w:rsidRDefault="00000000">
      <w:pPr>
        <w:spacing w:after="200"/>
      </w:pPr>
      <w:r>
        <w:t xml:space="preserve">Прототип — это </w:t>
      </w:r>
      <w:r>
        <w:rPr>
          <w:b/>
          <w:bCs/>
          <w:i/>
          <w:iCs/>
        </w:rPr>
        <w:t>baseline</w:t>
      </w:r>
      <w:r>
        <w:t>, от которого команда дизайна адаптирует, улучшает и решает UX-задачи. Но в рамках этой структуры, а не параллельно.</w:t>
      </w:r>
    </w:p>
    <w:p w:rsidR="001B3EA6" w:rsidRDefault="00000000">
      <w:pPr>
        <w:pStyle w:val="1"/>
      </w:pPr>
      <w:r>
        <w:t>Продуктовое видение</w:t>
      </w:r>
    </w:p>
    <w:p w:rsidR="001B3EA6" w:rsidRDefault="00000000">
      <w:pPr>
        <w:pStyle w:val="2"/>
      </w:pPr>
      <w:r>
        <w:t>Целевая аудитория</w:t>
      </w:r>
    </w:p>
    <w:p w:rsidR="001B3EA6" w:rsidRDefault="00000000">
      <w:pPr>
        <w:spacing w:after="120"/>
      </w:pPr>
      <w:r>
        <w:rPr>
          <w:b/>
          <w:bCs/>
        </w:rPr>
        <w:t xml:space="preserve">Первичная: </w:t>
      </w:r>
      <w:r>
        <w:t>Web2-аудитория с чеками $10k+ (финансовые директора, HNW-инвесторы). Люди, которые привыкли к private banking, а не к DeFi-интерфейсам.</w:t>
      </w:r>
    </w:p>
    <w:p w:rsidR="001B3EA6" w:rsidRDefault="00000000">
      <w:pPr>
        <w:spacing w:after="200"/>
      </w:pPr>
      <w:r>
        <w:rPr>
          <w:b/>
          <w:bCs/>
        </w:rPr>
        <w:t xml:space="preserve">Вторичная: </w:t>
      </w:r>
      <w:r>
        <w:t xml:space="preserve">Web3-пользователи (ритейл). Продукт должен проходить проверку Web3-глазами, но </w:t>
      </w:r>
      <w:proofErr w:type="gramStart"/>
      <w:r>
        <w:t>упаковка  финтех</w:t>
      </w:r>
      <w:proofErr w:type="gramEnd"/>
      <w:r>
        <w:t>, а не крипто.</w:t>
      </w:r>
    </w:p>
    <w:p w:rsidR="001B3EA6" w:rsidRDefault="00000000">
      <w:pPr>
        <w:pStyle w:val="2"/>
      </w:pPr>
      <w:r>
        <w:t>Ключевой принцип: доверие через простоту</w:t>
      </w:r>
    </w:p>
    <w:p w:rsidR="001B3EA6" w:rsidRDefault="00000000">
      <w:pPr>
        <w:spacing w:after="120"/>
      </w:pPr>
      <w:r>
        <w:t xml:space="preserve">Наша аудитория — не крипто-энтузиасты. Для них криптовалюта </w:t>
      </w:r>
      <w:r w:rsidR="00D66E23">
        <w:t xml:space="preserve">это </w:t>
      </w:r>
      <w:r>
        <w:t xml:space="preserve">средство, а не самоцель. Каждый элемент интерфейса должен отвечать на вопрос: </w:t>
      </w:r>
      <w:r>
        <w:rPr>
          <w:i/>
          <w:iCs/>
        </w:rPr>
        <w:t>«Почему я должен доверять этому продукту?»</w:t>
      </w:r>
    </w:p>
    <w:p w:rsidR="001B3EA6" w:rsidRDefault="00000000">
      <w:pPr>
        <w:spacing w:after="200"/>
      </w:pPr>
      <w:r>
        <w:t xml:space="preserve">Это определяет все решения: от визуального языка (светлый, финтех, Swiss-banking) до информационной архитектуры (числа консистентны, данные </w:t>
      </w:r>
      <w:r w:rsidR="00A363A0">
        <w:t>-</w:t>
      </w:r>
      <w:r>
        <w:t xml:space="preserve"> прозрачны, on-chain ссылки </w:t>
      </w:r>
      <w:r w:rsidR="00A363A0">
        <w:t>-</w:t>
      </w:r>
      <w:r>
        <w:t xml:space="preserve"> доступны).</w:t>
      </w:r>
    </w:p>
    <w:p w:rsidR="001B3EA6" w:rsidRDefault="00000000">
      <w:pPr>
        <w:pStyle w:val="1"/>
      </w:pPr>
      <w:r>
        <w:t>Логика ключевых решений</w:t>
      </w:r>
    </w:p>
    <w:p w:rsidR="001B3EA6" w:rsidRDefault="00000000">
      <w:pPr>
        <w:pStyle w:val="2"/>
      </w:pPr>
      <w:r>
        <w:t>1. Структура навигации: Home → Positions → Resources → Participate</w:t>
      </w:r>
    </w:p>
    <w:p w:rsidR="001B3EA6" w:rsidRDefault="00000000">
      <w:pPr>
        <w:spacing w:after="120"/>
      </w:pPr>
      <w:r>
        <w:rPr>
          <w:b/>
          <w:bCs/>
        </w:rPr>
        <w:t xml:space="preserve">Проблема: </w:t>
      </w:r>
      <w:r>
        <w:t>Текущая структура унаследована от крипто-платформ (Wallets, Staking, Swap). Для Web2-пользователя это нечитаемо.</w:t>
      </w:r>
    </w:p>
    <w:p w:rsidR="001B3EA6" w:rsidRPr="006B1157" w:rsidRDefault="00000000">
      <w:pPr>
        <w:spacing w:after="200"/>
        <w:rPr>
          <w:lang w:val="en-US"/>
        </w:rPr>
      </w:pPr>
      <w:r>
        <w:rPr>
          <w:b/>
          <w:bCs/>
        </w:rPr>
        <w:lastRenderedPageBreak/>
        <w:t xml:space="preserve">Решение: </w:t>
      </w:r>
      <w:r>
        <w:t xml:space="preserve">Навигация строится вокруг пользовательских задач, а не технических сущностей. </w:t>
      </w:r>
      <w:r>
        <w:rPr>
          <w:b/>
          <w:bCs/>
        </w:rPr>
        <w:t>Home</w:t>
      </w:r>
      <w:r>
        <w:t xml:space="preserve"> </w:t>
      </w:r>
      <w:r w:rsidR="00D66E23">
        <w:t xml:space="preserve">- </w:t>
      </w:r>
      <w:r>
        <w:t xml:space="preserve">«сколько я заработал». </w:t>
      </w:r>
      <w:r>
        <w:rPr>
          <w:b/>
          <w:bCs/>
        </w:rPr>
        <w:t>Positions</w:t>
      </w:r>
      <w:r>
        <w:t xml:space="preserve"> </w:t>
      </w:r>
      <w:r w:rsidR="00D66E23">
        <w:t>-</w:t>
      </w:r>
      <w:r>
        <w:t xml:space="preserve"> «куда вложено и что происходит». </w:t>
      </w:r>
      <w:r w:rsidRPr="006B1157">
        <w:rPr>
          <w:b/>
          <w:bCs/>
          <w:lang w:val="en-US"/>
        </w:rPr>
        <w:t>Resources</w:t>
      </w:r>
      <w:r w:rsidRPr="006B1157">
        <w:rPr>
          <w:lang w:val="en-US"/>
        </w:rPr>
        <w:t xml:space="preserve"> </w:t>
      </w:r>
      <w:r w:rsidR="00D66E23" w:rsidRPr="00A363A0">
        <w:rPr>
          <w:lang w:val="en-US"/>
        </w:rPr>
        <w:t>-</w:t>
      </w:r>
      <w:r w:rsidRPr="006B1157">
        <w:rPr>
          <w:lang w:val="en-US"/>
        </w:rPr>
        <w:t xml:space="preserve"> «</w:t>
      </w:r>
      <w:r>
        <w:t>почему</w:t>
      </w:r>
      <w:r w:rsidRPr="006B1157">
        <w:rPr>
          <w:lang w:val="en-US"/>
        </w:rPr>
        <w:t xml:space="preserve"> </w:t>
      </w:r>
      <w:r>
        <w:t>доверять</w:t>
      </w:r>
      <w:r w:rsidRPr="006B1157">
        <w:rPr>
          <w:lang w:val="en-US"/>
        </w:rPr>
        <w:t xml:space="preserve">». </w:t>
      </w:r>
      <w:r w:rsidRPr="006B1157">
        <w:rPr>
          <w:b/>
          <w:bCs/>
          <w:lang w:val="en-US"/>
        </w:rPr>
        <w:t>Participate</w:t>
      </w:r>
      <w:r w:rsidRPr="006B1157">
        <w:rPr>
          <w:lang w:val="en-US"/>
        </w:rPr>
        <w:t xml:space="preserve"> </w:t>
      </w:r>
      <w:r w:rsidR="00D66E23" w:rsidRPr="00A363A0">
        <w:rPr>
          <w:lang w:val="en-US"/>
        </w:rPr>
        <w:t>-</w:t>
      </w:r>
      <w:r w:rsidRPr="006B1157">
        <w:rPr>
          <w:lang w:val="en-US"/>
        </w:rPr>
        <w:t xml:space="preserve"> «</w:t>
      </w:r>
      <w:r>
        <w:t>начать</w:t>
      </w:r>
      <w:r w:rsidRPr="006B1157">
        <w:rPr>
          <w:lang w:val="en-US"/>
        </w:rPr>
        <w:t>/</w:t>
      </w:r>
      <w:r>
        <w:t>увеличить</w:t>
      </w:r>
      <w:r w:rsidRPr="006B1157">
        <w:rPr>
          <w:lang w:val="en-US"/>
        </w:rPr>
        <w:t>».</w:t>
      </w:r>
    </w:p>
    <w:p w:rsidR="001B3EA6" w:rsidRPr="006B1157" w:rsidRDefault="00000000">
      <w:pPr>
        <w:pStyle w:val="2"/>
        <w:rPr>
          <w:lang w:val="en-US"/>
        </w:rPr>
      </w:pPr>
      <w:r w:rsidRPr="006B1157">
        <w:rPr>
          <w:lang w:val="en-US"/>
        </w:rPr>
        <w:t xml:space="preserve">2. Auto-stake toggle </w:t>
      </w:r>
      <w:r>
        <w:t>в</w:t>
      </w:r>
      <w:r w:rsidRPr="006B1157">
        <w:rPr>
          <w:lang w:val="en-US"/>
        </w:rPr>
        <w:t xml:space="preserve"> Purchase flow</w:t>
      </w:r>
    </w:p>
    <w:p w:rsidR="001B3EA6" w:rsidRDefault="00000000">
      <w:pPr>
        <w:spacing w:after="120"/>
      </w:pPr>
      <w:r>
        <w:rPr>
          <w:b/>
          <w:bCs/>
        </w:rPr>
        <w:t xml:space="preserve">Проблема: </w:t>
      </w:r>
      <w:r>
        <w:t>Покупка и стейкинг разделены. Web2-пользователь покупает AYNI, не понимает, что дальше нужно стейкать, и уходит. Это главная причина drop-off.</w:t>
      </w:r>
    </w:p>
    <w:p w:rsidR="001B3EA6" w:rsidRDefault="00000000">
      <w:pPr>
        <w:spacing w:after="200"/>
      </w:pPr>
      <w:r>
        <w:rPr>
          <w:b/>
          <w:bCs/>
        </w:rPr>
        <w:t xml:space="preserve">Решение: </w:t>
      </w:r>
      <w:r>
        <w:t>Checkbox «Buy and start earning» (ON по умолчанию) объединяет покупку и стейкинг в один шаг. Снижает количество действий, повышает conversion и TVL.</w:t>
      </w:r>
    </w:p>
    <w:p w:rsidR="001B3EA6" w:rsidRDefault="00000000">
      <w:pPr>
        <w:pStyle w:val="2"/>
      </w:pPr>
      <w:r>
        <w:t>3. Калькулятор с проекциями на Participate</w:t>
      </w:r>
    </w:p>
    <w:p w:rsidR="001B3EA6" w:rsidRDefault="00000000">
      <w:pPr>
        <w:spacing w:after="120"/>
      </w:pPr>
      <w:r>
        <w:rPr>
          <w:b/>
          <w:bCs/>
        </w:rPr>
        <w:t xml:space="preserve">Проблема: </w:t>
      </w:r>
      <w:r>
        <w:t>Ценность продукта не очевидна до покупки. Пользователь не понимает, сколько он может получить.</w:t>
      </w:r>
    </w:p>
    <w:p w:rsidR="001B3EA6" w:rsidRDefault="00000000">
      <w:pPr>
        <w:spacing w:after="200"/>
      </w:pPr>
      <w:r>
        <w:rPr>
          <w:b/>
          <w:bCs/>
        </w:rPr>
        <w:t xml:space="preserve">Решение: </w:t>
      </w:r>
      <w:r>
        <w:t xml:space="preserve">Интерактивный калькулятор с ползунком суммы и срока. Показывает диапазон прогнозов (консервативный/средний/оптимистичный). Для </w:t>
      </w:r>
      <w:proofErr w:type="gramStart"/>
      <w:r>
        <w:t>сумм &gt;</w:t>
      </w:r>
      <w:proofErr w:type="gramEnd"/>
      <w:r>
        <w:t xml:space="preserve">$5k </w:t>
      </w:r>
      <w:r w:rsidR="00A363A0">
        <w:t>-</w:t>
      </w:r>
      <w:r>
        <w:t xml:space="preserve"> переход на OTC-канал.</w:t>
      </w:r>
    </w:p>
    <w:p w:rsidR="001B3EA6" w:rsidRDefault="00000000">
      <w:pPr>
        <w:pStyle w:val="2"/>
      </w:pPr>
      <w:r>
        <w:t>4. Resources вместо разрозненных страниц доверия</w:t>
      </w:r>
    </w:p>
    <w:p w:rsidR="001B3EA6" w:rsidRDefault="00000000">
      <w:pPr>
        <w:spacing w:after="120"/>
      </w:pPr>
      <w:r>
        <w:rPr>
          <w:b/>
          <w:bCs/>
        </w:rPr>
        <w:t xml:space="preserve">Проблема: </w:t>
      </w:r>
      <w:r>
        <w:t>Документы доверия (Scoping Study, аудиты, лицензии) разбросаны по сайту. HNW-пользователь не может быстро верифицировать проект.</w:t>
      </w:r>
    </w:p>
    <w:p w:rsidR="001B3EA6" w:rsidRDefault="00000000">
      <w:pPr>
        <w:spacing w:after="200"/>
      </w:pPr>
      <w:r>
        <w:rPr>
          <w:b/>
          <w:bCs/>
        </w:rPr>
        <w:t xml:space="preserve">Решение: </w:t>
      </w:r>
      <w:r>
        <w:t>Единый раздел Resources с тремя подразделами: Learn (обучение), Trust &amp; Transparency (верификация), Tokenomics (экономика токена). Всё в одном месте, структурировано по уровню глубины.</w:t>
      </w:r>
    </w:p>
    <w:p w:rsidR="001B3EA6" w:rsidRDefault="00000000">
      <w:pPr>
        <w:pStyle w:val="2"/>
      </w:pPr>
      <w:r>
        <w:t>5. Compliance-safe терминология</w:t>
      </w:r>
    </w:p>
    <w:p w:rsidR="001B3EA6" w:rsidRDefault="00000000">
      <w:pPr>
        <w:spacing w:after="120"/>
      </w:pPr>
      <w:r>
        <w:rPr>
          <w:b/>
          <w:bCs/>
        </w:rPr>
        <w:t xml:space="preserve">Проблема: </w:t>
      </w:r>
      <w:r>
        <w:t>Использование терминов «invest», «staking», «rewards», «portfolio» создаёт юридические риски (securities classification).</w:t>
      </w:r>
    </w:p>
    <w:p w:rsidR="001B3EA6" w:rsidRDefault="00000000">
      <w:pPr>
        <w:spacing w:after="200"/>
      </w:pPr>
      <w:r>
        <w:rPr>
          <w:b/>
          <w:bCs/>
        </w:rPr>
        <w:t xml:space="preserve">Решение: </w:t>
      </w:r>
      <w:r>
        <w:t xml:space="preserve">Вся терминология заменена: participate вместо invest, positions вместо portfolio, distributions вместо rewards. Это не стилистический выбор </w:t>
      </w:r>
      <w:r w:rsidR="006B1157">
        <w:t>–</w:t>
      </w:r>
      <w:r w:rsidR="006B1157" w:rsidRPr="006B1157">
        <w:t xml:space="preserve"> </w:t>
      </w:r>
      <w:r>
        <w:t>это</w:t>
      </w:r>
      <w:r w:rsidR="006B1157" w:rsidRPr="00D66E23">
        <w:t xml:space="preserve"> </w:t>
      </w:r>
      <w:r w:rsidR="006B1157">
        <w:t>комплаенс</w:t>
      </w:r>
      <w:r>
        <w:t>.</w:t>
      </w:r>
    </w:p>
    <w:p w:rsidR="001B3EA6" w:rsidRDefault="00000000">
      <w:pPr>
        <w:pStyle w:val="2"/>
      </w:pPr>
      <w:r>
        <w:t>6. Визуальный переход: тёмная крипто → светлый финтех</w:t>
      </w:r>
      <w:r w:rsidR="00D66E23">
        <w:t>?</w:t>
      </w:r>
    </w:p>
    <w:p w:rsidR="001B3EA6" w:rsidRDefault="00D66E23">
      <w:pPr>
        <w:spacing w:after="200"/>
      </w:pPr>
      <w:r>
        <w:rPr>
          <w:b/>
          <w:bCs/>
        </w:rPr>
        <w:t>Нужна дизайн проработка</w:t>
      </w:r>
    </w:p>
    <w:p w:rsidR="001B3EA6" w:rsidRDefault="001B3EA6">
      <w:pPr>
        <w:spacing w:after="200"/>
      </w:pPr>
    </w:p>
    <w:p w:rsidR="001B3EA6" w:rsidRPr="006B1157" w:rsidRDefault="00000000">
      <w:pPr>
        <w:pBdr>
          <w:top w:val="single" w:sz="3" w:space="8" w:color="C9A84C"/>
        </w:pBdr>
        <w:spacing w:before="200"/>
        <w:rPr>
          <w:lang w:val="en-US"/>
        </w:rPr>
      </w:pPr>
      <w:r w:rsidRPr="006B1157">
        <w:rPr>
          <w:i/>
          <w:iCs/>
          <w:color w:val="6B7280"/>
          <w:sz w:val="20"/>
          <w:szCs w:val="20"/>
          <w:lang w:val="en-US"/>
        </w:rPr>
        <w:t xml:space="preserve">Mikhail Lesik, </w:t>
      </w:r>
      <w:proofErr w:type="gramStart"/>
      <w:r w:rsidRPr="006B1157">
        <w:rPr>
          <w:i/>
          <w:iCs/>
          <w:color w:val="6B7280"/>
          <w:sz w:val="20"/>
          <w:szCs w:val="20"/>
          <w:lang w:val="en-US"/>
        </w:rPr>
        <w:t>CPO  ·</w:t>
      </w:r>
      <w:proofErr w:type="gramEnd"/>
      <w:r w:rsidRPr="006B1157">
        <w:rPr>
          <w:i/>
          <w:iCs/>
          <w:color w:val="6B7280"/>
          <w:sz w:val="20"/>
          <w:szCs w:val="20"/>
          <w:lang w:val="en-US"/>
        </w:rPr>
        <w:t xml:space="preserve">  AYNI </w:t>
      </w:r>
      <w:proofErr w:type="gramStart"/>
      <w:r w:rsidRPr="006B1157">
        <w:rPr>
          <w:i/>
          <w:iCs/>
          <w:color w:val="6B7280"/>
          <w:sz w:val="20"/>
          <w:szCs w:val="20"/>
          <w:lang w:val="en-US"/>
        </w:rPr>
        <w:t xml:space="preserve">Gold  </w:t>
      </w:r>
      <w:proofErr w:type="gramEnd"/>
    </w:p>
    <w:sectPr w:rsidR="001B3EA6" w:rsidRPr="006B115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pitch w:val="default"/>
  </w:font>
  <w:font w:name="DM Serif Display">
    <w:panose1 w:val="00000000000000000000"/>
    <w:charset w:val="00"/>
    <w:family w:val="auto"/>
    <w:pitch w:val="variable"/>
    <w:sig w:usb0="8000006F" w:usb1="0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37347"/>
    <w:multiLevelType w:val="hybridMultilevel"/>
    <w:tmpl w:val="91A83EF8"/>
    <w:lvl w:ilvl="0" w:tplc="2E724638">
      <w:start w:val="1"/>
      <w:numFmt w:val="bullet"/>
      <w:lvlText w:val="•"/>
      <w:lvlJc w:val="left"/>
      <w:pPr>
        <w:ind w:left="720" w:hanging="360"/>
      </w:pPr>
    </w:lvl>
    <w:lvl w:ilvl="1" w:tplc="5060D662">
      <w:numFmt w:val="decimal"/>
      <w:lvlText w:val=""/>
      <w:lvlJc w:val="left"/>
    </w:lvl>
    <w:lvl w:ilvl="2" w:tplc="EEB0676C">
      <w:numFmt w:val="decimal"/>
      <w:lvlText w:val=""/>
      <w:lvlJc w:val="left"/>
    </w:lvl>
    <w:lvl w:ilvl="3" w:tplc="0FF0D726">
      <w:numFmt w:val="decimal"/>
      <w:lvlText w:val=""/>
      <w:lvlJc w:val="left"/>
    </w:lvl>
    <w:lvl w:ilvl="4" w:tplc="53869700">
      <w:numFmt w:val="decimal"/>
      <w:lvlText w:val=""/>
      <w:lvlJc w:val="left"/>
    </w:lvl>
    <w:lvl w:ilvl="5" w:tplc="5C4C2E56">
      <w:numFmt w:val="decimal"/>
      <w:lvlText w:val=""/>
      <w:lvlJc w:val="left"/>
    </w:lvl>
    <w:lvl w:ilvl="6" w:tplc="120254C0">
      <w:numFmt w:val="decimal"/>
      <w:lvlText w:val=""/>
      <w:lvlJc w:val="left"/>
    </w:lvl>
    <w:lvl w:ilvl="7" w:tplc="B5B0D4C2">
      <w:numFmt w:val="decimal"/>
      <w:lvlText w:val=""/>
      <w:lvlJc w:val="left"/>
    </w:lvl>
    <w:lvl w:ilvl="8" w:tplc="B24C98B4">
      <w:numFmt w:val="decimal"/>
      <w:lvlText w:val=""/>
      <w:lvlJc w:val="left"/>
    </w:lvl>
  </w:abstractNum>
  <w:abstractNum w:abstractNumId="1" w15:restartNumberingAfterBreak="0">
    <w:nsid w:val="6E1E4187"/>
    <w:multiLevelType w:val="hybridMultilevel"/>
    <w:tmpl w:val="559229FA"/>
    <w:lvl w:ilvl="0" w:tplc="DCD454B6">
      <w:start w:val="1"/>
      <w:numFmt w:val="bullet"/>
      <w:lvlText w:val="●"/>
      <w:lvlJc w:val="left"/>
      <w:pPr>
        <w:ind w:left="720" w:hanging="360"/>
      </w:pPr>
    </w:lvl>
    <w:lvl w:ilvl="1" w:tplc="511ACE0C">
      <w:start w:val="1"/>
      <w:numFmt w:val="bullet"/>
      <w:lvlText w:val="○"/>
      <w:lvlJc w:val="left"/>
      <w:pPr>
        <w:ind w:left="1440" w:hanging="360"/>
      </w:pPr>
    </w:lvl>
    <w:lvl w:ilvl="2" w:tplc="3DB6F260">
      <w:start w:val="1"/>
      <w:numFmt w:val="bullet"/>
      <w:lvlText w:val="■"/>
      <w:lvlJc w:val="left"/>
      <w:pPr>
        <w:ind w:left="2160" w:hanging="360"/>
      </w:pPr>
    </w:lvl>
    <w:lvl w:ilvl="3" w:tplc="E12AACC4">
      <w:start w:val="1"/>
      <w:numFmt w:val="bullet"/>
      <w:lvlText w:val="●"/>
      <w:lvlJc w:val="left"/>
      <w:pPr>
        <w:ind w:left="2880" w:hanging="360"/>
      </w:pPr>
    </w:lvl>
    <w:lvl w:ilvl="4" w:tplc="86ACE0D2">
      <w:start w:val="1"/>
      <w:numFmt w:val="bullet"/>
      <w:lvlText w:val="○"/>
      <w:lvlJc w:val="left"/>
      <w:pPr>
        <w:ind w:left="3600" w:hanging="360"/>
      </w:pPr>
    </w:lvl>
    <w:lvl w:ilvl="5" w:tplc="95CC4F6A">
      <w:start w:val="1"/>
      <w:numFmt w:val="bullet"/>
      <w:lvlText w:val="■"/>
      <w:lvlJc w:val="left"/>
      <w:pPr>
        <w:ind w:left="4320" w:hanging="360"/>
      </w:pPr>
    </w:lvl>
    <w:lvl w:ilvl="6" w:tplc="2102A3F6">
      <w:start w:val="1"/>
      <w:numFmt w:val="bullet"/>
      <w:lvlText w:val="●"/>
      <w:lvlJc w:val="left"/>
      <w:pPr>
        <w:ind w:left="5040" w:hanging="360"/>
      </w:pPr>
    </w:lvl>
    <w:lvl w:ilvl="7" w:tplc="89621B6A">
      <w:start w:val="1"/>
      <w:numFmt w:val="bullet"/>
      <w:lvlText w:val="●"/>
      <w:lvlJc w:val="left"/>
      <w:pPr>
        <w:ind w:left="5760" w:hanging="360"/>
      </w:pPr>
    </w:lvl>
    <w:lvl w:ilvl="8" w:tplc="FBB4F6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0378CD"/>
    <w:multiLevelType w:val="hybridMultilevel"/>
    <w:tmpl w:val="28E8958E"/>
    <w:lvl w:ilvl="0" w:tplc="0E261214">
      <w:start w:val="1"/>
      <w:numFmt w:val="decimal"/>
      <w:lvlText w:val="%1."/>
      <w:lvlJc w:val="left"/>
      <w:pPr>
        <w:ind w:left="720" w:hanging="360"/>
      </w:pPr>
    </w:lvl>
    <w:lvl w:ilvl="1" w:tplc="F9943B52">
      <w:numFmt w:val="decimal"/>
      <w:lvlText w:val=""/>
      <w:lvlJc w:val="left"/>
    </w:lvl>
    <w:lvl w:ilvl="2" w:tplc="45BA6CFE">
      <w:numFmt w:val="decimal"/>
      <w:lvlText w:val=""/>
      <w:lvlJc w:val="left"/>
    </w:lvl>
    <w:lvl w:ilvl="3" w:tplc="E9666FD4">
      <w:numFmt w:val="decimal"/>
      <w:lvlText w:val=""/>
      <w:lvlJc w:val="left"/>
    </w:lvl>
    <w:lvl w:ilvl="4" w:tplc="849CB2C4">
      <w:numFmt w:val="decimal"/>
      <w:lvlText w:val=""/>
      <w:lvlJc w:val="left"/>
    </w:lvl>
    <w:lvl w:ilvl="5" w:tplc="9734337C">
      <w:numFmt w:val="decimal"/>
      <w:lvlText w:val=""/>
      <w:lvlJc w:val="left"/>
    </w:lvl>
    <w:lvl w:ilvl="6" w:tplc="764E1160">
      <w:numFmt w:val="decimal"/>
      <w:lvlText w:val=""/>
      <w:lvlJc w:val="left"/>
    </w:lvl>
    <w:lvl w:ilvl="7" w:tplc="FDA6565E">
      <w:numFmt w:val="decimal"/>
      <w:lvlText w:val=""/>
      <w:lvlJc w:val="left"/>
    </w:lvl>
    <w:lvl w:ilvl="8" w:tplc="C1045BF0">
      <w:numFmt w:val="decimal"/>
      <w:lvlText w:val=""/>
      <w:lvlJc w:val="left"/>
    </w:lvl>
  </w:abstractNum>
  <w:num w:numId="1" w16cid:durableId="376711153">
    <w:abstractNumId w:val="1"/>
    <w:lvlOverride w:ilvl="0">
      <w:startOverride w:val="1"/>
    </w:lvlOverride>
  </w:num>
  <w:num w:numId="2" w16cid:durableId="586692905">
    <w:abstractNumId w:val="0"/>
    <w:lvlOverride w:ilvl="0">
      <w:startOverride w:val="1"/>
    </w:lvlOverride>
  </w:num>
  <w:num w:numId="3" w16cid:durableId="18407303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EA6"/>
    <w:rsid w:val="00072593"/>
    <w:rsid w:val="001B3EA6"/>
    <w:rsid w:val="003D039F"/>
    <w:rsid w:val="00443F62"/>
    <w:rsid w:val="006B1157"/>
    <w:rsid w:val="009D79BC"/>
    <w:rsid w:val="00A363A0"/>
    <w:rsid w:val="00D6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ED43B0"/>
  <w15:docId w15:val="{BD328BE5-BD25-1047-BEA1-70AA23F0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DM Serif Display" w:eastAsia="DM Serif Display" w:hAnsi="DM Serif Display" w:cs="DM Serif Display"/>
      <w:b/>
      <w:bCs/>
      <w:color w:val="1B3A4B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1B3A4B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4</cp:revision>
  <dcterms:created xsi:type="dcterms:W3CDTF">2026-03-06T18:23:00Z</dcterms:created>
  <dcterms:modified xsi:type="dcterms:W3CDTF">2026-03-09T11:33:00Z</dcterms:modified>
</cp:coreProperties>
</file>