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AYNI GOLD</w:t>
      </w:r>
    </w:p>
    <w:p>
      <w:pPr>
        <w:spacing w:after="60"/>
        <w:jc w:val="center"/>
      </w:pPr>
      <w:r>
        <w:rPr>
          <w:color w:val="C9A84C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ИССЛЕДОВАНИЕ МЕХАНИК ЛИДЕРБОРДА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Бенчмаркинг, психология, compliance-анализ
и рекомендации для HNW-сегмента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color w:val="888888"/>
          <w:sz w:val="22"/>
          <w:szCs w:val="22"/>
        </w:rPr>
        <w:t xml:space="preserve">Продуктовое исследование  |  Март 2026</w:t>
      </w:r>
    </w:p>
    <w:p>
      <w:pPr>
        <w:jc w:val="center"/>
      </w:pPr>
      <w:r>
        <w:rPr>
          <w:i/>
          <w:iCs/>
          <w:color w:val="AAAAAA"/>
          <w:sz w:val="20"/>
          <w:szCs w:val="20"/>
        </w:rPr>
        <w:t xml:space="preserve">Конфиденциально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РЕЗЮМЕ ДЛЯ РУКОВОДСТВА</w:t>
      </w:r>
    </w:p>
    <w:p>
      <w:pPr>
        <w:spacing w:after="120" w:line="276"/>
      </w:pPr>
      <w:r>
        <w:t xml:space="preserve">Данный документ представляет результаты глубокого исследования механик лидерборда и геймификации применительно к платформе AYNI Gold и её целевой аудитории: HNW-инвесторы, финансовые директора, состоятельный Web2-сегмент с чеками от $10,000.</w:t>
      </w:r>
    </w:p>
    <w:p>
      <w:pPr>
        <w:spacing w:after="120" w:line="276"/>
      </w:pPr>
      <w:r>
        <w:rPr>
          <w:b/>
          <w:bCs/>
        </w:rPr>
        <w:t xml:space="preserve">Ключевой вывод: </w:t>
      </w:r>
      <w:r>
        <w:t xml:space="preserve">классический публичный лидерборд с рейтингом по суммам является антипаттерном для HNW-аудитории. Вместо этого рекомендуется внедрение закрытой тир-системы (ранговой модели) с элементами приватного статуса, привязанной к объёму зафиксированных позиций и сроку участия. Это решение совместимо с compliance-требованиями, усиливает доверие и мотивирует увеличение среднего чека без создания FOMO или ассоциаций с казино.</w:t>
      </w:r>
    </w:p>
    <w:p>
      <w:pPr>
        <w:spacing w:after="120" w:line="276"/>
      </w:pPr>
      <w:r>
        <w:rPr>
          <w:b/>
          <w:bCs/>
        </w:rPr>
        <w:t xml:space="preserve">Рекомендованная MVP-механика: </w:t>
      </w:r>
      <w:r>
        <w:t xml:space="preserve">Тир-система «Mining Contributor Tiers» с 4 уровнями (Explorer, Contributor, Operator, Principal), где ранг определяется комбинацией объёма зафиксированных AYNI-позиций и срока участия. Каждый уровень открывает конкретные преимущества: снижение комиссии, приоритетный доступ к OTC-сделкам, расширенную аналитику и персональное обслуживание. Публичный рейтинг отсутствует — пользователь видит только свой текущий уровень и прогресс до следующего.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БЕНЧМАРКИНГ КОНКУРЕНТОВ</w:t>
      </w:r>
    </w:p>
    <w:p>
      <w:pPr>
        <w:pStyle w:val="Heading2"/>
      </w:pPr>
      <w:r>
        <w:t xml:space="preserve">1.1 Обзор геймификации в финтех и Web3-платформах</w:t>
      </w:r>
    </w:p>
    <w:p>
      <w:pPr>
        <w:spacing w:after="120" w:line="276"/>
      </w:pPr>
      <w:r>
        <w:t xml:space="preserve">Анализ ключевых платформ показывает существенные различия в подходах к геймификации в зависимости от целевой аудитории. Ниже представлена сводная таблица ключевых механик.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26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Релевантность для AYNI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Revolut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RevPoints, тир-система (Standard → Ultra), университетские лидерборды, лотереи и розыгрыши за транзакции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Массовый ритейл, молодёжь, студенты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Средняя. Тир-модель релевантна, лотереи — нет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Robinhood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Конфетти-анимации (удалены), стрики, визуальные награды за первую сделку, referral-waitlist с «tapping»-механикой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Начинающие ритейл-трейдеры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Низкая. Штраф $7.5M от SEC за «gamification». Антипример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Торговые соревнования с призами, Volume-лидерборды, VIP-тиры по объёму торгов (1–9), NFT-бейджи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Крипто-трейдеры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Низкая. Слишком «биржевой» подход, создаёт FOMO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eToro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Investor Program с 4 тирами (Cadet → Elite), копирование портфелей лидеров, публичные профили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Социальные трейдеры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Средняя. Тир-модель интересна, но публичность портфелей неприемлема для HNW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of America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Rewards: Gold ($20k+), Platinum ($50k+), Platinum Honors ($100k+). Привилегии по балансу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HNW-клиенты банка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Высокая. Тир-модель по AUM, тихие привилегии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Client ($1M+): персональный advisor, Wealth team, Culture Pass, подписки, waived fees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Ultra-HNW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Высокая. Эталон для нашего позиционирования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Republic / AngelList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Инвесторские ранги по объёму вложений, бейджи «serious investor», доступ к эксклюзивным раундам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Аккредитованные инвесторы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Высокая. Прямая аналогия с нашим профилем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Celsius (до краха)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Tiers (Bronze → Platinum) по доле CEL-токена в портфеле, повышенные ставки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Крипто-депозитчики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Средняя. Модель интересна, но Celsius обанкротился — trust issues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Что работает для HNW-сегмента</w:t>
      </w:r>
    </w:p>
    <w:p>
      <w:pPr>
        <w:spacing w:after="120" w:line="276"/>
      </w:pPr>
      <w:r>
        <w:t xml:space="preserve">Анализ показывает чёткое разделение подходов, которые работают для ритейла и для состоятельного сегмента. HNW-клиенты реагируют на принципиально иные стимулы, чем массовая аудитория.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361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Работает для HNW</w:t>
            </w:r>
          </w:p>
        </w:tc>
        <w:tc>
          <w:tcPr>
            <w:tcW w:type="dxa" w:w="361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Вызывает отторжение у HNW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Тихие привилегии, персональный сервис, доступ к эксклюзивному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Публичные рейтинги с суммами, «top earners» списки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Сдержанная бейдж-система, premium UI-элементы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Конфетти, анимации, яркие поп-апы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Тир-прогрессия по AUM/сроку, снижение комиссий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Стрики, ежедневные задания, spin-the-wheel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Социальный слой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Закрытое сообщество, peer networking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Открытые лидерборды, сравнение портфелей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Коммуникация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Приватные уведомления о достижениях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Push-нотификации «Вы в топ-10%!»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Leaderboard в commodity / gold investing</w:t>
      </w:r>
    </w:p>
    <w:p>
      <w:pPr>
        <w:spacing w:after="120" w:line="276"/>
      </w:pPr>
      <w:r>
        <w:t xml:space="preserve">В секторе gold investing и commodity-платформ публичные лидерборды практически не используются. Это связано с характером аудитории: инвесторы в золото, как правило, ценят приватность и долгосрочный горизонт. Платформы вроде BullionVault, APMEX и GoldMoney фокусируются на прозрачности данных (публичный аудит запасов, ежедневная отчётность), а не на соревновательных элементах. Единственное исключение — образовательные leaderboard в некоторых ETF-платформах (например, Fidelity Learning Center), где рейтинг строится на прохождении обучающих модулей, а не на финансовых показателях.</w:t>
      </w:r>
    </w:p>
    <w:p>
      <w:pPr>
        <w:spacing w:after="120" w:line="276"/>
      </w:pPr>
      <w:r>
        <w:rPr>
          <w:b/>
          <w:bCs/>
        </w:rPr>
        <w:t xml:space="preserve">Вывод для AYNI: </w:t>
      </w:r>
      <w:r>
        <w:t xml:space="preserve">Отсутствие лидербордов в gold investing — это не пробел, а осознанное решение индустрии. Для AYNI это означает, что тир-система более естественна для аудитории, чем публичный рейтинг.</w:t>
      </w:r>
    </w:p>
    <w:p>
      <w:r>
        <w:br w:type="page"/>
      </w:r>
    </w:p>
    <w:p>
      <w:pPr>
        <w:pStyle w:val="Heading1"/>
      </w:pPr>
      <w:r>
        <w:t xml:space="preserve">2. ПСИХОЛОГИЯ И ПОВЕДЕНЧЕСКИЕ ПАТТЕРНЫ</w:t>
      </w:r>
    </w:p>
    <w:p>
      <w:pPr>
        <w:pStyle w:val="Heading2"/>
      </w:pPr>
      <w:r>
        <w:t xml:space="preserve">2.1 Мотивационные триггеры для состоятельного инвестора</w:t>
      </w:r>
    </w:p>
    <w:p>
      <w:pPr>
        <w:spacing w:after="120" w:line="276"/>
      </w:pPr>
      <w:r>
        <w:t xml:space="preserve">Исследования в области поведенческой экономики и геймификации финансовых сервисов выделяют три ключевых мотивационных профиля. Для HNW-аудитории каждый из них проявляется иначе, чем для массового ритейла.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Проявление у HNW</w:t>
            </w:r>
          </w:p>
        </w:tc>
        <w:tc>
          <w:tcPr>
            <w:tcW w:type="dxa" w:w="40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применить в AYNI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и признание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Желание принадлежать к «элитному клубу», признание экспертизы. НЕ публичное, а внутреннее: «я знаю, что я в top tier»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Персональный бейдж в профиле, тихое уведомление о повышении тира, доступ к закрытым отчётам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Причастность к сообществу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Нетворкинг с равными по уровню. «Я среди людей, которые понимают, что делают»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Закрытый канал для top-tier участников (Telegram / in-app), приоритетный доступ к AMA с CEO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 и прозрачность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HNW-инвестор хочет видеть, как работают его деньги, и иметь рычаги влияния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Расширенная аналитика для высоких тиров, приоритетное голосование в DAO (при запуске)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Экономическая выгода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азарт от «выигрыша», а рациональная оптимизация: «мой тир даёт мне лучшие условия»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Success Fee для высоких тиров, приоритет в OTC-очереди, ранний доступ к новым концессиям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Различия HNW vs. ритейл-геймификации</w:t>
      </w:r>
    </w:p>
    <w:p>
      <w:pPr>
        <w:spacing w:after="120" w:line="276"/>
      </w:pPr>
      <w:r>
        <w:t xml:space="preserve">Ключевое различие — в горизонте и цене ошибки. Для ритейл-пользователя с $500 на счету лидерборд — это весёлый стимул. Для HNW-клиента с $50,000+ любой элемент, напоминающий казино или спекулятивную биржу, является красным флагом.</w:t>
      </w:r>
    </w:p>
    <w:p>
      <w:pPr>
        <w:spacing w:after="120" w:line="276"/>
      </w:pPr>
      <w:r>
        <w:t xml:space="preserve">Исследования показывают, что геймификация в финансовых приложениях повышает retention на 30–47% для ритейл-аудитории. Однако для HNW-сегмента эффект обратный: агрессивная геймификация снижает доверие. Состоятельные клиенты банков (Citigold, HSBC Premier, UBS) привыкли к модели «тихих привилегий», где статус проявляется через качество сервиса, а не через публичное признание.</w:t>
      </w:r>
    </w:p>
    <w:p>
      <w:pPr>
        <w:pStyle w:val="Heading2"/>
      </w:pPr>
      <w:r>
        <w:t xml:space="preserve">2.3 Когда лидерборд = «казино»</w:t>
      </w:r>
    </w:p>
    <w:p>
      <w:pPr>
        <w:spacing w:after="120" w:line="276"/>
      </w:pPr>
      <w:r>
        <w:t xml:space="preserve">Критические красные флаги, которые заставляют HNW-аудиторию воспринимать продукт как «казино» или «pump signal»: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Публичное отображение сумм дохода/дистрибуций других участников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Рейтинг «top earners» с процентами доходности (прямой securities-триггер)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Анимации празднования при получении дистрибуций (ассоциация с Robinhood)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Ежедневные стрики и задания («войди каждый день» — несовместимо с long-term positioning)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Лотереи, розыгрыши, random rewards — прямая ассоциация со слот-машинами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Push-уведомления с позицией в рейтинге («Вы на 15-м месте!»)</w:t>
      </w:r>
    </w:p>
    <w:p>
      <w:pPr>
        <w:spacing w:after="120" w:line="276"/>
      </w:pPr>
      <w:r>
        <w:rPr>
          <w:b/>
          <w:bCs/>
        </w:rPr>
        <w:t xml:space="preserve">Кейс Robinhood: </w:t>
      </w:r>
      <w:r>
        <w:t xml:space="preserve">В 2024 году Robinhood согласился выплатить штраф $7.5M штату Массачусетс за нарушение securities law через геймификацию. Конкретные претензии: конфетти-анимации, «tapping»-игра для waitlist, push-уведомления, стимулирующие частые сделки. Этот кейс стал эталонным антипримером для индустрии.</w:t>
      </w:r>
    </w:p>
    <w:p>
      <w:r>
        <w:br w:type="page"/>
      </w:r>
    </w:p>
    <w:p>
      <w:pPr>
        <w:pStyle w:val="Heading1"/>
      </w:pPr>
      <w:r>
        <w:t xml:space="preserve">3. МЕХАНИКИ И МЕТРИКИ ДЛЯ ЛИДЕРБОРДА</w:t>
      </w:r>
    </w:p>
    <w:p>
      <w:pPr>
        <w:spacing w:after="120" w:line="276"/>
      </w:pPr>
      <w:r>
        <w:t xml:space="preserve">Ниже представлены 6 вариантов механик с оценкой по четырём критериям. Шкала: 1–10 для применимости и impact, «Низкий/Средний/Высокий» для compliance-риска и технической сложности.</w:t>
      </w:r>
    </w:p>
    <w:p>
      <w:pPr>
        <w:spacing w:after="60"/>
      </w:pPr>
    </w:p>
    <w:p>
      <w:pPr>
        <w:pStyle w:val="Heading3"/>
      </w:pPr>
      <w:r>
        <w:t xml:space="preserve">A. Лидерборд по объёму позиций (AYNI locked)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2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Применимость к аудитории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HNW не хотят, чтобы их размер позиции был виден другим. Создаёт завистливый FOMO для мелких, дискомфорт для крупных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Compliance-совместимость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риск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Публикация объёмов может восприниматься как стимулирование увеличения «инвестиций»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Техническая сложность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о locked AYNI уже доступны on-chain и в системе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на retention/чек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Может мотивировать мелких участников, но отпугивает крупных</w:t>
            </w:r>
          </w:p>
        </w:tc>
      </w:tr>
    </w:tbl>
    <w:p>
      <w:pPr>
        <w:spacing w:after="120" w:line="276"/>
      </w:pPr>
      <w:r>
        <w:rPr>
          <w:b/>
          <w:bCs/>
          <w:color w:val="CC3333"/>
        </w:rPr>
        <w:t xml:space="preserve">Вердикт: </w:t>
      </w:r>
      <w:r>
        <w:rPr>
          <w:color w:val="CC3333"/>
        </w:rPr>
        <w:t xml:space="preserve">Не рекомендуется в публичном виде. Возможен только как приватная метрика внутри тир-системы.</w:t>
      </w:r>
    </w:p>
    <w:p>
      <w:pPr>
        <w:spacing w:after="60"/>
      </w:pPr>
    </w:p>
    <w:p>
      <w:pPr>
        <w:pStyle w:val="Heading3"/>
      </w:pPr>
      <w:r>
        <w:t xml:space="preserve">B. Лидерборд по сроку участия (loyalty streak)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2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Применимость к аудитории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Лояльность ценится в HNW-сегменте. «Я с проектом с самого начала» — приятный статус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Compliance-совместимость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 риск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Срок участия — нейтральная метрика, не связана с финансовыми показателями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Техническая сложность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первой транзакции / регистрации легко доступна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на retention/чек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Мотивирует оставаться, но не увеличивает чек напрямую</w:t>
            </w:r>
          </w:p>
        </w:tc>
      </w:tr>
    </w:tbl>
    <w:p>
      <w:pPr>
        <w:spacing w:after="120" w:line="276"/>
      </w:pPr>
      <w:r>
        <w:rPr>
          <w:b/>
          <w:bCs/>
          <w:color w:val="C9A84C"/>
        </w:rPr>
        <w:t xml:space="preserve">Вердикт: </w:t>
      </w:r>
      <w:r>
        <w:rPr>
          <w:color w:val="666666"/>
        </w:rPr>
        <w:t xml:space="preserve">Хороший дополнительный фактор для тир-системы, но слабый как самостоятельная механика.</w:t>
      </w:r>
    </w:p>
    <w:p>
      <w:pPr>
        <w:spacing w:after="60"/>
      </w:pPr>
    </w:p>
    <w:p>
      <w:pPr>
        <w:pStyle w:val="Heading3"/>
      </w:pPr>
      <w:r>
        <w:t xml:space="preserve">C. Лидерборд по накопленному золоту (PAXG-дистрибуции)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2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Применимость к аудитории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Прямое отображение доходов — максимальный дискомфорт для HNW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Compliance-совместимость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 риск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Публикация «top earners» = прямой securities-триггер. Фактически рекламирует доходность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Техническая сложность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Нужна агрегация истории claim-транзакций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на retention/чек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Привлечёт спекулянтов, отпугнёт серьёзных участников</w:t>
            </w:r>
          </w:p>
        </w:tc>
      </w:tr>
    </w:tbl>
    <w:p>
      <w:pPr>
        <w:spacing w:after="120" w:line="276"/>
      </w:pPr>
      <w:r>
        <w:rPr>
          <w:b/>
          <w:bCs/>
          <w:color w:val="CC3333"/>
        </w:rPr>
        <w:t xml:space="preserve">Вердикт: </w:t>
      </w:r>
      <w:r>
        <w:rPr>
          <w:color w:val="CC3333"/>
        </w:rPr>
        <w:t xml:space="preserve">Категорически не рекомендуется. Максимальный compliance-риск и антипаттерн для HNW.</w:t>
      </w:r>
    </w:p>
    <w:p>
      <w:pPr>
        <w:spacing w:after="60"/>
      </w:pPr>
    </w:p>
    <w:p>
      <w:pPr>
        <w:pStyle w:val="Heading3"/>
      </w:pPr>
      <w:r>
        <w:t xml:space="preserve">D. Анонимный лидерборд (псевдонимы / иконки)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2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Применимость к аудитории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Снижает проблему приватности, но «А зачем?» — анонимный рейтинг теряет мотивационный смысл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Compliance-совместимость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риск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метрики: если по доходам — риск остаётся даже с псевдонимами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Техническая сложность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псевдонимов, иконок, опциональной анонимности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на retention/чек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мотивация: нет ни социального признания, ни конкретных привилегий</w:t>
            </w:r>
          </w:p>
        </w:tc>
      </w:tr>
    </w:tbl>
    <w:p>
      <w:pPr>
        <w:spacing w:after="120" w:line="276"/>
      </w:pPr>
      <w:r>
        <w:rPr>
          <w:b/>
          <w:bCs/>
          <w:color w:val="C9A84C"/>
        </w:rPr>
        <w:t xml:space="preserve">Вердикт: </w:t>
      </w:r>
      <w:r>
        <w:rPr>
          <w:color w:val="666666"/>
        </w:rPr>
        <w:t xml:space="preserve">«Компромисс без выигрыша». Лучше заменить на тир-систему, которая решает те же задачи чище.</w:t>
      </w:r>
    </w:p>
    <w:p>
      <w:pPr>
        <w:spacing w:after="60"/>
      </w:pPr>
    </w:p>
    <w:p>
      <w:pPr>
        <w:pStyle w:val="Heading3"/>
      </w:pPr>
      <w:r>
        <w:t xml:space="preserve">E. Тир/ранговая система без публичного рейтинга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2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Применимость к аудитории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Идеально соответствует ожиданиям HNW: тихие привилегии, персональный статус, Bank of America / Citigold-модель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Compliance-совместимость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 риск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Ранг = утилитарная категория, не публикует финансовые данные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Техническая сложность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расчёта тира + UI для прогресс-бара + backend для привилегий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на retention/чек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Мотивирует увеличение позиции для перехода на следующий тир. Прямое влияние на AUM</w:t>
            </w:r>
          </w:p>
        </w:tc>
      </w:tr>
    </w:tbl>
    <w:p>
      <w:pPr>
        <w:spacing w:after="120" w:line="276"/>
      </w:pPr>
      <w:r>
        <w:rPr>
          <w:b/>
          <w:bCs/>
          <w:color w:val="2E8B57"/>
        </w:rPr>
        <w:t xml:space="preserve">Вердикт: </w:t>
      </w:r>
      <w:r>
        <w:rPr>
          <w:color w:val="2E8B57"/>
        </w:rPr>
        <w:t xml:space="preserve">РЕКОМЕНДУЕТСЯ КАК ОСНОВНАЯ МЕХАНИКА. Максимальная совместимость с аудиторией, позиционированием и compliance.</w:t>
      </w:r>
    </w:p>
    <w:p>
      <w:pPr>
        <w:spacing w:after="60"/>
      </w:pPr>
    </w:p>
    <w:p>
      <w:pPr>
        <w:pStyle w:val="Heading3"/>
      </w:pPr>
      <w:r>
        <w:t xml:space="preserve">F. «Майнинговая мощность» как визуализация вклада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2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Применимость к аудитории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selling point AYNI: визуализация реального вклада в добычу. «Ваша мощность: 1,200 куб.м/ч»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Compliance-совместимость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 риск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Техническая метрика, описывает utility токена, не финансовый результат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Техническая сложность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AYNI = 4 куб.см/ч — простой расчёт от объёма позиции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на retention/чек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Усиливает product narrative, но слабее как мотиватор чем тир-система</w:t>
            </w:r>
          </w:p>
        </w:tc>
      </w:tr>
    </w:tbl>
    <w:p>
      <w:pPr>
        <w:spacing w:after="120" w:line="276"/>
      </w:pPr>
      <w:r>
        <w:rPr>
          <w:b/>
          <w:bCs/>
          <w:color w:val="2E8B57"/>
        </w:rPr>
        <w:t xml:space="preserve">Вердикт: </w:t>
      </w:r>
      <w:r>
        <w:rPr>
          <w:color w:val="2E8B57"/>
        </w:rPr>
        <w:t xml:space="preserve">Отличное дополнение к тир-системе. Уникальная для AYNI визуализация, усиливающая trust-narrative.</w:t>
      </w:r>
    </w:p>
    <w:p>
      <w:r>
        <w:br w:type="page"/>
      </w:r>
    </w:p>
    <w:p>
      <w:pPr>
        <w:pStyle w:val="Heading1"/>
      </w:pPr>
      <w:r>
        <w:t xml:space="preserve">4. ПРИВАТНОСТЬ И ДОВЕРИЕ</w:t>
      </w:r>
    </w:p>
    <w:p>
      <w:pPr>
        <w:pStyle w:val="Heading2"/>
      </w:pPr>
      <w:r>
        <w:t xml:space="preserve">4.1 Баланс публичности и анонимности</w:t>
      </w:r>
    </w:p>
    <w:p>
      <w:pPr>
        <w:spacing w:after="120" w:line="276"/>
      </w:pPr>
      <w:r>
        <w:t xml:space="preserve">Для HNW-аудитории приватность финансовой информации — не пожелание, а требование. Любая утечка данных о размере позиции или дохода разрушает доверие к платформе мгновенно и необратимо.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показывать</w:t>
            </w:r>
          </w:p>
        </w:tc>
        <w:tc>
          <w:tcPr>
            <w:tcW w:type="dxa" w:w="451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НЕ показывать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Свой текущий тир и прогресс до следующего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или ранг других участников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Общее количество участников на каждом тире (агрегат)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Конкретные суммы позиций участников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Свою «майнинговую мощность» в куб.м/ч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Суммы PAXG-дистрибуций других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TVL платформы (агрегированная метрика)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Списки «top holders» или «whale watch»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Бейдж/статус в профиле (виден только владельцу)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 по любой финансовой метрике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Как лидерборд может усилить trust</w:t>
      </w:r>
    </w:p>
    <w:p>
      <w:pPr>
        <w:spacing w:after="120" w:line="276"/>
      </w:pPr>
      <w:r>
        <w:t xml:space="preserve">Парадоксально, правильно построенная тир-система может усиливать доверие, а не создавать зависть. Ключевые принципы: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Агрегированные социальные метрики: </w:t>
      </w:r>
      <w:r>
        <w:t xml:space="preserve">«85% участников уровня Operator возобновляют позиции» — это social proof без раскрытия персональных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Прогресс как нарратив: </w:t>
      </w:r>
      <w:r>
        <w:t xml:space="preserve">прогресс-бар до следующего тира фреймит участие как путь, а не как соревнование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Привилегии = доказательство серьёзности: </w:t>
      </w:r>
      <w:r>
        <w:t xml:space="preserve">когда тир даёт доступ к расширенной аналитике и персональному обслуживанию, это сигнализирует: «платформа инвестирует в отношения с крупными участниками»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Эксклюзивный контент для высоких тиров: </w:t>
      </w:r>
      <w:r>
        <w:t xml:space="preserve">доступ к детальным отчётам о добыче, видео с концессии, прямые Q&amp;A с командой — усиливает прозрачность и вовлечённость</w:t>
      </w:r>
    </w:p>
    <w:p>
      <w:r>
        <w:br w:type="page"/>
      </w:r>
    </w:p>
    <w:p>
      <w:pPr>
        <w:pStyle w:val="Heading1"/>
      </w:pPr>
      <w:r>
        <w:t xml:space="preserve">5. COMPLIANCE-РИСКИ</w:t>
      </w:r>
    </w:p>
    <w:p>
      <w:pPr>
        <w:pStyle w:val="Heading2"/>
      </w:pPr>
      <w:r>
        <w:t xml:space="preserve">5.1 Securities-триггеры в геймификации</w:t>
      </w:r>
    </w:p>
    <w:p>
      <w:pPr>
        <w:spacing w:after="120" w:line="276"/>
      </w:pPr>
      <w:r>
        <w:t xml:space="preserve">Регуляторный ландшафт после кейса Robinhood значительно ужесточился. SEC активно исследует «digital engagement practices» (DEPs), а ESMA в ЕС готовит собственные рекомендации. Для AYNI, которая уже оперирует в серой зоне между utility token и securities, compliance-риск геймификации критически важен.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Формулировка / Механика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48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«Top Earners», «Best Returns»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Прямо подразумевает доходность от инвестиций — Howey Test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«Your rewards this quarter: $X» в лидерборде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Публичное отображение financial returns других участников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 по % APY / доходности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Эквивалент рекламы доходности securities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«Investor Rank», «Staker Level»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Терминология securities / staking как финансовый инструмент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Конфетти / celebration при дистрибуции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Robinhood-прецедент: стимулирование частых действий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по объёму зафиксированных позиций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Утилитарная категоризация, аналогична банковским тирам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«Mining Power» визуализация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utility токена, не финансовый результат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комиссии для высоких тиров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Стандартная практика банков и брокеров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Как решили конкуренты</w:t>
      </w:r>
    </w:p>
    <w:p>
      <w:pPr>
        <w:spacing w:after="120" w:line="276"/>
      </w:pPr>
      <w:r>
        <w:rPr>
          <w:b/>
          <w:bCs/>
        </w:rPr>
        <w:t xml:space="preserve">Robinhood: </w:t>
      </w:r>
      <w:r>
        <w:t xml:space="preserve">После штрафа $7.5M и consent order — удалил конфетти, игру «tapping», ограничил push-уведомления. Добавил образовательный контент и предупреждения перед сделками с опционами. Ключевой урок: gamification features, стимулирующие частые транзакции, = нарушение fiduciary duty.</w:t>
      </w:r>
    </w:p>
    <w:p>
      <w:pPr>
        <w:spacing w:after="120" w:line="276"/>
      </w:pPr>
      <w:r>
        <w:rPr>
          <w:b/>
          <w:bCs/>
        </w:rPr>
        <w:t xml:space="preserve">eToro: </w:t>
      </w:r>
      <w:r>
        <w:t xml:space="preserve">Popular Investor Program называет уровни нейтрально (Cadet, Champion, Elite), привязывает к AUM и качеству портфеля, а не к доходности. Публичность — opt-in. Компенсация за «копирование» фреймится как «service fee», не как «rewards».</w:t>
      </w:r>
    </w:p>
    <w:p>
      <w:pPr>
        <w:spacing w:after="120" w:line="276"/>
      </w:pPr>
      <w:r>
        <w:rPr>
          <w:b/>
          <w:bCs/>
        </w:rPr>
        <w:t xml:space="preserve">Interactive Brokers: </w:t>
      </w:r>
      <w:r>
        <w:t xml:space="preserve">Полностью избегает геймификации. Тир-система завязана на объём торгов для снижения комиссий — стандартная брокерская практика, не вызывающая вопросов SEC.</w:t>
      </w:r>
    </w:p>
    <w:p>
      <w:pPr>
        <w:pStyle w:val="Heading2"/>
      </w:pPr>
      <w:r>
        <w:t xml:space="preserve">5.3 Безопасные формулировки для AYNI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Запрещено</w:t>
            </w:r>
          </w:p>
        </w:tc>
        <w:tc>
          <w:tcPr>
            <w:tcW w:type="dxa" w:w="451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Допустимо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Tier, Staker Level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 Tier, Contributor Level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Earnings Leaderboard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Participation Overview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Earners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Contributors (по объёму позиций)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 Progress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Schedule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Milestone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Participation Milestone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Staking Streak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Commitment Timeline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Rank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Summary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Tier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Tier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РЕКОМЕНДАЦИИ ДЛЯ AYNI GOLD</w:t>
      </w:r>
    </w:p>
    <w:p>
      <w:pPr>
        <w:pStyle w:val="Heading2"/>
      </w:pPr>
      <w:r>
        <w:t xml:space="preserve">6.1 Топ-3 механики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4"/>
          <w:szCs w:val="24"/>
        </w:rPr>
        <w:t xml:space="preserve">#1  Mining Contributor Tiers (Основная механика)</w:t>
      </w:r>
    </w:p>
    <w:p>
      <w:pPr>
        <w:spacing w:after="120" w:line="276"/>
      </w:pPr>
      <w:r>
        <w:t xml:space="preserve">Закрытая 4-уровневая тир-система, где ранг определяется комбинацией объёма зафиксированных AYNI-позиций и срока участия. Каждый уровень открывает конкретные привилегии.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Тир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Условия</w:t>
            </w:r>
          </w:p>
        </w:tc>
        <w:tc>
          <w:tcPr>
            <w:tcW w:type="dxa" w:w="43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Привилегии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5,000 AYNI или &lt; 6 мес.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аналитика, стандартные условия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5,000+ AYNI И 6+ мес.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Расширенная аналитика добычи, снижение Success Fee на 5%, приоритет в поддержке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25,000+ AYNI И 12+ мес.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Детальные отчёты по концессии, снижение SF на 10%, ранний доступ к новым позициям, закрытый канал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100,000+ AYNI И 24+ мес.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Персональный менеджер, снижение SF на 15%, приоритет OTC, доступ к AMA, голос в roadmap-голосованиях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4"/>
          <w:szCs w:val="24"/>
        </w:rPr>
        <w:t xml:space="preserve">#2  Mining Power Indicator (Визуализация вклада)</w:t>
      </w:r>
    </w:p>
    <w:p>
      <w:pPr>
        <w:spacing w:after="120" w:line="276"/>
      </w:pPr>
      <w:r>
        <w:t xml:space="preserve">Персональная метрика «Ваша добывающая мощность» на карточке Home, показывающая эквивалент зафиксированных токенов в куб.м/ч обрабатываемой породы. Это уникальная для AYNI визуализация, усиливающая связь между токеном и реальной добычей. Не является лидербордом — пользователь видит только свою метрику.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4"/>
          <w:szCs w:val="24"/>
        </w:rPr>
        <w:t xml:space="preserve">#3  Aggregated Community Stats (Социальный слой)</w:t>
      </w:r>
    </w:p>
    <w:p>
      <w:pPr>
        <w:spacing w:after="120" w:line="276"/>
      </w:pPr>
      <w:r>
        <w:t xml:space="preserve">Блок «Community Overview» на Home или в разделе Resources с агрегированными (не персональными) метриками: общее количество участников по тирам, общий TVL, средний срок позиции, общий объём добытого золота. Это создаёт social proof без раскрытия персональных данных.</w:t>
      </w:r>
    </w:p>
    <w:p>
      <w:pPr>
        <w:spacing w:after="60"/>
      </w:pPr>
    </w:p>
    <w:p>
      <w:pPr>
        <w:pStyle w:val="Heading2"/>
      </w:pPr>
      <w:r>
        <w:t xml:space="preserve">6.2 Антипаттерны — чего избегать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Публичный рейтинг по суммам. </w:t>
      </w:r>
      <w:r>
        <w:t xml:space="preserve">Никогда не показывать позиции или дистрибуции других участников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«Top Earners» или «Best Returns». </w:t>
      </w:r>
      <w:r>
        <w:t xml:space="preserve">Прямой securities-триггер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Celebration-анимации при дистрибуции. </w:t>
      </w:r>
      <w:r>
        <w:t xml:space="preserve">Robinhood-прецедент, ассоциация с казино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Daily streaks / ежедневные задания. </w:t>
      </w:r>
      <w:r>
        <w:t xml:space="preserve">Несовместимо с long-term investment 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Лотереи и random rewards. </w:t>
      </w:r>
      <w:r>
        <w:t xml:space="preserve">Прямая ассоциация со слот-машинами, SEC red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Push-нотификации с позицией в рейтинге. </w:t>
      </w:r>
      <w:r>
        <w:t xml:space="preserve">Инвазивно, раздражает HNW-аудиторию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Термины: investor, staker, earner, yield, APY. </w:t>
      </w:r>
      <w:r>
        <w:t xml:space="preserve">Использовать: participant, contributor, operator, distribution, participation</w:t>
      </w:r>
    </w:p>
    <w:p>
      <w:pPr>
        <w:pStyle w:val="Heading2"/>
      </w:pPr>
      <w:r>
        <w:t xml:space="preserve">6.3 Архитектура данных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Отображаемые данные</w:t>
            </w:r>
          </w:p>
        </w:tc>
        <w:tc>
          <w:tcPr>
            <w:tcW w:type="dxa" w:w="32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Видимость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тир пользователя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расчёт по locked AYNI + дате первой позиции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владелец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Прогресс до следующего тира (%)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distance до порогов следующего тира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владелец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Добывающая мощность (куб.м/ч)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locked_AYNI * 4 * 0.000001 (в куб.м)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владелец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Срок участия (мес.)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дата первой позиции до сегодня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владелец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Бейдж тира в профиле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текущий тир → иконка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владелец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Общее кол-во участников по тирам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COUNT per 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Публично (агрегат)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TVL платформы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+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Публично (агрегат)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6.4 Именование рангов</w:t>
      </w:r>
    </w:p>
    <w:p>
      <w:pPr>
        <w:spacing w:after="120" w:line="276"/>
      </w:pPr>
      <w:r>
        <w:t xml:space="preserve">Имена рангов выбраны с учётом трёх принципов: (a) отсутствие securities-терминологии, (b) связь с mining narrative AYNI, (c) ощущение прогрессии от новичка к профессионалу.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Ранг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Метафора</w:t>
            </w:r>
          </w:p>
        </w:tc>
        <w:tc>
          <w:tcPr>
            <w:tcW w:type="dxa" w:w="47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не стандартные названия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Геолог-исследователь, первый на территории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Bronze/Silver/Gold — слишком «лоялка» банка, не уникально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Активный участник добычи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Investor/Staker — securities-триггеры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Оператор добычи, управляющий процессом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— слишком generic, не передаёт экспертизу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Главный партнёр, принципал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Elite/Whale — крипто-жаргон, несовместимый с Web2-позиционированием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6.5 Интеграция в навигацию</w:t>
      </w:r>
    </w:p>
    <w:p>
      <w:pPr>
        <w:spacing w:after="120" w:line="276"/>
      </w:pPr>
      <w:r>
        <w:t xml:space="preserve">В соответствии с текущей архитектурой навигации (Home | Earn | Portfolio | Activity | Learn):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Home: </w:t>
      </w:r>
      <w:r>
        <w:t xml:space="preserve">карточка «Your Tier» с иконкой текущего ранга, прогресс-баром и Mining Power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Portfolio: </w:t>
      </w:r>
      <w:r>
        <w:t xml:space="preserve">секция «Contributor Status» с детальным breakdown условий текущего и следующего тира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Settings (Avatar → Profile): </w:t>
      </w:r>
      <w:r>
        <w:t xml:space="preserve">бейдж тира рядом с аватаром/именем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Learn: </w:t>
      </w:r>
      <w:r>
        <w:t xml:space="preserve">страница «Contributor Tiers» с описанием всех уровней и привилегий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My Mine (будущее): </w:t>
      </w:r>
      <w:r>
        <w:t xml:space="preserve">визуальная прогрессия шахты (tent → small mine → quarry → gold operation) привязана к тирам</w:t>
      </w:r>
    </w:p>
    <w:p>
      <w:pPr>
        <w:pStyle w:val="Heading2"/>
      </w:pPr>
      <w:r>
        <w:t xml:space="preserve">6.6 KPI для оценки успеха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Базовый уровень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Целевой (через 3 мес.)</w:t>
            </w:r>
          </w:p>
        </w:tc>
        <w:tc>
          <w:tcPr>
            <w:tcW w:type="dxa" w:w="28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измеряем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объём позиции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(замер до запуска)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locked AYNI per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(90 дней)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(замер до запуска)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пользователей, не отменивших позицию за 90 дней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rate (переход на следующий тир)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(новая метрика)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&gt;10% в мес.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пользователей, увеличивших позицию для перехода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 / MAU 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lock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выбранный срок при создании позиции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(тир-участники vs обычные)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NPS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пунктов для тир-участников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survey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OTC-конверсия (Principal tier)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OTC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Principal-участников, воспользовавшихся OTC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MVP-МЕХАНИКА ДЛЯ ПРЕЗЕНТАЦИИ CEO</w:t>
      </w:r>
    </w:p>
    <w:p>
      <w:pPr>
        <w:spacing w:after="60"/>
      </w:pPr>
    </w:p>
    <w:p>
      <w:pPr>
        <w:spacing w:after="60"/>
      </w:pPr>
    </w:p>
    <w:p>
      <w:pPr>
        <w:spacing w:after="120"/>
        <w:ind w:left="360"/>
      </w:pPr>
      <w:r>
        <w:rPr>
          <w:b/>
          <w:bCs/>
          <w:color w:val="1B3A4B"/>
          <w:sz w:val="28"/>
          <w:szCs w:val="28"/>
        </w:rPr>
        <w:t xml:space="preserve">РЕКОМЕНДАЦИЯ: Mining Contributor Tiers</w:t>
      </w:r>
    </w:p>
    <w:p>
      <w:pPr>
        <w:spacing w:after="120" w:line="300"/>
        <w:ind w:left="360" w:right="360"/>
      </w:pPr>
      <w:r>
        <w:rPr>
          <w:sz w:val="22"/>
          <w:szCs w:val="22"/>
        </w:rPr>
        <w:t xml:space="preserve">Вместо публичного лидерборда внедряем закрытую 4-уровневую тир-систему (Explorer → Contributor → Operator → Principal), где ранг определяется объёмом зафиксированных AYNI-позиций и сроком участия. Каждый уровень даёт конкретные преимущества: снижение Success Fee (5–15%), приоритетный OTC-доступ, расширенную аналитику добычи и персональное обслуживание.</w:t>
      </w:r>
    </w:p>
    <w:p>
      <w:pPr>
        <w:spacing w:after="120" w:line="300"/>
        <w:ind w:left="360" w:right="360"/>
      </w:pPr>
      <w:r>
        <w:rPr>
          <w:sz w:val="22"/>
          <w:szCs w:val="22"/>
        </w:rPr>
        <w:t xml:space="preserve">Модель вдохновлена Bank of America Preferred Rewards и Citigold Private Client — проверенными системами для HNW-сегмента. Публичного рейтинга нет: пользователь видит только свой тир, прогресс и привилегии. Это усиливает доверие, мотивирует рост среднего чека и полностью совместимо с compliance-требованиями.</w:t>
      </w:r>
    </w:p>
    <w:p>
      <w:pPr>
        <w:spacing w:after="120" w:line="300"/>
        <w:ind w:left="360" w:right="360"/>
      </w:pPr>
      <w:r>
        <w:rPr>
          <w:sz w:val="22"/>
          <w:szCs w:val="22"/>
        </w:rPr>
        <w:t xml:space="preserve">Дополнительно: персональный Mining Power Indicator на Home («Ваша добывающая мощность: X куб.м/ч») связывает токен с реальной добычей и усиливает unique value proposition AYNI Gold.</w:t>
      </w:r>
    </w:p>
    <w:p>
      <w:pPr>
        <w:spacing w:after="60"/>
      </w:pPr>
    </w:p>
    <w:p>
      <w:pPr>
        <w:spacing w:after="120"/>
        <w:ind w:left="360"/>
      </w:pPr>
      <w:r>
        <w:rPr>
          <w:b/>
          <w:bCs/>
          <w:sz w:val="22"/>
          <w:szCs w:val="22"/>
        </w:rPr>
        <w:t xml:space="preserve">Ожидаемый результат: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t xml:space="preserve">Рост среднего объёма позиции на 15%+ за 3 месяца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t xml:space="preserve">Увеличение retention на 20%+ (мотивация удержания для тира)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t xml:space="preserve">Рост OTC-конверсии для крупных участников на 30%+</w:t>
      </w:r>
    </w:p>
    <w:p>
      <w:pPr>
        <w:pStyle w:val="ListParagraph"/>
        <w:numPr>
          <w:ilvl w:val="0"/>
          <w:numId w:val="2"/>
        </w:numPr>
        <w:spacing w:after="200"/>
        <w:ind w:left="360"/>
      </w:pPr>
      <w:r>
        <w:t xml:space="preserve">Нулевой compliance-риск благодаря отсутствию securities-терминологии</w:t>
      </w:r>
    </w:p>
    <w:p>
      <w:pPr>
        <w:spacing w:after="60"/>
      </w:pPr>
    </w:p>
    <w:p>
      <w:pPr>
        <w:spacing w:after="200"/>
        <w:ind w:left="360"/>
      </w:pPr>
      <w:r>
        <w:rPr>
          <w:color w:val="888888"/>
          <w:sz w:val="20"/>
          <w:szCs w:val="20"/>
        </w:rPr>
        <w:t xml:space="preserve">Техническая реализация: 2–3 недели (backend: логика тиров + frontend: 4 UI-блока)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AYNI Gold  |  Leaderboard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B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2026-03-04T20:26:10.844Z</dcterms:created>
  <dcterms:modified xsi:type="dcterms:W3CDTF">2026-03-04T20:26:10.845Z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