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p>
      <w:pPr>
        <w:numPr>
          <w:ilvl w:val="0"/>
          <w:numId w:val="1001"/>
        </w:numPr>
      </w:pPr>
      <w:r>
        <w:t xml:space="preserve">Le, T. P., Conway, E., Akpan, E., Abell, I.,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(2023).</w:t>
      </w:r>
      <w:r>
        <w:t xml:space="preserve"> </w:t>
      </w:r>
      <w:r>
        <w:rPr>
          <w:i/>
          <w:iCs/>
        </w:rPr>
        <w:t xml:space="preserve">Cost-effective boosting allocations in the post-Omicron era of COVID-19 management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https://doi.org/10.1101/2023.11.14.23298536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2025-08-15T02:03:08Z</dcterms:created>
  <dcterms:modified xsi:type="dcterms:W3CDTF">2025-08-15T02:03:08Z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