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 Vitae</w:t>
      </w:r>
    </w:p>
    <w:p>
      <w:pPr>
        <w:pStyle w:val="FirstParagraph"/>
      </w:pPr>
      <w:r>
        <w:t xml:space="preserve">Dr Michael Lydeamore</w:t>
      </w:r>
      <w:r>
        <w:br/>
      </w:r>
      <w:r>
        <w:t xml:space="preserve">Department of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Email: michael.lydeamore@monash.edu</w:t>
      </w:r>
    </w:p>
    <w:bookmarkStart w:id="20" w:name="appointments-held"/>
    <w:p>
      <w:pPr>
        <w:pStyle w:val="Heading2"/>
      </w:pPr>
      <w:r>
        <w:t xml:space="preserve"> </w:t>
      </w:r>
      <w:r>
        <w:t xml:space="preserve">Appointments Held</w:t>
      </w:r>
    </w:p>
    <w:p>
      <w:pPr>
        <w:pStyle w:val="FirstParagraph"/>
      </w:pPr>
      <w:r>
        <w:rPr>
          <w:b/>
          <w:bCs/>
        </w:rPr>
        <w:t xml:space="preserve">Senior Lecturer -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2021 —</w:t>
      </w:r>
    </w:p>
    <w:p>
      <w:pPr>
        <w:pStyle w:val="BodyText"/>
      </w:pPr>
      <w:r>
        <w:rPr>
          <w:b/>
          <w:bCs/>
        </w:rPr>
        <w:t xml:space="preserve">COVID-19 Modelling &amp; Forecasting Lead</w:t>
      </w:r>
      <w:r>
        <w:br/>
      </w:r>
      <w:r>
        <w:rPr>
          <w:b/>
          <w:bCs/>
        </w:rPr>
        <w:t xml:space="preserve">Manager, Analytics</w:t>
      </w:r>
      <w:r>
        <w:br/>
      </w:r>
      <w:r>
        <w:t xml:space="preserve">Department of Health and Human Services, Victoria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Postdoctoral Research Fellow</w:t>
      </w:r>
      <w:r>
        <w:br/>
      </w:r>
      <w:r>
        <w:t xml:space="preserve">Monash University</w:t>
      </w:r>
    </w:p>
    <w:p>
      <w:pPr>
        <w:pStyle w:val="BodyText"/>
      </w:pPr>
      <w:r>
        <w:t xml:space="preserve">2019 — 2021</w:t>
      </w:r>
    </w:p>
    <w:p>
      <w:pPr>
        <w:pStyle w:val="BodyText"/>
      </w:pPr>
      <w:r>
        <w:rPr>
          <w:b/>
          <w:bCs/>
        </w:rPr>
        <w:t xml:space="preserve">Honorary Team Member</w:t>
      </w:r>
      <w:r>
        <w:br/>
      </w:r>
      <w:r>
        <w:t xml:space="preserve">SaferCare Victoria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Honorary Research Fellow</w:t>
      </w:r>
      <w:r>
        <w:br/>
      </w:r>
      <w:r>
        <w:t xml:space="preserve">Alfred Health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Research Fellow</w:t>
      </w:r>
      <w:r>
        <w:br/>
      </w:r>
      <w:r>
        <w:t xml:space="preserve">The Kirby Institute, University of New South Wales</w:t>
      </w:r>
    </w:p>
    <w:p>
      <w:pPr>
        <w:pStyle w:val="BodyText"/>
      </w:pPr>
      <w:r>
        <w:t xml:space="preserve">2018 — 2019</w:t>
      </w:r>
    </w:p>
    <w:bookmarkEnd w:id="20"/>
    <w:bookmarkStart w:id="21" w:name="educa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Doctor of Philosophy – Applied Mathematics</w:t>
      </w:r>
      <w:r>
        <w:br/>
      </w:r>
      <w:r>
        <w:t xml:space="preserve">The University of Melbourne</w:t>
      </w:r>
      <w:r>
        <w:br/>
      </w:r>
      <w:r>
        <w:t xml:space="preserve">Thesis title: Mechanistic and statistical models of skin disease transmission</w:t>
      </w:r>
    </w:p>
    <w:p>
      <w:pPr>
        <w:pStyle w:val="BodyText"/>
      </w:pPr>
      <w:r>
        <w:t xml:space="preserve">2015 — 2019</w:t>
      </w:r>
    </w:p>
    <w:p>
      <w:pPr>
        <w:pStyle w:val="BodyText"/>
      </w:pPr>
      <w:r>
        <w:rPr>
          <w:b/>
          <w:bCs/>
        </w:rPr>
        <w:t xml:space="preserve">Masters of Philosophy – Applied Mathematics</w:t>
      </w:r>
      <w:r>
        <w:br/>
      </w:r>
      <w:r>
        <w:t xml:space="preserve">The University of Adelaide</w:t>
      </w:r>
      <w:r>
        <w:br/>
      </w:r>
      <w:r>
        <w:t xml:space="preserve">Thesis title: Approximations of stochastic household models for comparing antiviral allocation schemes</w:t>
      </w:r>
      <w:r>
        <w:br/>
      </w:r>
      <w:r>
        <w:t xml:space="preserve">Awarded the Applied Probability Trust prize for the highest mark with a project in Applied Mathematics and Statistics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2013 — 2014</w:t>
      </w:r>
    </w:p>
    <w:p>
      <w:pPr>
        <w:pStyle w:val="BodyText"/>
      </w:pPr>
      <w:r>
        <w:rPr>
          <w:b/>
          <w:bCs/>
        </w:rPr>
        <w:t xml:space="preserve">Bachelor of Mathematical Sciences</w:t>
      </w:r>
      <w:r>
        <w:br/>
      </w:r>
      <w:r>
        <w:t xml:space="preserve">The University of Adelaide</w:t>
      </w:r>
      <w:r>
        <w:br/>
      </w:r>
      <w:r>
        <w:t xml:space="preserve">Graduated with a double major in applied and pure mathematics</w:t>
      </w:r>
    </w:p>
    <w:p>
      <w:pPr>
        <w:pStyle w:val="BodyText"/>
      </w:pPr>
      <w:r>
        <w:t xml:space="preserve">2010 — 2013</w:t>
      </w:r>
    </w:p>
    <w:bookmarkEnd w:id="21"/>
    <w:bookmarkStart w:id="46" w:name="publications"/>
    <w:p>
      <w:pPr>
        <w:pStyle w:val="Heading2"/>
      </w:pPr>
      <w:r>
        <w:t xml:space="preserve"> </w:t>
      </w:r>
      <w:r>
        <w:t xml:space="preserve">Publications</w:t>
      </w:r>
    </w:p>
    <w:bookmarkStart w:id="25" w:name="preprints"/>
    <w:p>
      <w:pPr>
        <w:pStyle w:val="Heading3"/>
      </w:pPr>
      <w:r>
        <w:t xml:space="preserve">Preprints</w:t>
      </w:r>
    </w:p>
    <w:p>
      <w:pPr>
        <w:pStyle w:val="Compact"/>
        <w:numPr>
          <w:ilvl w:val="0"/>
          <w:numId w:val="1001"/>
        </w:numPr>
      </w:pPr>
      <w:r>
        <w:t xml:space="preserve">Conway, E., Walker, C.,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Golding, N., Ryan, G., Mavec, D., Oates, J., Kabashima, G., Price, D. J., Shearer, F., Cromer, D., Davenport, M. P., McCaw, J., Eriksson, E. M., Hodgkin, P. D., Wu, L., Le, T. P., Baker, C. M., Mueller, I., &amp; McVernon, J. (2024).</w:t>
      </w:r>
      <w:r>
        <w:t xml:space="preserve"> </w:t>
      </w:r>
      <w:r>
        <w:rPr>
          <w:i/>
          <w:iCs/>
        </w:rPr>
        <w:t xml:space="preserve">Optimal timing of booster doses in a highly vaccinated population with minimal natural exposure to COVID-19</w:t>
      </w:r>
      <w:r>
        <w:t xml:space="preserve">. medRxiv.</w:t>
      </w:r>
      <w:r>
        <w:t xml:space="preserve"> </w:t>
      </w:r>
      <w:hyperlink r:id="rId22">
        <w:r>
          <w:rPr>
            <w:rStyle w:val="Hyperlink"/>
          </w:rPr>
          <w:t xml:space="preserve">https://doi.org/10.1101/2024.05.14.24307386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Zachreson, C., Conway, E., Shearer, F. M., Baker, C. M., Ross, J. V., Miller, J. C., McCaw, J. M., Geard, N., McVernon, J., &amp; Price, D. J. (2024).</w:t>
      </w:r>
      <w:r>
        <w:t xml:space="preserve"> </w:t>
      </w:r>
      <w:r>
        <w:rPr>
          <w:i/>
          <w:iCs/>
        </w:rPr>
        <w:t xml:space="preserve">Border quarantine, vaccination and public health measures to mitigate the impact of COVID-19 importations: a modelling study</w:t>
      </w:r>
      <w:r>
        <w:t xml:space="preserve">. medRxiv.</w:t>
      </w:r>
      <w:r>
        <w:t xml:space="preserve"> </w:t>
      </w:r>
      <w:hyperlink r:id="rId23">
        <w:r>
          <w:rPr>
            <w:rStyle w:val="Hyperlink"/>
          </w:rPr>
          <w:t xml:space="preserve">https://doi.org/10.1101/2024.04.22.24305704</w:t>
        </w:r>
      </w:hyperlink>
    </w:p>
    <w:p>
      <w:pPr>
        <w:pStyle w:val="Compact"/>
        <w:numPr>
          <w:ilvl w:val="0"/>
          <w:numId w:val="1001"/>
        </w:numPr>
      </w:pPr>
      <w:r>
        <w:t xml:space="preserve">Le, T. P., Conway, E., Akpan, E., Abell, I., Abraham, P., Baker, C. M., Campbell, P. T., Cromer, D.,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McDonough, Y., Mueller, I., Ryan, G., Walker, C., Wang, Y., Carvalho, N., &amp; McVernon, J. (2023).</w:t>
      </w:r>
      <w:r>
        <w:t xml:space="preserve"> </w:t>
      </w:r>
      <w:r>
        <w:rPr>
          <w:i/>
          <w:iCs/>
        </w:rPr>
        <w:t xml:space="preserve">Cost-effective boosting allocations in the post-Omicron era of COVID-19 management</w:t>
      </w:r>
      <w:r>
        <w:t xml:space="preserve">. medRxiv.</w:t>
      </w:r>
      <w:r>
        <w:t xml:space="preserve"> </w:t>
      </w:r>
      <w:hyperlink r:id="rId24">
        <w:r>
          <w:rPr>
            <w:rStyle w:val="Hyperlink"/>
          </w:rPr>
          <w:t xml:space="preserve">https://doi.org/10.1101/2023.11.14.23298536</w:t>
        </w:r>
      </w:hyperlink>
    </w:p>
    <w:bookmarkEnd w:id="25"/>
    <w:bookmarkStart w:id="45" w:name="peer-reviewed-articles"/>
    <w:p>
      <w:pPr>
        <w:pStyle w:val="Heading3"/>
      </w:pPr>
      <w:r>
        <w:t xml:space="preserve">Peer-reviewed articles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Wu, D., Donker, T., Gorrie, C., Higgs, C. K., Easton, M., Hennessy, D., Geard, N., Howden, B. P., Cooper, B. S., Wilson, A., Peleg, A. Y., &amp; Stewardson, A. J. (2024). Changes in isolation guidelines for CPE patients results in only mild reduction in required hospital beds.</w:t>
      </w:r>
      <w:r>
        <w:t xml:space="preserve"> </w:t>
      </w:r>
      <w:r>
        <w:rPr>
          <w:i/>
          <w:iCs/>
        </w:rPr>
        <w:t xml:space="preserve">Infection, Disease &amp; Health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https://doi.org/10.1016/j.idh.2024.10.004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Donker, T., Wu, D., Gorrie, C., Turner, A., Easton, M., Hennessy, D., Geard, N., Howden, B. P., Cooper, B. S., Wilson, A., Peleg, A. Y., &amp; Stewardson, A. J. (2024). Carbapenemase-producing enterobacterales colonisation status does not lead to more frequent admissions: a linked patient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(1), 82.</w:t>
      </w:r>
      <w:r>
        <w:t xml:space="preserve"> </w:t>
      </w:r>
      <w:hyperlink r:id="rId27">
        <w:r>
          <w:rPr>
            <w:rStyle w:val="Hyperlink"/>
          </w:rPr>
          <w:t xml:space="preserve">https://doi.org/10.1186/s13756-024-01437-x</w:t>
        </w:r>
      </w:hyperlink>
    </w:p>
    <w:p>
      <w:pPr>
        <w:pStyle w:val="Compact"/>
        <w:numPr>
          <w:ilvl w:val="0"/>
          <w:numId w:val="1002"/>
        </w:numPr>
      </w:pPr>
      <w:r>
        <w:t xml:space="preserve">Shearer, F. M., McCaw, J. M., Ryan, G. E., Hao, T., Tierney, N.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Wu, L., Ward, K., Ellis, S., Wood, J., McVernon, J., &amp; Golding, N. (2024). Estimating the impact of test–trace–isolate–quarantine systems on SARS-CoV-2 transmission in Australia.</w:t>
      </w:r>
      <w:r>
        <w:t xml:space="preserve"> </w:t>
      </w:r>
      <w:r>
        <w:rPr>
          <w:i/>
          <w:iCs/>
        </w:rPr>
        <w:t xml:space="preserve">Epidemics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, 100764.</w:t>
      </w:r>
      <w:r>
        <w:t xml:space="preserve"> </w:t>
      </w:r>
      <w:hyperlink r:id="rId28">
        <w:r>
          <w:rPr>
            <w:rStyle w:val="Hyperlink"/>
          </w:rPr>
          <w:t xml:space="preserve">https://doi.org/10.1016/j.epidem.2024.100764</w:t>
        </w:r>
      </w:hyperlink>
    </w:p>
    <w:p>
      <w:pPr>
        <w:pStyle w:val="Compact"/>
        <w:numPr>
          <w:ilvl w:val="0"/>
          <w:numId w:val="1002"/>
        </w:numPr>
      </w:pPr>
      <w:r>
        <w:t xml:space="preserve">Le, T. P., Abell, I., Conway, E., Campbell, P. T., Hogan, A. B.,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Mueller, I., Walker, C. R., &amp; Baker, C. M. (2024). Modelling the impact of hybrid immunity on future COVID-19 epidemic waves.</w:t>
      </w:r>
      <w:r>
        <w:t xml:space="preserve"> </w:t>
      </w:r>
      <w:r>
        <w:rPr>
          <w:i/>
          <w:iCs/>
        </w:rPr>
        <w:t xml:space="preserve">BMC Infectious Diseases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(1), 407.</w:t>
      </w:r>
      <w:r>
        <w:t xml:space="preserve"> </w:t>
      </w:r>
      <w:hyperlink r:id="rId29">
        <w:r>
          <w:rPr>
            <w:rStyle w:val="Hyperlink"/>
          </w:rPr>
          <w:t xml:space="preserve">https://doi.org/10.1186/s12879-024-09282-4</w:t>
        </w:r>
      </w:hyperlink>
    </w:p>
    <w:p>
      <w:pPr>
        <w:pStyle w:val="Compact"/>
        <w:numPr>
          <w:ilvl w:val="0"/>
          <w:numId w:val="1002"/>
        </w:numPr>
      </w:pPr>
      <w:r>
        <w:t xml:space="preserve">Conway, E., Walker, C. R., Baker, C.,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Ryan, G. E., Campbell, T., Miller, J. C., Rebuli, N., Yeung, M., Kabashima, G., Geard, N., Wood, J., McCaw, J. M., McVernon, J., Golding, N., Price, D. J., &amp; Shearer, F. M. (2023). COVID-19 vaccine coverage targets to inform reopening plans in a low incidence setting.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290</w:t>
      </w:r>
      <w:r>
        <w:t xml:space="preserve">(2005), 20231437.</w:t>
      </w:r>
      <w:r>
        <w:t xml:space="preserve"> </w:t>
      </w:r>
      <w:hyperlink r:id="rId30">
        <w:r>
          <w:rPr>
            <w:rStyle w:val="Hyperlink"/>
          </w:rPr>
          <w:t xml:space="preserve">https://doi.org/10.1098/rspb.2023.1437</w:t>
        </w:r>
      </w:hyperlink>
    </w:p>
    <w:p>
      <w:pPr>
        <w:pStyle w:val="Compact"/>
        <w:numPr>
          <w:ilvl w:val="0"/>
          <w:numId w:val="1002"/>
        </w:numPr>
      </w:pPr>
      <w:r>
        <w:t xml:space="preserve">Mitchell, B. G., Stewardson, A. J., Kerr, L., Ferguson, J. K., Curtis, S., Busija,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Graham, K., &amp; Russo, P. L. (2023). The incidence of nosocomial bloodstream infection and urinary tract infection in Australian hospitals before and during the COVID-19 pandemic: an interrupted time series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61.</w:t>
      </w:r>
      <w:r>
        <w:t xml:space="preserve"> </w:t>
      </w:r>
      <w:hyperlink r:id="rId31">
        <w:r>
          <w:rPr>
            <w:rStyle w:val="Hyperlink"/>
          </w:rPr>
          <w:t xml:space="preserve">https://doi.org/10.1186/s13756-023-01268-2</w:t>
        </w:r>
      </w:hyperlink>
    </w:p>
    <w:p>
      <w:pPr>
        <w:pStyle w:val="Compact"/>
        <w:numPr>
          <w:ilvl w:val="0"/>
          <w:numId w:val="1002"/>
        </w:numPr>
      </w:pPr>
      <w:r>
        <w:t xml:space="preserve">Zachreson, C., Shearer, F. M., Price, D.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McCaw, J., &amp; Geard, N. (2022). COVID-19 in low-tolerance border quarantine systems: Impact of the Delta variant of SARS-CoV-2.</w:t>
      </w:r>
      <w:r>
        <w:t xml:space="preserve"> </w:t>
      </w:r>
      <w:r>
        <w:rPr>
          <w:i/>
          <w:iCs/>
        </w:rPr>
        <w:t xml:space="preserve">Science Advances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(14), eabm3624.</w:t>
      </w:r>
      <w:r>
        <w:t xml:space="preserve"> </w:t>
      </w:r>
      <w:hyperlink r:id="rId32">
        <w:r>
          <w:rPr>
            <w:rStyle w:val="Hyperlink"/>
          </w:rPr>
          <w:t xml:space="preserve">https://doi.org/10.1126/sciadv.abm3624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Mitchell, B. G., Bucknall, T., Cheng, A. C., Russo, P. L., &amp; Stewardson, A. J. (2022). Burden of five healthcare associated infections in Australia.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69.</w:t>
      </w:r>
      <w:r>
        <w:t xml:space="preserve"> </w:t>
      </w:r>
      <w:hyperlink r:id="rId33">
        <w:r>
          <w:rPr>
            <w:rStyle w:val="Hyperlink"/>
          </w:rPr>
          <w:t xml:space="preserve">https://doi.org/10.1186/s13756-022-01109-8</w:t>
        </w:r>
      </w:hyperlink>
    </w:p>
    <w:p>
      <w:pPr>
        <w:pStyle w:val="Compact"/>
        <w:numPr>
          <w:ilvl w:val="0"/>
          <w:numId w:val="1002"/>
        </w:numPr>
      </w:pPr>
      <w:r>
        <w:t xml:space="preserve">Trauer, J.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Dalton, G. W., Pilcher, D., Meehan, M. T., McBryde, E. S., Cheng, A. C., Sutton, B., &amp; Ragonnet, R. (2021). Understanding how Victoria, Australia gained control of its second COVID-19 wave.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6266.</w:t>
      </w:r>
      <w:r>
        <w:t xml:space="preserve"> </w:t>
      </w:r>
      <w:hyperlink r:id="rId34">
        <w:r>
          <w:rPr>
            <w:rStyle w:val="Hyperlink"/>
          </w:rPr>
          <w:t xml:space="preserve">https://doi.org/10.1038/s41467-021-26558-4</w:t>
        </w:r>
      </w:hyperlink>
    </w:p>
    <w:p>
      <w:pPr>
        <w:pStyle w:val="Compact"/>
        <w:numPr>
          <w:ilvl w:val="0"/>
          <w:numId w:val="1002"/>
        </w:numPr>
      </w:pPr>
      <w:r>
        <w:t xml:space="preserve">McMahon, J. H.,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&amp; Stewardson, A. J. (2021). Bringing evidence from press release to the clinic in the era of COVID-19.</w:t>
      </w:r>
      <w:r>
        <w:t xml:space="preserve"> </w:t>
      </w:r>
      <w:r>
        <w:rPr>
          <w:i/>
          <w:iCs/>
        </w:rPr>
        <w:t xml:space="preserve">Journal of Antimicrobial Chemotherapy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547–549.</w:t>
      </w:r>
      <w:r>
        <w:t xml:space="preserve"> </w:t>
      </w:r>
      <w:hyperlink r:id="rId35">
        <w:r>
          <w:rPr>
            <w:rStyle w:val="Hyperlink"/>
          </w:rPr>
          <w:t xml:space="preserve">https://doi.org/10.1093/jac/dkaa506</w:t>
        </w:r>
      </w:hyperlink>
    </w:p>
    <w:p>
      <w:pPr>
        <w:pStyle w:val="Compact"/>
        <w:numPr>
          <w:ilvl w:val="0"/>
          <w:numId w:val="1002"/>
        </w:numPr>
      </w:pPr>
      <w:r>
        <w:t xml:space="preserve">Zachreson, C., Mitchell,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Rebuli, N., Tomko, M., &amp; Geard, N. (2021). Risk mapping for COVID-19 outbreaks in Australia using mobility data.</w:t>
      </w:r>
      <w:r>
        <w:t xml:space="preserve"> </w:t>
      </w:r>
      <w:r>
        <w:rPr>
          <w:i/>
          <w:iCs/>
        </w:rPr>
        <w:t xml:space="preserve">Journal of The Royal Society Interface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(174), 20200657.</w:t>
      </w:r>
      <w:r>
        <w:t xml:space="preserve"> </w:t>
      </w:r>
      <w:hyperlink r:id="rId36">
        <w:r>
          <w:rPr>
            <w:rStyle w:val="Hyperlink"/>
          </w:rPr>
          <w:t xml:space="preserve">https://doi.org/10.1098/rsif.2020.0657</w:t>
        </w:r>
      </w:hyperlink>
    </w:p>
    <w:p>
      <w:pPr>
        <w:pStyle w:val="Compact"/>
        <w:numPr>
          <w:ilvl w:val="0"/>
          <w:numId w:val="1002"/>
        </w:numPr>
      </w:pPr>
      <w:r>
        <w:t xml:space="preserve">Sullivan, S. G., Brotherton, J. M., Lynch, B. M., Cheung, A.,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Stevenson, M., Firestone, S., Canevari, J., Nguyen, H. N. J., &amp; Carville, K. S. (2021). Population-based analysis of the epidemiological features of COVID-19 epidemics in Victoria, Australia, January 2020-March 2021, and their suppression through comprehensive control strategies.</w:t>
      </w:r>
      <w:r>
        <w:t xml:space="preserve"> </w:t>
      </w:r>
      <w:r>
        <w:rPr>
          <w:i/>
          <w:iCs/>
        </w:rPr>
        <w:t xml:space="preserve">Lancet Regional Health - Western Pacific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(2021). Mathematical models to support Victoria’s COVID-19 response: a blunt instrument to a complex problem.</w:t>
      </w:r>
      <w:r>
        <w:t xml:space="preserve"> </w:t>
      </w:r>
      <w:r>
        <w:rPr>
          <w:i/>
          <w:iCs/>
        </w:rPr>
        <w:t xml:space="preserve">Journal of the Australian Mathematical Society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https://austms.org.au/wp-content/uploads/2021/07/Lydeamore.pdf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Price, D. J., Wu, Y., Marcato, A. J., Cuningham, W., Carapetis, J. R., Andrews, R. M., McDonald, M. I., McVernon, J., Tong, S. Y. C., &amp; McCaw, J. M. (2020). Estimation of the force of infection and infectious period of skin sores in remote Australian communities using interval-censored data.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(10), e1007838.</w:t>
      </w:r>
      <w:r>
        <w:t xml:space="preserve"> </w:t>
      </w:r>
      <w:hyperlink r:id="rId38">
        <w:r>
          <w:rPr>
            <w:rStyle w:val="Hyperlink"/>
          </w:rPr>
          <w:t xml:space="preserve">https://doi.org/10.1371/journal.pcbi.1007838</w:t>
        </w:r>
      </w:hyperlink>
    </w:p>
    <w:p>
      <w:pPr>
        <w:pStyle w:val="Compact"/>
        <w:numPr>
          <w:ilvl w:val="0"/>
          <w:numId w:val="1002"/>
        </w:numPr>
      </w:pPr>
      <w:r>
        <w:t xml:space="preserve">Cuningham, W., McVernon,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Andrews, R. M., Carapetis, J., Kearns, T., Clucas, D., Dhurrkay, R. G., Tong, S. Y. C., &amp; Campbell, P. T. (2019). High burden of infectious disease and antibiotic use in early life in Australian Aboriginal communities.</w:t>
      </w:r>
      <w:r>
        <w:t xml:space="preserve"> </w:t>
      </w:r>
      <w:r>
        <w:rPr>
          <w:i/>
          <w:iCs/>
        </w:rPr>
        <w:t xml:space="preserve">Australian and New Zealand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43</w:t>
      </w:r>
      <w:r>
        <w:t xml:space="preserve">(2), 149–155.</w:t>
      </w:r>
      <w:r>
        <w:t xml:space="preserve"> </w:t>
      </w:r>
      <w:hyperlink r:id="rId39">
        <w:r>
          <w:rPr>
            <w:rStyle w:val="Hyperlink"/>
          </w:rPr>
          <w:t xml:space="preserve">https://doi.org/10.1111/1753-6405.12876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Regan, D. G., Tong, S. Y. C., Andrews, R. M., Steer, A. C., Romani, L., Kaldor, J. M., McVernon, J., &amp; McCaw, J. M. (2018). A biological model of scabies infection dynamics and treatment informs mass drug administration strategies to increase the likelihood of elimination.</w:t>
      </w:r>
      <w:r>
        <w:t xml:space="preserve"> </w:t>
      </w:r>
      <w:r>
        <w:rPr>
          <w:i/>
          <w:iCs/>
        </w:rPr>
        <w:t xml:space="preserve">Mathematical Biosciences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https://doi.org/10.1016/j.mbs.2018.08.007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Cuningham, W., Andrews, R. M., Kearns, T., Clucas, D., Dhurrkay, R. G., Carapetis, J., Tong, S. Y. C., McCaw, J. M., &amp; McVernon, J. (2018). Calculation of the age of the first infection for skin sores and scabies in five remote communities in northern Australia.</w:t>
      </w:r>
      <w:r>
        <w:t xml:space="preserve"> </w:t>
      </w:r>
      <w:r>
        <w:rPr>
          <w:i/>
          <w:iCs/>
        </w:rPr>
        <w:t xml:space="preserve">Epidemiology &amp; Infection</w:t>
      </w:r>
      <w:r>
        <w:t xml:space="preserve">, 1–8.</w:t>
      </w:r>
      <w:r>
        <w:t xml:space="preserve"> </w:t>
      </w:r>
      <w:hyperlink r:id="rId41">
        <w:r>
          <w:rPr>
            <w:rStyle w:val="Hyperlink"/>
          </w:rPr>
          <w:t xml:space="preserve">https://doi.org/10.1017/S0950268818001061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(2018).</w:t>
      </w:r>
      <w:r>
        <w:t xml:space="preserve"> </w:t>
      </w:r>
      <w:r>
        <w:rPr>
          <w:i/>
          <w:iCs/>
        </w:rPr>
        <w:t xml:space="preserve">Mechanistic and statistical models of skin disease transmission</w:t>
      </w:r>
      <w:r>
        <w:t xml:space="preserve">.</w:t>
      </w:r>
      <w:r>
        <w:t xml:space="preserve"> </w:t>
      </w:r>
      <w:hyperlink r:id="rId42">
        <w:r>
          <w:rPr>
            <w:rStyle w:val="Hyperlink"/>
          </w:rPr>
          <w:t xml:space="preserve">http://minerva-access.unimelb.edu.au/handle/11343/221232</w:t>
        </w:r>
      </w:hyperlink>
    </w:p>
    <w:p>
      <w:pPr>
        <w:pStyle w:val="Compact"/>
        <w:numPr>
          <w:ilvl w:val="0"/>
          <w:numId w:val="1002"/>
        </w:numPr>
      </w:pPr>
      <w:r>
        <w:t xml:space="preserve">Vino, T., Singh, G. R., Davison, B., Campbell, P. T.,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Robinson, A., McVernon, J., Tong, S. Y. C., &amp; Geard, N. (2017). Indigenous Australian household structure: a simple data collection tool and implications for close contact transmission of communicable diseases.</w:t>
      </w:r>
      <w:r>
        <w:t xml:space="preserve"> </w:t>
      </w:r>
      <w:r>
        <w:rPr>
          <w:i/>
          <w:iCs/>
        </w:rPr>
        <w:t xml:space="preserve">PeerJ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, e3958.</w:t>
      </w:r>
      <w:r>
        <w:t xml:space="preserve"> </w:t>
      </w:r>
      <w:hyperlink r:id="rId43">
        <w:r>
          <w:rPr>
            <w:rStyle w:val="Hyperlink"/>
          </w:rPr>
          <w:t xml:space="preserve">https://doi.org/10.7717/peerj.3958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</w:t>
      </w:r>
      <w:r>
        <w:t xml:space="preserve">, Bean, N., Black, A. J., &amp; Ross, J. V. (2016). Choice of Antiviral Allocation Scheme for Pandemic Influenza Depends on Strain Transmissibility, Delivery Delay and Stockpile Size.</w:t>
      </w:r>
      <w:r>
        <w:t xml:space="preserve"> </w:t>
      </w:r>
      <w:r>
        <w:rPr>
          <w:i/>
          <w:iCs/>
        </w:rPr>
        <w:t xml:space="preserve">Bulletin of Mathematical Biology</w:t>
      </w:r>
      <w:r>
        <w:t xml:space="preserve">, 1–29.</w:t>
      </w:r>
      <w:r>
        <w:t xml:space="preserve"> </w:t>
      </w:r>
      <w:hyperlink r:id="rId44">
        <w:r>
          <w:rPr>
            <w:rStyle w:val="Hyperlink"/>
          </w:rPr>
          <w:t xml:space="preserve">https://doi.org/10.1007/s11538-016-0144-6</w:t>
        </w:r>
      </w:hyperlink>
    </w:p>
    <w:bookmarkEnd w:id="45"/>
    <w:bookmarkEnd w:id="46"/>
    <w:bookmarkStart w:id="47" w:name="funding"/>
    <w:p>
      <w:pPr>
        <w:pStyle w:val="Heading2"/>
      </w:pPr>
      <w:r>
        <w:t xml:space="preserve"> </w:t>
      </w:r>
      <w:r>
        <w:t xml:space="preserve">Funding</w:t>
      </w:r>
    </w:p>
    <w:p>
      <w:pPr>
        <w:pStyle w:val="FirstParagraph"/>
      </w:pPr>
      <w:r>
        <w:t xml:space="preserve">Almost all of this funding was obtained in partnership with large, collaborative teams.</w:t>
      </w:r>
    </w:p>
    <w:p>
      <w:pPr>
        <w:pStyle w:val="BodyText"/>
      </w:pPr>
      <w:r>
        <w:rPr>
          <w:b/>
          <w:bCs/>
        </w:rPr>
        <w:t xml:space="preserve">Modelling Work in Low and Middle Income Counties in the Western Pacific Region for the COVID-19 SAGE Working Group</w:t>
      </w:r>
      <w:r>
        <w:br/>
      </w:r>
      <w:r>
        <w:t xml:space="preserve">World Health Organisation</w:t>
      </w:r>
      <w:r>
        <w:br/>
      </w:r>
      <w:r>
        <w:t xml:space="preserve">Awarded value: $8,157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Modelling To Support Australia’s Resilience to and Preparedness for Omicron And Future Sars-Cov-2 Variants</w:t>
      </w:r>
      <w:r>
        <w:br/>
      </w:r>
      <w:r>
        <w:t xml:space="preserve">Commonwealth Government of Australia</w:t>
      </w:r>
      <w:r>
        <w:br/>
      </w:r>
      <w:r>
        <w:t xml:space="preserve">Awarded value: $80,059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Contractual Partner to Conduct Research on Healthcare-Associated Infection Rates in Phillippine Hospitals</w:t>
      </w:r>
      <w:r>
        <w:br/>
      </w:r>
      <w:r>
        <w:t xml:space="preserve">World Health Organisation Phillippines</w:t>
      </w:r>
      <w:r>
        <w:br/>
      </w:r>
      <w:r>
        <w:t xml:space="preserve">Awarded value: $72,078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Centre of Western Public Health Unit</w:t>
      </w:r>
      <w:r>
        <w:br/>
      </w:r>
      <w:r>
        <w:t xml:space="preserve">Contract Research</w:t>
      </w:r>
      <w:r>
        <w:br/>
      </w:r>
      <w:r>
        <w:t xml:space="preserve">Awarded value: $25,000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Extending and comparing methods for projecting social contact matrices</w:t>
      </w:r>
      <w:r>
        <w:br/>
      </w:r>
      <w:r>
        <w:t xml:space="preserve">SPECTRUM/SPARK Seed Funding</w:t>
      </w:r>
      <w:r>
        <w:br/>
      </w:r>
      <w:r>
        <w:t xml:space="preserve">Awarded value: $19,438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Quantifying longitudinal relationships between community mobility and COVID-19 case incidence in west metropolitan Melbourne</w:t>
      </w:r>
      <w:r>
        <w:br/>
      </w:r>
      <w:r>
        <w:t xml:space="preserve">SPECTRUM/SPARK Seed Funding</w:t>
      </w:r>
      <w:r>
        <w:br/>
      </w:r>
      <w:r>
        <w:t xml:space="preserve">Awarded value: $19,896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Modelling to support Australia’s national plan for COVID-19</w:t>
      </w:r>
      <w:r>
        <w:br/>
      </w:r>
      <w:r>
        <w:t xml:space="preserve">Commonwealth Government of Australia</w:t>
      </w:r>
      <w:r>
        <w:br/>
      </w:r>
      <w:r>
        <w:t xml:space="preserve">Awarded value: $147,536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to support Australia’s transition to</w:t>
      </w:r>
      <w:r>
        <w:rPr>
          <w:b/>
          <w:bCs/>
        </w:rPr>
        <w:t xml:space="preserve"> </w:t>
      </w:r>
      <w:r>
        <w:rPr>
          <w:b/>
          <w:bCs/>
        </w:rPr>
        <w:t xml:space="preserve">‘COVID-normal’</w:t>
      </w:r>
      <w:r>
        <w:br/>
      </w:r>
      <w:r>
        <w:t xml:space="preserve">Australian Office of Health Protection</w:t>
      </w:r>
      <w:r>
        <w:br/>
      </w:r>
      <w:r>
        <w:t xml:space="preserve">Awarded value: $25,620</w:t>
      </w:r>
    </w:p>
    <w:p>
      <w:pPr>
        <w:pStyle w:val="BodyText"/>
      </w:pPr>
      <w:r>
        <w:t xml:space="preserve">2021</w:t>
      </w:r>
    </w:p>
    <w:bookmarkEnd w:id="47"/>
    <w:bookmarkStart w:id="48" w:name="Xbc568e7f5d2fd0d767cf980278c77384c0244ab"/>
    <w:p>
      <w:pPr>
        <w:pStyle w:val="Heading2"/>
      </w:pPr>
      <w:r>
        <w:t xml:space="preserve"> </w:t>
      </w:r>
      <w:r>
        <w:t xml:space="preserve">Conference presentations and contributed talks</w:t>
      </w:r>
    </w:p>
    <w:p>
      <w:pPr>
        <w:pStyle w:val="FirstParagraph"/>
      </w:pPr>
      <w:r>
        <w:rPr>
          <w:b/>
          <w:bCs/>
        </w:rPr>
        <w:t xml:space="preserve">Networks of networks in infectious diseases modelling</w:t>
      </w:r>
      <w:r>
        <w:t xml:space="preserve"> </w:t>
      </w:r>
      <w:r>
        <w:t xml:space="preserve">— Panelist</w:t>
      </w:r>
      <w:r>
        <w:br/>
      </w:r>
      <w:r>
        <w:t xml:space="preserve">Infectious Diseases Modelling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Generating synthetic contact matrices using open-source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t xml:space="preserve"> </w:t>
      </w:r>
      <w:r>
        <w:t xml:space="preserve">— Invited Speaker</w:t>
      </w:r>
      <w:r>
        <w:br/>
      </w:r>
      <w:r>
        <w:t xml:space="preserve">Universitätsklinikum Freiburg Seminar Series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br/>
      </w:r>
      <w:r>
        <w:t xml:space="preserve">UNSW Australia Statistics &amp; Data Science Seminar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Burden of healthcare associated infections in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Exponential Random Graph Models and CPE transmission</w:t>
      </w:r>
      <w:r>
        <w:t xml:space="preserve"> </w:t>
      </w:r>
      <w:r>
        <w:t xml:space="preserve">— Invited Speaker</w:t>
      </w:r>
      <w:r>
        <w:br/>
      </w:r>
      <w:r>
        <w:t xml:space="preserve">Melbourne Mathematical Biology Seminar Series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for COVID-19 in Victoria, Australia</w:t>
      </w:r>
      <w:r>
        <w:t xml:space="preserve"> </w:t>
      </w:r>
      <w:r>
        <w:t xml:space="preserve">— Invited Speaker</w:t>
      </w:r>
      <w:r>
        <w:br/>
      </w:r>
      <w:r>
        <w:t xml:space="preserve">Math for Industry Forum, Vietnam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associations between transmission of CPE and ward connectivity: a network analysis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burden of healthcare acquired infections in Australian public hospitals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Decision Making and Mathematical Biology - Victoria’s usage of COVID-19 modelling</w:t>
      </w:r>
      <w:r>
        <w:t xml:space="preserve"> </w:t>
      </w:r>
      <w:r>
        <w:t xml:space="preserve">— Invited Speaker</w:t>
      </w:r>
      <w:r>
        <w:br/>
      </w:r>
      <w:r>
        <w:t xml:space="preserve">Mathematical Biology Special Interest Group Workshop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between-household effective contact and the elimination of COVID-19 in Melbourne,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and Victoria’s response to COVID-19</w:t>
      </w:r>
      <w:r>
        <w:t xml:space="preserve"> </w:t>
      </w:r>
      <w:r>
        <w:t xml:space="preserve">— Invited Speaker</w:t>
      </w:r>
      <w:r>
        <w:br/>
      </w:r>
      <w:r>
        <w:t xml:space="preserve">Victorian ANZIAM Branch Meeting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Australia’s experience and the role of modelling in its responses to COVID-19</w:t>
      </w:r>
      <w:r>
        <w:t xml:space="preserve"> </w:t>
      </w:r>
      <w:r>
        <w:t xml:space="preserve">— Invited Speaker</w:t>
      </w:r>
      <w:r>
        <w:br/>
      </w:r>
      <w:r>
        <w:t xml:space="preserve">Usher Institute COVID-19 Webinar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NSW–ACT ANZIAM Branch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Coupled models of Group A Streptococcus and Scabies: How likely is eradication?</w:t>
      </w:r>
      <w:r>
        <w:br/>
      </w:r>
      <w:r>
        <w:t xml:space="preserve">PRISM International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epidemiological transmission models with application to Group A Streptococcus and Scabies</w:t>
      </w:r>
      <w:r>
        <w:br/>
      </w:r>
      <w:r>
        <w:t xml:space="preserve">Society for Mathematical Biology Annual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Quantifying the age of first infection with skin sores in five remote Australian Aboriginal communities</w:t>
      </w:r>
      <w:r>
        <w:br/>
      </w:r>
      <w:r>
        <w:t xml:space="preserve">Lancefield International Symposium on Streptococci and Streptococcal Diseases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PRISM Annual Knowledge Transfer and Training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Constructing mathematical models of Group A Streptococcus and Scabies in remote Australian Indigenous communities</w:t>
      </w:r>
      <w:r>
        <w:t xml:space="preserve"> </w:t>
      </w:r>
      <w:r>
        <w:t xml:space="preserve">— Invited Speaker</w:t>
      </w:r>
      <w:r>
        <w:br/>
      </w:r>
      <w:r>
        <w:t xml:space="preserve">Zeeman Institute Seminar Series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and treatment dynamics of scabies infections a high prevalence setting</w:t>
      </w:r>
      <w:r>
        <w:br/>
      </w:r>
      <w:r>
        <w:t xml:space="preserve">Melbourne-Manchester Joint Workshop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of Group A Streptococcus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Determining the age of first infection from incomplete data</w:t>
      </w:r>
      <w:r>
        <w:br/>
      </w:r>
      <w:r>
        <w:t xml:space="preserve">Modelling Emerging Infections and Neglected Tropical Diseases Workshop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Investigating Intervention Intervals for Scabies Infections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2016</w:t>
      </w:r>
    </w:p>
    <w:bookmarkEnd w:id="48"/>
    <w:bookmarkStart w:id="52" w:name="teaching"/>
    <w:p>
      <w:pPr>
        <w:pStyle w:val="Heading2"/>
      </w:pPr>
      <w:r>
        <w:t xml:space="preserve"> </w:t>
      </w:r>
      <w:r>
        <w:t xml:space="preserve">Teaching</w:t>
      </w:r>
    </w:p>
    <w:bookmarkStart w:id="49" w:name="lecturer"/>
    <w:p>
      <w:pPr>
        <w:pStyle w:val="Heading3"/>
      </w:pPr>
      <w:r>
        <w:t xml:space="preserve">Lecturer</w:t>
      </w:r>
    </w:p>
    <w:p>
      <w:pPr>
        <w:pStyle w:val="FirstParagraph"/>
      </w:pPr>
      <w:r>
        <w:t xml:space="preserve">[ETC5513]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[ETC5523]</w:t>
      </w:r>
      <w:r>
        <w:t xml:space="preserve"> </w:t>
      </w:r>
      <w:r>
        <w:rPr>
          <w:b/>
          <w:bCs/>
        </w:rPr>
        <w:t xml:space="preserve">Communicating with Data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2023–</w:t>
      </w:r>
    </w:p>
    <w:p>
      <w:pPr>
        <w:pStyle w:val="BodyText"/>
      </w:pPr>
      <w:r>
        <w:t xml:space="preserve">[ETO5513]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[ETC5512]</w:t>
      </w:r>
      <w:r>
        <w:t xml:space="preserve"> </w:t>
      </w:r>
      <w:r>
        <w:rPr>
          <w:b/>
          <w:bCs/>
        </w:rPr>
        <w:t xml:space="preserve">Wild-Caught Data</w:t>
      </w:r>
    </w:p>
    <w:p>
      <w:pPr>
        <w:pStyle w:val="BodyText"/>
      </w:pPr>
      <w:r>
        <w:t xml:space="preserve">2022–2023</w:t>
      </w:r>
    </w:p>
    <w:p>
      <w:pPr>
        <w:pStyle w:val="BodyText"/>
      </w:pPr>
      <w:r>
        <w:t xml:space="preserve">[ETC5521]</w:t>
      </w:r>
      <w:r>
        <w:t xml:space="preserve"> </w:t>
      </w:r>
      <w:r>
        <w:rPr>
          <w:b/>
          <w:bCs/>
        </w:rPr>
        <w:t xml:space="preserve">Exploratory Data Analysis</w:t>
      </w:r>
    </w:p>
    <w:p>
      <w:pPr>
        <w:pStyle w:val="BodyText"/>
      </w:pPr>
      <w:r>
        <w:t xml:space="preserve">2022</w:t>
      </w:r>
    </w:p>
    <w:bookmarkEnd w:id="49"/>
    <w:bookmarkStart w:id="50" w:name="tutor"/>
    <w:p>
      <w:pPr>
        <w:pStyle w:val="Heading3"/>
      </w:pPr>
      <w:r>
        <w:t xml:space="preserve">Tutor</w:t>
      </w:r>
    </w:p>
    <w:p>
      <w:pPr>
        <w:pStyle w:val="FirstParagraph"/>
      </w:pPr>
      <w:r>
        <w:t xml:space="preserve">[MAST10016]</w:t>
      </w:r>
      <w:r>
        <w:t xml:space="preserve"> </w:t>
      </w:r>
      <w:r>
        <w:rPr>
          <w:b/>
          <w:bCs/>
        </w:rPr>
        <w:t xml:space="preserve">Mathematics for Biomedicine</w:t>
      </w:r>
    </w:p>
    <w:p>
      <w:pPr>
        <w:pStyle w:val="BodyText"/>
      </w:pPr>
      <w:r>
        <w:t xml:space="preserve">2016–2019</w:t>
      </w:r>
    </w:p>
    <w:p>
      <w:pPr>
        <w:pStyle w:val="BodyText"/>
      </w:pPr>
      <w:r>
        <w:t xml:space="preserve">[MAST30001]</w:t>
      </w:r>
      <w:r>
        <w:t xml:space="preserve"> </w:t>
      </w:r>
      <w:r>
        <w:rPr>
          <w:b/>
          <w:bCs/>
        </w:rPr>
        <w:t xml:space="preserve">Stochastic Modelling</w:t>
      </w:r>
    </w:p>
    <w:p>
      <w:pPr>
        <w:pStyle w:val="BodyText"/>
      </w:pPr>
      <w:r>
        <w:t xml:space="preserve">2018</w:t>
      </w:r>
    </w:p>
    <w:bookmarkEnd w:id="50"/>
    <w:bookmarkStart w:id="51" w:name="teaching-service"/>
    <w:p>
      <w:pPr>
        <w:pStyle w:val="Heading3"/>
      </w:pPr>
      <w:r>
        <w:t xml:space="preserve">Teaching Service</w:t>
      </w:r>
    </w:p>
    <w:p>
      <w:pPr>
        <w:pStyle w:val="FirstParagraph"/>
      </w:pPr>
      <w:r>
        <w:t xml:space="preserve">[M6036]</w:t>
      </w:r>
      <w:r>
        <w:t xml:space="preserve"> </w:t>
      </w:r>
      <w:r>
        <w:rPr>
          <w:b/>
          <w:bCs/>
        </w:rPr>
        <w:t xml:space="preserve">Masters of Health Data Analytics</w:t>
      </w:r>
      <w:r>
        <w:t xml:space="preserve"> </w:t>
      </w:r>
      <w:r>
        <w:t xml:space="preserve">– Course Management Committee</w:t>
      </w:r>
    </w:p>
    <w:p>
      <w:pPr>
        <w:pStyle w:val="BodyText"/>
      </w:pPr>
      <w:r>
        <w:t xml:space="preserve">2024–</w:t>
      </w:r>
    </w:p>
    <w:bookmarkEnd w:id="51"/>
    <w:bookmarkEnd w:id="52"/>
    <w:bookmarkStart w:id="53" w:name="awards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rPr>
          <w:b/>
          <w:bCs/>
        </w:rPr>
        <w:t xml:space="preserve">Fellow of the Higher Education Academy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- Best Presentation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University of Melbourne Faculty of Engineering and Information Technology Excellence Award in Interdisciplinary Research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Spirit of Service Awards</w:t>
      </w:r>
      <w:r>
        <w:t xml:space="preserve"> </w:t>
      </w:r>
      <w:r>
        <w:t xml:space="preserve">–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Engagement Australia Excellence Awards — Outstanding Engagement for Research Impact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Top Poster Award — European Congress of Clinical Microbiology &amp; Infectious Diseases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Victoria Leadership in the Public Sector Awards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Best PhD Student Presentation – PRISM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rPr>
          <w:b/>
          <w:bCs/>
        </w:rPr>
        <w:t xml:space="preserve"> </w:t>
      </w:r>
      <w:r>
        <w:rPr>
          <w:b/>
          <w:bCs/>
        </w:rPr>
        <w:t xml:space="preserve">Annual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Applied Probability Trust Prize</w:t>
      </w:r>
      <w:r>
        <w:t xml:space="preserve"> </w:t>
      </w:r>
      <w:r>
        <w:t xml:space="preserve">for best Applied Mathematics Postgraduate Thesis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Australian Postgraduate Award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rPr>
          <w:b/>
          <w:bCs/>
        </w:rPr>
        <w:t xml:space="preserve">Dean’s Commendation for Thesis Excellence</w:t>
      </w:r>
    </w:p>
    <w:p>
      <w:pPr>
        <w:pStyle w:val="BodyText"/>
      </w:pPr>
      <w:r>
        <w:t xml:space="preserve">2015</w:t>
      </w:r>
    </w:p>
    <w:bookmarkEnd w:id="53"/>
    <w:bookmarkStart w:id="54" w:name="academic-service-community-engagment"/>
    <w:p>
      <w:pPr>
        <w:pStyle w:val="Heading2"/>
      </w:pPr>
      <w:r>
        <w:t xml:space="preserve"> </w:t>
      </w:r>
      <w:r>
        <w:t xml:space="preserve">Academic Service &amp; Community Engagment</w:t>
      </w:r>
    </w:p>
    <w:p>
      <w:pPr>
        <w:pStyle w:val="FirstParagraph"/>
      </w:pPr>
      <w:r>
        <w:rPr>
          <w:b/>
          <w:bCs/>
        </w:rPr>
        <w:t xml:space="preserve">Equity, Diversity &amp; Social Inclusion Committee</w:t>
      </w:r>
      <w:r>
        <w:t xml:space="preserve"> </w:t>
      </w:r>
      <w:r>
        <w:t xml:space="preserve">Department representative</w:t>
      </w:r>
    </w:p>
    <w:p>
      <w:pPr>
        <w:pStyle w:val="BodyText"/>
      </w:pPr>
      <w:r>
        <w:t xml:space="preserve">2024 –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Organising committee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— OUCRU</w:t>
      </w:r>
      <w:r>
        <w:br/>
      </w:r>
      <w:r>
        <w:t xml:space="preserve">Facilitator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t xml:space="preserve"> </w:t>
      </w:r>
      <w:r>
        <w:t xml:space="preserve">— NSW Health</w:t>
      </w:r>
      <w:r>
        <w:br/>
      </w:r>
      <w:r>
        <w:t xml:space="preserve">Moderator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WOMBAT Communicating with Data Workshop</w:t>
      </w:r>
      <w:r>
        <w:br/>
      </w:r>
      <w:r>
        <w:t xml:space="preserve">Organising Committee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Treasurer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Early Career Representative</w:t>
      </w:r>
    </w:p>
    <w:p>
      <w:pPr>
        <w:pStyle w:val="BodyText"/>
      </w:pPr>
      <w:r>
        <w:t xml:space="preserve">2021–2022</w:t>
      </w:r>
    </w:p>
    <w:p>
      <w:pPr>
        <w:pStyle w:val="BodyText"/>
      </w:pPr>
      <w:r>
        <w:rPr>
          <w:b/>
          <w:bCs/>
        </w:rPr>
        <w:t xml:space="preserve">SPECTRUM-SPARK Early Career Researcher Committee</w:t>
      </w:r>
      <w:r>
        <w:br/>
      </w:r>
      <w:r>
        <w:t xml:space="preserve">Chair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– Mahidol University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Research Tools Workshop in R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Mathematical Biology Special Interest Group</w:t>
      </w:r>
      <w:r>
        <w:br/>
      </w:r>
      <w:r>
        <w:t xml:space="preserve">Treasurer</w:t>
      </w:r>
    </w:p>
    <w:p>
      <w:pPr>
        <w:pStyle w:val="BodyText"/>
      </w:pPr>
      <w:r>
        <w:t xml:space="preserve">2019–2022</w:t>
      </w:r>
    </w:p>
    <w:p>
      <w:pPr>
        <w:pStyle w:val="BodyText"/>
      </w:pPr>
      <w:r>
        <w:rPr>
          <w:b/>
          <w:bCs/>
        </w:rPr>
        <w:t xml:space="preserve">ANZIAM 2021 Conference</w:t>
      </w:r>
      <w:r>
        <w:br/>
      </w:r>
      <w:r>
        <w:t xml:space="preserve">Organising Committee (Treasurer)</w:t>
      </w:r>
    </w:p>
    <w:p>
      <w:pPr>
        <w:pStyle w:val="BodyText"/>
      </w:pPr>
      <w:r>
        <w:t xml:space="preserve">2020–2021</w:t>
      </w:r>
    </w:p>
    <w:p>
      <w:pPr>
        <w:pStyle w:val="BodyText"/>
      </w:pPr>
      <w:r>
        <w:rPr>
          <w:b/>
          <w:bCs/>
        </w:rPr>
        <w:t xml:space="preserve">Computational Biology Research Initiative</w:t>
      </w:r>
      <w:r>
        <w:t xml:space="preserve"> </w:t>
      </w:r>
      <w:r>
        <w:t xml:space="preserve">– The University of Melbourne</w:t>
      </w:r>
      <w:r>
        <w:br/>
      </w:r>
      <w:r>
        <w:t xml:space="preserve">Postgraduate Representative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Computational Biology Postgraduate Sports Group</w:t>
      </w:r>
      <w:r>
        <w:t xml:space="preserve"> </w:t>
      </w:r>
      <w:r>
        <w:t xml:space="preserve">– The University of Melbourne</w:t>
      </w:r>
      <w:r>
        <w:br/>
      </w:r>
      <w:r>
        <w:t xml:space="preserve">Secretary</w:t>
      </w:r>
    </w:p>
    <w:p>
      <w:pPr>
        <w:pStyle w:val="BodyText"/>
      </w:pPr>
      <w:r>
        <w:t xml:space="preserve">2017–2018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br/>
      </w:r>
      <w:r>
        <w:t xml:space="preserve">Participant</w:t>
      </w:r>
    </w:p>
    <w:p>
      <w:pPr>
        <w:pStyle w:val="BodyText"/>
      </w:pPr>
      <w:r>
        <w:t xml:space="preserve">2017, 2018, 2019</w:t>
      </w:r>
    </w:p>
    <w:p>
      <w:pPr>
        <w:pStyle w:val="BodyText"/>
      </w:pPr>
      <w:r>
        <w:rPr>
          <w:b/>
          <w:bCs/>
        </w:rPr>
        <w:t xml:space="preserve">The ConocoPhilips Science Experience</w:t>
      </w:r>
      <w:r>
        <w:t xml:space="preserve"> </w:t>
      </w:r>
      <w:r>
        <w:t xml:space="preserve">– The University of Melbourne</w:t>
      </w:r>
      <w:r>
        <w:br/>
      </w:r>
      <w:r>
        <w:t xml:space="preserve">Activity Organiser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Mathematicians in Schools</w:t>
      </w:r>
      <w:r>
        <w:t xml:space="preserve"> </w:t>
      </w:r>
      <w:r>
        <w:t xml:space="preserve">– CSIRO</w:t>
      </w:r>
      <w:r>
        <w:br/>
      </w:r>
      <w:r>
        <w:t xml:space="preserve">Project Supervisor/Mentor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Reviewer</w:t>
      </w:r>
      <w:r>
        <w:br/>
      </w:r>
      <w:r>
        <w:t xml:space="preserve">PLoS Comptuational Biology; Scientific Reports; Journal of Applied Mathematics; Journal of Statistical Software; Epidemiology &amp; Infection; Mathematics; Medial Journal of Australia; International Tropical Health; Journal of Antimicrobial Resistance; The R Journal</w:t>
      </w:r>
    </w:p>
    <w:bookmarkEnd w:id="54"/>
    <w:bookmarkStart w:id="55" w:name="professional-memberships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FirstParagraph"/>
      </w:pPr>
      <w:r>
        <w:rPr>
          <w:b/>
          <w:bCs/>
        </w:rPr>
        <w:t xml:space="preserve">Australian and New Zealand Industrial and Applied Mathematics</w:t>
      </w:r>
      <w:r>
        <w:br/>
      </w:r>
      <w:r>
        <w:t xml:space="preserve">Including the Mathematical Biology Special Interest Group</w:t>
      </w:r>
    </w:p>
    <w:p>
      <w:pPr>
        <w:pStyle w:val="BodyText"/>
      </w:pPr>
      <w:r>
        <w:t xml:space="preserve">2015–</w:t>
      </w:r>
    </w:p>
    <w:p>
      <w:pPr>
        <w:pStyle w:val="BodyText"/>
      </w:pPr>
      <w:r>
        <w:rPr>
          <w:b/>
          <w:bCs/>
        </w:rPr>
        <w:t xml:space="preserve">Australian Mathematics Society</w:t>
      </w:r>
    </w:p>
    <w:p>
      <w:pPr>
        <w:pStyle w:val="BodyText"/>
      </w:pPr>
      <w:r>
        <w:t xml:space="preserve">2015–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minerva-access.unimelb.edu.au/handle/11343/221232" TargetMode="External" /><Relationship Type="http://schemas.openxmlformats.org/officeDocument/2006/relationships/hyperlink" Id="rId37" Target="https://austms.org.au/wp-content/uploads/2021/07/Lydeamore.pdf" TargetMode="External" /><Relationship Type="http://schemas.openxmlformats.org/officeDocument/2006/relationships/hyperlink" Id="rId44" Target="https://doi.org/10.1007/s11538-016-0144-6" TargetMode="External" /><Relationship Type="http://schemas.openxmlformats.org/officeDocument/2006/relationships/hyperlink" Id="rId28" Target="https://doi.org/10.1016/j.epidem.2024.100764" TargetMode="External" /><Relationship Type="http://schemas.openxmlformats.org/officeDocument/2006/relationships/hyperlink" Id="rId26" Target="https://doi.org/10.1016/j.idh.2024.10.004" TargetMode="External" /><Relationship Type="http://schemas.openxmlformats.org/officeDocument/2006/relationships/hyperlink" Id="rId40" Target="https://doi.org/10.1016/j.mbs.2018.08.007" TargetMode="External" /><Relationship Type="http://schemas.openxmlformats.org/officeDocument/2006/relationships/hyperlink" Id="rId41" Target="https://doi.org/10.1017/S0950268818001061" TargetMode="External" /><Relationship Type="http://schemas.openxmlformats.org/officeDocument/2006/relationships/hyperlink" Id="rId34" Target="https://doi.org/10.1038/s41467-021-26558-4" TargetMode="External" /><Relationship Type="http://schemas.openxmlformats.org/officeDocument/2006/relationships/hyperlink" Id="rId35" Target="https://doi.org/10.1093/jac/dkaa506" TargetMode="External" /><Relationship Type="http://schemas.openxmlformats.org/officeDocument/2006/relationships/hyperlink" Id="rId36" Target="https://doi.org/10.1098/rsif.2020.0657" TargetMode="External" /><Relationship Type="http://schemas.openxmlformats.org/officeDocument/2006/relationships/hyperlink" Id="rId30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39" Target="https://doi.org/10.1111/1753-6405.12876" TargetMode="External" /><Relationship Type="http://schemas.openxmlformats.org/officeDocument/2006/relationships/hyperlink" Id="rId32" Target="https://doi.org/10.1126/sciadv.abm3624" TargetMode="External" /><Relationship Type="http://schemas.openxmlformats.org/officeDocument/2006/relationships/hyperlink" Id="rId29" Target="https://doi.org/10.1186/s12879-024-09282-4" TargetMode="External" /><Relationship Type="http://schemas.openxmlformats.org/officeDocument/2006/relationships/hyperlink" Id="rId33" Target="https://doi.org/10.1186/s13756-022-01109-8" TargetMode="External" /><Relationship Type="http://schemas.openxmlformats.org/officeDocument/2006/relationships/hyperlink" Id="rId31" Target="https://doi.org/10.1186/s13756-023-01268-2" TargetMode="External" /><Relationship Type="http://schemas.openxmlformats.org/officeDocument/2006/relationships/hyperlink" Id="rId27" Target="https://doi.org/10.1186/s13756-024-01437-x" TargetMode="External" /><Relationship Type="http://schemas.openxmlformats.org/officeDocument/2006/relationships/hyperlink" Id="rId38" Target="https://doi.org/10.1371/journal.pcbi.1007838" TargetMode="External" /><Relationship Type="http://schemas.openxmlformats.org/officeDocument/2006/relationships/hyperlink" Id="rId43" Target="https://doi.org/10.7717/peerj.39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://minerva-access.unimelb.edu.au/handle/11343/221232" TargetMode="External" /><Relationship Type="http://schemas.openxmlformats.org/officeDocument/2006/relationships/hyperlink" Id="rId37" Target="https://austms.org.au/wp-content/uploads/2021/07/Lydeamore.pdf" TargetMode="External" /><Relationship Type="http://schemas.openxmlformats.org/officeDocument/2006/relationships/hyperlink" Id="rId44" Target="https://doi.org/10.1007/s11538-016-0144-6" TargetMode="External" /><Relationship Type="http://schemas.openxmlformats.org/officeDocument/2006/relationships/hyperlink" Id="rId28" Target="https://doi.org/10.1016/j.epidem.2024.100764" TargetMode="External" /><Relationship Type="http://schemas.openxmlformats.org/officeDocument/2006/relationships/hyperlink" Id="rId26" Target="https://doi.org/10.1016/j.idh.2024.10.004" TargetMode="External" /><Relationship Type="http://schemas.openxmlformats.org/officeDocument/2006/relationships/hyperlink" Id="rId40" Target="https://doi.org/10.1016/j.mbs.2018.08.007" TargetMode="External" /><Relationship Type="http://schemas.openxmlformats.org/officeDocument/2006/relationships/hyperlink" Id="rId41" Target="https://doi.org/10.1017/S0950268818001061" TargetMode="External" /><Relationship Type="http://schemas.openxmlformats.org/officeDocument/2006/relationships/hyperlink" Id="rId34" Target="https://doi.org/10.1038/s41467-021-26558-4" TargetMode="External" /><Relationship Type="http://schemas.openxmlformats.org/officeDocument/2006/relationships/hyperlink" Id="rId35" Target="https://doi.org/10.1093/jac/dkaa506" TargetMode="External" /><Relationship Type="http://schemas.openxmlformats.org/officeDocument/2006/relationships/hyperlink" Id="rId36" Target="https://doi.org/10.1098/rsif.2020.0657" TargetMode="External" /><Relationship Type="http://schemas.openxmlformats.org/officeDocument/2006/relationships/hyperlink" Id="rId30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39" Target="https://doi.org/10.1111/1753-6405.12876" TargetMode="External" /><Relationship Type="http://schemas.openxmlformats.org/officeDocument/2006/relationships/hyperlink" Id="rId32" Target="https://doi.org/10.1126/sciadv.abm3624" TargetMode="External" /><Relationship Type="http://schemas.openxmlformats.org/officeDocument/2006/relationships/hyperlink" Id="rId29" Target="https://doi.org/10.1186/s12879-024-09282-4" TargetMode="External" /><Relationship Type="http://schemas.openxmlformats.org/officeDocument/2006/relationships/hyperlink" Id="rId33" Target="https://doi.org/10.1186/s13756-022-01109-8" TargetMode="External" /><Relationship Type="http://schemas.openxmlformats.org/officeDocument/2006/relationships/hyperlink" Id="rId31" Target="https://doi.org/10.1186/s13756-023-01268-2" TargetMode="External" /><Relationship Type="http://schemas.openxmlformats.org/officeDocument/2006/relationships/hyperlink" Id="rId27" Target="https://doi.org/10.1186/s13756-024-01437-x" TargetMode="External" /><Relationship Type="http://schemas.openxmlformats.org/officeDocument/2006/relationships/hyperlink" Id="rId38" Target="https://doi.org/10.1371/journal.pcbi.1007838" TargetMode="External" /><Relationship Type="http://schemas.openxmlformats.org/officeDocument/2006/relationships/hyperlink" Id="rId43" Target="https://doi.org/10.7717/peerj.39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2024-12-09T04:58:13Z</dcterms:created>
  <dcterms:modified xsi:type="dcterms:W3CDTF">2024-12-09T04:58:13Z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