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6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pStyle w:val="Compact"/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pStyle w:val="Compact"/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5" w:name="peer-reviewed-articles"/>
    <w:p>
      <w:pPr>
        <w:pStyle w:val="Heading3"/>
      </w:pPr>
      <w:r>
        <w:t xml:space="preserve">Peer-reviewed articles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https://doi.org/10.1016/j.idh.2024.10.004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7">
        <w:r>
          <w:rPr>
            <w:rStyle w:val="Hyperlink"/>
          </w:rPr>
          <w:t xml:space="preserve">https://doi.org/10.1186/s13756-024-01437-x</w:t>
        </w:r>
      </w:hyperlink>
    </w:p>
    <w:p>
      <w:pPr>
        <w:pStyle w:val="Compact"/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28">
        <w:r>
          <w:rPr>
            <w:rStyle w:val="Hyperlink"/>
          </w:rPr>
          <w:t xml:space="preserve">https://doi.org/10.1016/j.epidem.2024.100764</w:t>
        </w:r>
      </w:hyperlink>
    </w:p>
    <w:p>
      <w:pPr>
        <w:pStyle w:val="Compact"/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29">
        <w:r>
          <w:rPr>
            <w:rStyle w:val="Hyperlink"/>
          </w:rPr>
          <w:t xml:space="preserve">https://doi.org/10.1186/s12879-024-09282-4</w:t>
        </w:r>
      </w:hyperlink>
    </w:p>
    <w:p>
      <w:pPr>
        <w:pStyle w:val="Compact"/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0">
        <w:r>
          <w:rPr>
            <w:rStyle w:val="Hyperlink"/>
          </w:rPr>
          <w:t xml:space="preserve">https://doi.org/10.1098/rspb.2023.1437</w:t>
        </w:r>
      </w:hyperlink>
    </w:p>
    <w:p>
      <w:pPr>
        <w:pStyle w:val="Compact"/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1">
        <w:r>
          <w:rPr>
            <w:rStyle w:val="Hyperlink"/>
          </w:rPr>
          <w:t xml:space="preserve">https://doi.org/10.1186/s13756-023-01268-2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2">
        <w:r>
          <w:rPr>
            <w:rStyle w:val="Hyperlink"/>
          </w:rPr>
          <w:t xml:space="preserve">https://doi.org/10.1126/sciadv.abm3624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https://doi.org/10.1186/s13756-022-01109-8</w:t>
        </w:r>
      </w:hyperlink>
    </w:p>
    <w:p>
      <w:pPr>
        <w:pStyle w:val="Compact"/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4">
        <w:r>
          <w:rPr>
            <w:rStyle w:val="Hyperlink"/>
          </w:rPr>
          <w:t xml:space="preserve">https://doi.org/10.1038/s41467-021-26558-4</w:t>
        </w:r>
      </w:hyperlink>
    </w:p>
    <w:p>
      <w:pPr>
        <w:pStyle w:val="Compact"/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5">
        <w:r>
          <w:rPr>
            <w:rStyle w:val="Hyperlink"/>
          </w:rPr>
          <w:t xml:space="preserve">https://doi.org/10.1093/jac/dkaa506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6">
        <w:r>
          <w:rPr>
            <w:rStyle w:val="Hyperlink"/>
          </w:rPr>
          <w:t xml:space="preserve">https://doi.org/10.1098/rsif.2020.0657</w:t>
        </w:r>
      </w:hyperlink>
    </w:p>
    <w:p>
      <w:pPr>
        <w:pStyle w:val="Compact"/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38">
        <w:r>
          <w:rPr>
            <w:rStyle w:val="Hyperlink"/>
          </w:rPr>
          <w:t xml:space="preserve">https://doi.org/10.1371/journal.pcbi.1007838</w:t>
        </w:r>
      </w:hyperlink>
    </w:p>
    <w:p>
      <w:pPr>
        <w:pStyle w:val="Compact"/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39">
        <w:r>
          <w:rPr>
            <w:rStyle w:val="Hyperlink"/>
          </w:rPr>
          <w:t xml:space="preserve">https://doi.org/10.1111/1753-6405.12876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https://doi.org/10.1016/j.mbs.2018.08.007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1">
        <w:r>
          <w:rPr>
            <w:rStyle w:val="Hyperlink"/>
          </w:rPr>
          <w:t xml:space="preserve">https://doi.org/10.1017/S0950268818001061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http://minerva-access.unimelb.edu.au/handle/11343/221232</w:t>
        </w:r>
      </w:hyperlink>
    </w:p>
    <w:p>
      <w:pPr>
        <w:pStyle w:val="Compact"/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3">
        <w:r>
          <w:rPr>
            <w:rStyle w:val="Hyperlink"/>
          </w:rPr>
          <w:t xml:space="preserve">https://doi.org/10.7717/peerj.3958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4">
        <w:r>
          <w:rPr>
            <w:rStyle w:val="Hyperlink"/>
          </w:rPr>
          <w:t xml:space="preserve">https://doi.org/10.1007/s11538-016-0144-6</w:t>
        </w:r>
      </w:hyperlink>
    </w:p>
    <w:bookmarkEnd w:id="45"/>
    <w:bookmarkEnd w:id="46"/>
    <w:bookmarkStart w:id="47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7"/>
    <w:bookmarkStart w:id="48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48"/>
    <w:bookmarkStart w:id="52" w:name="teaching"/>
    <w:p>
      <w:pPr>
        <w:pStyle w:val="Heading2"/>
      </w:pPr>
      <w:r>
        <w:t xml:space="preserve"> </w:t>
      </w:r>
      <w:r>
        <w:t xml:space="preserve">Teaching</w:t>
      </w:r>
    </w:p>
    <w:bookmarkStart w:id="49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49"/>
    <w:bookmarkStart w:id="50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0"/>
    <w:bookmarkStart w:id="51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1"/>
    <w:bookmarkEnd w:id="52"/>
    <w:bookmarkStart w:id="53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3"/>
    <w:bookmarkStart w:id="54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4"/>
    <w:bookmarkStart w:id="55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2025-01-10T01:43:57Z</dcterms:created>
  <dcterms:modified xsi:type="dcterms:W3CDTF">2025-01-10T01:43:57Z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