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6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Edwards, L., Kirk, M., Eales, O., Golding, N., Hassall, J., Liu, B.,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Miller, C., Moss, R., Price, D. J., Ryan, G. E., Sheena, S., Tobin, R., Ward, K., Kaldor, J., Cheng, A. C., Wood, J., &amp; McCaw, J. M. (2024). Opportunities to strengthen respiratory virus surveillance systems in Australia: lessons learned from the COVID-19 response.</w:t>
      </w:r>
      <w:r>
        <w:t xml:space="preserve"> </w:t>
      </w:r>
      <w:r>
        <w:rPr>
          <w:i/>
          <w:iCs/>
        </w:rPr>
        <w:t xml:space="preserve">Communicable Diseases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48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https://doi.org/10.33321/cdi.2024.48.47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1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2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3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4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5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6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7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8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9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1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2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4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6">
        <w:r>
          <w:rPr>
            <w:rStyle w:val="Hyperlink"/>
          </w:rPr>
          <w:t xml:space="preserve">https://doi.org/10.7717/peerj.3958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2025-05-30T01:55:51Z</dcterms:created>
  <dcterms:modified xsi:type="dcterms:W3CDTF">2025-05-30T01:55:51Z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