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22" w:name="publications"/>
    <w:p>
      <w:pPr>
        <w:pStyle w:val="Heading2"/>
      </w:pPr>
      <w:r>
        <w:t xml:space="preserve"> </w:t>
      </w:r>
      <w:r>
        <w:t xml:space="preserve">Publications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 https://doi.org/10.1186/s13756-024-01437-x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Wu, D., Donker, T., Gorrie, C., Higgs, C. K., Easton, M., Hennessy, D., Geard, N., Howden, B. P., Cooper, B. S., Wilson, A., Peleg, A. Y., &amp; Stewardson, A. J. (2024).</w:t>
      </w:r>
      <w:r>
        <w:t xml:space="preserve"> </w:t>
      </w:r>
      <w:r>
        <w:rPr>
          <w:i/>
          <w:iCs/>
        </w:rPr>
        <w:t xml:space="preserve">Changes in isolation guidelines for CPE patients results in only a mild reduction in required hospital beds</w:t>
      </w:r>
      <w:r>
        <w:t xml:space="preserve">. medRxiv. https://doi.org/10.1101/2024.07.04.24309973</w:t>
      </w:r>
    </w:p>
    <w:p>
      <w:pPr>
        <w:pStyle w:val="Compact"/>
        <w:numPr>
          <w:ilvl w:val="0"/>
          <w:numId w:val="1001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 https://doi.org/10.1016/j.epidem.2024.100764</w:t>
      </w:r>
    </w:p>
    <w:p>
      <w:pPr>
        <w:pStyle w:val="Compact"/>
        <w:numPr>
          <w:ilvl w:val="0"/>
          <w:numId w:val="1001"/>
        </w:numPr>
      </w:pPr>
      <w:r>
        <w:t xml:space="preserve">Conway, E., Walker, C.,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Golding, N., Ryan, G., Mavec, D., Oates, J., Kabashima, G., Price, D. J., Shearer, F., Cromer, D., Davenport, M. P., McCaw, J., Eriksson, E. M., Hodgkin, P. D., Wu, L., Le, T. P., Baker, C. M., Mueller, I., &amp; McVernon, J. (2024).</w:t>
      </w:r>
      <w:r>
        <w:t xml:space="preserve"> </w:t>
      </w:r>
      <w:r>
        <w:rPr>
          <w:i/>
          <w:iCs/>
        </w:rPr>
        <w:t xml:space="preserve">Optimal timing of booster doses in a highly vaccinated population with minimal natural exposure to COVID-19</w:t>
      </w:r>
      <w:r>
        <w:t xml:space="preserve">. medRxiv. https://doi.org/10.1101/2024.05.14.24307386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Zachreson, C., Conway, E., Shearer, F. M., Baker, C. M., Ross, J. V., Miller, J. C., McCaw, J. M., Geard, N., McVernon, J., &amp; Price, D. J. (2024).</w:t>
      </w:r>
      <w:r>
        <w:t xml:space="preserve"> </w:t>
      </w:r>
      <w:r>
        <w:rPr>
          <w:i/>
          <w:iCs/>
        </w:rPr>
        <w:t xml:space="preserve">Border quarantine, vaccination and public health measures to mitigate the impact of COVID-19 importations: a modelling study</w:t>
      </w:r>
      <w:r>
        <w:t xml:space="preserve">. medRxiv. https://doi.org/10.1101/2024.04.22.24305704</w:t>
      </w:r>
    </w:p>
    <w:p>
      <w:pPr>
        <w:pStyle w:val="Compact"/>
        <w:numPr>
          <w:ilvl w:val="0"/>
          <w:numId w:val="1001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 https://doi.org/10.1186/s12879-024-09282-4</w:t>
      </w:r>
    </w:p>
    <w:p>
      <w:pPr>
        <w:pStyle w:val="Compact"/>
        <w:numPr>
          <w:ilvl w:val="0"/>
          <w:numId w:val="1001"/>
        </w:numPr>
      </w:pPr>
      <w:r>
        <w:t xml:space="preserve">Le, T. P., Conway, E., Akpan, E., Abell, I., Abraham, P., Baker, C. M., Campbell, P. T., Cromer, D.,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McDonough, Y., Mueller, I., Ryan, G., Walker, C., Wang, Y., Carvalho, N., &amp; McVernon, J. (2023).</w:t>
      </w:r>
      <w:r>
        <w:t xml:space="preserve"> </w:t>
      </w:r>
      <w:r>
        <w:rPr>
          <w:i/>
          <w:iCs/>
        </w:rPr>
        <w:t xml:space="preserve">Cost-effective boosting allocations in the post-Omicron era of COVID-19 management</w:t>
      </w:r>
      <w:r>
        <w:t xml:space="preserve">. medRxiv. https://doi.org/10.1101/2023.11.14.23298536</w:t>
      </w:r>
    </w:p>
    <w:p>
      <w:pPr>
        <w:pStyle w:val="Compact"/>
        <w:numPr>
          <w:ilvl w:val="0"/>
          <w:numId w:val="1001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 https://doi.org/10.1098/rspb.2023.1437</w:t>
      </w:r>
    </w:p>
    <w:p>
      <w:pPr>
        <w:pStyle w:val="Compact"/>
        <w:numPr>
          <w:ilvl w:val="0"/>
          <w:numId w:val="1001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 https://doi.org/10.1186/s13756-023-01268-2</w:t>
      </w:r>
    </w:p>
    <w:p>
      <w:pPr>
        <w:pStyle w:val="Compact"/>
        <w:numPr>
          <w:ilvl w:val="0"/>
          <w:numId w:val="1001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 https://doi.org/10.1126/sciadv.abm3624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 https://doi.org/10.1186/s13756-022-01109-8</w:t>
      </w:r>
    </w:p>
    <w:p>
      <w:pPr>
        <w:pStyle w:val="Compact"/>
        <w:numPr>
          <w:ilvl w:val="0"/>
          <w:numId w:val="1001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 https://doi.org/10.1038/s41467-021-26558-4</w:t>
      </w:r>
    </w:p>
    <w:p>
      <w:pPr>
        <w:pStyle w:val="Compact"/>
        <w:numPr>
          <w:ilvl w:val="0"/>
          <w:numId w:val="1001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 https://doi.org/10.1093/jac/dkaa506</w:t>
      </w:r>
    </w:p>
    <w:p>
      <w:pPr>
        <w:pStyle w:val="Compact"/>
        <w:numPr>
          <w:ilvl w:val="0"/>
          <w:numId w:val="1001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 https://doi.org/10.1098/rsif.2020.0657</w:t>
      </w:r>
    </w:p>
    <w:p>
      <w:pPr>
        <w:pStyle w:val="Compact"/>
        <w:numPr>
          <w:ilvl w:val="0"/>
          <w:numId w:val="1001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 https://austms.org.au/wp-content/uploads/2021/07/Lydeamore.pdf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 https://doi.org/10.1371/journal.pcbi.1007838</w:t>
      </w:r>
    </w:p>
    <w:p>
      <w:pPr>
        <w:pStyle w:val="Compact"/>
        <w:numPr>
          <w:ilvl w:val="0"/>
          <w:numId w:val="1001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 https://doi.org/10.1111/1753-6405.12876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 https://doi.org/10.1016/j.mbs.2018.08.007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 https://doi.org/10.1017/S0950268818001061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 http://minerva-access.unimelb.edu.au/handle/11343/221232</w:t>
      </w:r>
    </w:p>
    <w:p>
      <w:pPr>
        <w:pStyle w:val="Compact"/>
        <w:numPr>
          <w:ilvl w:val="0"/>
          <w:numId w:val="1001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 https://doi.org/10.7717/peerj.3958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 https://doi.org/10.1007/s11538-016-0144-6</w:t>
      </w:r>
    </w:p>
    <w:bookmarkEnd w:id="22"/>
    <w:bookmarkStart w:id="23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COVID-normal</w:t>
      </w:r>
      <w:r>
        <w:rPr>
          <w:b/>
          <w:bCs/>
        </w:rPr>
        <w:t xml:space="preserve">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23"/>
    <w:bookmarkStart w:id="24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24"/>
    <w:bookmarkStart w:id="27" w:name="teaching"/>
    <w:p>
      <w:pPr>
        <w:pStyle w:val="Heading2"/>
      </w:pPr>
      <w:r>
        <w:t xml:space="preserve"> </w:t>
      </w:r>
      <w:r>
        <w:t xml:space="preserve">Teaching</w:t>
      </w:r>
    </w:p>
    <w:bookmarkStart w:id="25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25"/>
    <w:bookmarkStart w:id="26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26"/>
    <w:bookmarkEnd w:id="27"/>
    <w:bookmarkStart w:id="28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28"/>
    <w:bookmarkStart w:id="29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29"/>
    <w:bookmarkStart w:id="30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2024-10-18T03:31:40Z</dcterms:created>
  <dcterms:modified xsi:type="dcterms:W3CDTF">2024-10-18T03:31:40Z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