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7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(No. 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(No. 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p>
      <w:pPr>
        <w:numPr>
          <w:ilvl w:val="0"/>
          <w:numId w:val="1001"/>
        </w:numPr>
      </w:pPr>
      <w:r>
        <w:t xml:space="preserve">Le, T. P., Conway, E., Akpan, E., Abell, I.,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(2023).</w:t>
      </w:r>
      <w:r>
        <w:t xml:space="preserve"> </w:t>
      </w:r>
      <w:r>
        <w:rPr>
          <w:i/>
          <w:iCs/>
        </w:rPr>
        <w:t xml:space="preserve">Cost-effective boosting allocations in the post-Omicron era of COVID-19 management</w:t>
      </w:r>
      <w:r>
        <w:t xml:space="preserve">. medRxiv.</w:t>
      </w:r>
      <w:r>
        <w:t xml:space="preserve"> </w:t>
      </w:r>
      <w:hyperlink r:id="rId26">
        <w:r>
          <w:rPr>
            <w:rStyle w:val="Hyperlink"/>
          </w:rPr>
          <w:t xml:space="preserve">https://doi.org/10.1101/2023.11.14.23298536</w:t>
        </w:r>
      </w:hyperlink>
    </w:p>
    <w:bookmarkEnd w:id="27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6" Target="https://doi.org/10.1101/2023.11.14.23298536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6" Target="https://doi.org/10.1101/2023.11.14.23298536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2025-09-05T01:49:17Z</dcterms:created>
  <dcterms:modified xsi:type="dcterms:W3CDTF">2025-09-05T01:49:17Z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