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20" w:name="appointments-held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20"/>
    <w:bookmarkStart w:id="21" w:name="education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21"/>
    <w:bookmarkStart w:id="48" w:name="publications"/>
    <w:p>
      <w:pPr>
        <w:pStyle w:val="Heading2"/>
      </w:pPr>
      <w:r>
        <w:t xml:space="preserve"> </w:t>
      </w:r>
      <w:r>
        <w:t xml:space="preserve">Publications</w:t>
      </w:r>
    </w:p>
    <w:bookmarkStart w:id="27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(No. arXiv:2506.22051). arXiv.</w:t>
      </w:r>
      <w:r>
        <w:t xml:space="preserve"> </w:t>
      </w:r>
      <w:hyperlink r:id="rId22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(No. arXiv:2503.06846). arXiv.</w:t>
      </w:r>
      <w:r>
        <w:t xml:space="preserve"> </w:t>
      </w:r>
      <w:hyperlink r:id="rId23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24">
        <w:r>
          <w:rPr>
            <w:rStyle w:val="Hyperlink"/>
          </w:rPr>
          <w:t xml:space="preserve">https://doi.org/10.1101/2024.05.14.24307386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Lydeamore, M. J.</w:t>
      </w:r>
      <w:r>
        <w:t xml:space="preserve">, Zachreson, C., Conway, E., Shearer, F. M., Baker, C. M., Ross, J. V., Miller, J. C., McCaw, J. M., Geard, N., McVernon, J., &amp; Price, D. J. (2024).</w:t>
      </w:r>
      <w:r>
        <w:t xml:space="preserve"> </w:t>
      </w:r>
      <w:r>
        <w:rPr>
          <w:i/>
          <w:iCs/>
        </w:rPr>
        <w:t xml:space="preserve">Border quarantine, vaccination and public health measures to mitigate the impact of COVID-19 importations: a modelling study</w:t>
      </w:r>
      <w:r>
        <w:t xml:space="preserve">. medRxiv.</w:t>
      </w:r>
      <w:r>
        <w:t xml:space="preserve"> </w:t>
      </w:r>
      <w:hyperlink r:id="rId25">
        <w:r>
          <w:rPr>
            <w:rStyle w:val="Hyperlink"/>
          </w:rPr>
          <w:t xml:space="preserve">https://doi.org/10.1101/2024.04.22.24305704</w:t>
        </w:r>
      </w:hyperlink>
    </w:p>
    <w:p>
      <w:pPr>
        <w:numPr>
          <w:ilvl w:val="0"/>
          <w:numId w:val="1001"/>
        </w:numPr>
      </w:pPr>
      <w:r>
        <w:t xml:space="preserve">Le, T. P., Conway, E., Akpan, E., Abell, I.,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(2023).</w:t>
      </w:r>
      <w:r>
        <w:t xml:space="preserve"> </w:t>
      </w:r>
      <w:r>
        <w:rPr>
          <w:i/>
          <w:iCs/>
        </w:rPr>
        <w:t xml:space="preserve">Cost-effective boosting allocations in the post-Omicron era of COVID-19 management</w:t>
      </w:r>
      <w:r>
        <w:t xml:space="preserve">. medRxiv.</w:t>
      </w:r>
      <w:r>
        <w:t xml:space="preserve"> </w:t>
      </w:r>
      <w:hyperlink r:id="rId26">
        <w:r>
          <w:rPr>
            <w:rStyle w:val="Hyperlink"/>
          </w:rPr>
          <w:t xml:space="preserve">https://doi.org/10.1101/2023.11.14.23298536</w:t>
        </w:r>
      </w:hyperlink>
    </w:p>
    <w:bookmarkEnd w:id="27"/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8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32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33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34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35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36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7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8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9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40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43">
        <w:r>
          <w:rPr>
            <w:rStyle w:val="Hyperlink"/>
          </w:rPr>
          <w:t xml:space="preserve">https://doi.org/10.1111/1753-6405.12876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Regan, D. G., Tong, S. Y. C., Andrews, R. M., Steer, A. C., Romani, L., Kaldor, J. M., McVernon, J., &amp; McCaw, J. M. (2018). A biological model of scabies infection dynamics and treatment informs mass drug administration strategies to increase the likelihood of elimination.</w:t>
      </w:r>
      <w:r>
        <w:t xml:space="preserve"> </w:t>
      </w:r>
      <w:r>
        <w:rPr>
          <w:i/>
          <w:iCs/>
        </w:rPr>
        <w:t xml:space="preserve">Mathematical Biosciences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https://doi.org/10.1016/j.mbs.2018.08.007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Cuningham, W., Andrews, R. M., Kearns, T., Clucas, D., Dhurrkay, R. G., Carapetis, J., Tong, S. Y. C., McCaw, J. M., &amp; McVernon, J. (2018). Calculation of the age of the first infection for skin sores and scabies in five remote communities in northern Australia.</w:t>
      </w:r>
      <w:r>
        <w:t xml:space="preserve"> </w:t>
      </w:r>
      <w:r>
        <w:rPr>
          <w:i/>
          <w:iCs/>
        </w:rPr>
        <w:t xml:space="preserve">Epidemiology &amp; Infection</w:t>
      </w:r>
      <w:r>
        <w:t xml:space="preserve">, 1–8.</w:t>
      </w:r>
      <w:r>
        <w:t xml:space="preserve"> </w:t>
      </w:r>
      <w:hyperlink r:id="rId45">
        <w:r>
          <w:rPr>
            <w:rStyle w:val="Hyperlink"/>
          </w:rPr>
          <w:t xml:space="preserve">https://doi.org/10.1017/S0950268818001061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(2018).</w:t>
      </w:r>
      <w:r>
        <w:t xml:space="preserve"> </w:t>
      </w:r>
      <w:r>
        <w:rPr>
          <w:i/>
          <w:iCs/>
        </w:rPr>
        <w:t xml:space="preserve">Mechanistic and statistical models of skin disease transmission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http://minerva-access.unimelb.edu.au/handle/11343/221232</w:t>
        </w:r>
      </w:hyperlink>
    </w:p>
    <w:bookmarkEnd w:id="47"/>
    <w:bookmarkEnd w:id="48"/>
    <w:bookmarkStart w:id="49" w:name="funding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49"/>
    <w:bookmarkStart w:id="50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50"/>
    <w:bookmarkStart w:id="54" w:name="teaching"/>
    <w:p>
      <w:pPr>
        <w:pStyle w:val="Heading2"/>
      </w:pPr>
      <w:r>
        <w:t xml:space="preserve"> </w:t>
      </w:r>
      <w:r>
        <w:t xml:space="preserve">Teaching</w:t>
      </w:r>
    </w:p>
    <w:bookmarkStart w:id="51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51"/>
    <w:bookmarkStart w:id="52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52"/>
    <w:bookmarkStart w:id="53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53"/>
    <w:bookmarkEnd w:id="54"/>
    <w:bookmarkStart w:id="55" w:name="awards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55"/>
    <w:bookmarkStart w:id="56" w:name="academic-service-community-engagment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56"/>
    <w:bookmarkStart w:id="57" w:name="professional-memberships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6" Target="https://doi.org/10.1101/2023.11.14.23298536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6" Target="https://doi.org/10.1101/2023.11.14.23298536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2025-09-12T01:46:34Z</dcterms:created>
  <dcterms:modified xsi:type="dcterms:W3CDTF">2025-09-12T01:46:34Z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