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20" w:name="appointments-held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2021 —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t xml:space="preserve">2019 — 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t xml:space="preserve">2019 –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t xml:space="preserve">2018 — 2019</w:t>
      </w:r>
    </w:p>
    <w:bookmarkEnd w:id="20"/>
    <w:bookmarkStart w:id="21" w:name="education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–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t xml:space="preserve">2015 — 2019</w:t>
      </w:r>
    </w:p>
    <w:p>
      <w:pPr>
        <w:pStyle w:val="BodyText"/>
      </w:pPr>
      <w:r>
        <w:rPr>
          <w:b/>
          <w:bCs/>
        </w:rPr>
        <w:t xml:space="preserve">Masters of Philosophy –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t xml:space="preserve"> </w:t>
      </w:r>
    </w:p>
    <w:p>
      <w:pPr>
        <w:pStyle w:val="BodyText"/>
      </w:pPr>
      <w:r>
        <w:t xml:space="preserve">2013 — 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t xml:space="preserve">2010 — 2013</w:t>
      </w:r>
    </w:p>
    <w:bookmarkEnd w:id="21"/>
    <w:bookmarkStart w:id="48" w:name="publications"/>
    <w:p>
      <w:pPr>
        <w:pStyle w:val="Heading2"/>
      </w:pPr>
      <w:r>
        <w:t xml:space="preserve"> </w:t>
      </w:r>
      <w:r>
        <w:t xml:space="preserve">Publications</w:t>
      </w:r>
    </w:p>
    <w:bookmarkStart w:id="28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quollr: An R Package for Visualizing 2-D Models from Nonlinear Dimension Reductions in High-Dimensional Space</w:t>
      </w:r>
      <w:r>
        <w:t xml:space="preserve"> </w:t>
      </w:r>
      <w:r>
        <w:t xml:space="preserve">(arXiv:2512.18166). arXiv.</w:t>
      </w:r>
      <w:r>
        <w:t xml:space="preserve"> </w:t>
      </w:r>
      <w:hyperlink r:id="rId22">
        <w:r>
          <w:rPr>
            <w:rStyle w:val="Hyperlink"/>
          </w:rPr>
          <w:t xml:space="preserve">https://doi.org/10.48550/arXiv.2512.18166</w:t>
        </w:r>
      </w:hyperlink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cardinalR: Generating Interesting High-Dimensional Data Structures</w:t>
      </w:r>
      <w:r>
        <w:t xml:space="preserve"> </w:t>
      </w:r>
      <w:r>
        <w:t xml:space="preserve">(arXiv:2512.18172). arXiv.</w:t>
      </w:r>
      <w:r>
        <w:t xml:space="preserve"> </w:t>
      </w:r>
      <w:hyperlink r:id="rId23">
        <w:r>
          <w:rPr>
            <w:rStyle w:val="Hyperlink"/>
          </w:rPr>
          <w:t xml:space="preserve">https://doi.org/10.48550/arXiv.2512.18172</w:t>
        </w:r>
      </w:hyperlink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(arXiv:2506.22051). arXiv.</w:t>
      </w:r>
      <w:r>
        <w:t xml:space="preserve"> </w:t>
      </w:r>
      <w:hyperlink r:id="rId24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(arXiv:2503.06846). arXiv.</w:t>
      </w:r>
      <w:r>
        <w:t xml:space="preserve"> </w:t>
      </w:r>
      <w:hyperlink r:id="rId25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26">
        <w:r>
          <w:rPr>
            <w:rStyle w:val="Hyperlink"/>
          </w:rPr>
          <w:t xml:space="preserve">https://doi.org/10.1101/2024.05.14.24307386</w:t>
        </w:r>
      </w:hyperlink>
    </w:p>
    <w:p>
      <w:pPr>
        <w:numPr>
          <w:ilvl w:val="0"/>
          <w:numId w:val="1001"/>
        </w:numPr>
      </w:pPr>
      <w:r>
        <w:rPr>
          <w:b/>
          <w:bCs/>
        </w:rPr>
        <w:t xml:space="preserve">Lydeamore, M. J.</w:t>
      </w:r>
      <w:r>
        <w:t xml:space="preserve">, Zachreson, C., Conway, E., Shearer, F. M., Baker, C. M., Ross, J. V., Miller, J. C., McCaw, J. M., Geard, N., McVernon, J., &amp; Price, D. J. (2024).</w:t>
      </w:r>
      <w:r>
        <w:t xml:space="preserve"> </w:t>
      </w:r>
      <w:r>
        <w:rPr>
          <w:i/>
          <w:iCs/>
        </w:rPr>
        <w:t xml:space="preserve">Border quarantine, vaccination and public health measures to mitigate the impact of COVID-19 importations: a modelling study</w:t>
      </w:r>
      <w:r>
        <w:t xml:space="preserve">. medRxiv.</w:t>
      </w:r>
      <w:r>
        <w:t xml:space="preserve"> </w:t>
      </w:r>
      <w:hyperlink r:id="rId27">
        <w:r>
          <w:rPr>
            <w:rStyle w:val="Hyperlink"/>
          </w:rPr>
          <w:t xml:space="preserve">https://doi.org/10.1101/2024.04.22.24305704</w:t>
        </w:r>
      </w:hyperlink>
    </w:p>
    <w:bookmarkEnd w:id="28"/>
    <w:bookmarkStart w:id="47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</w:t>
      </w:r>
      <w:r>
        <w:t xml:space="preserve">, Zachreson, C., Conway, E., Shearer, F. M., Baker, C. M., Ross, J. V., Miller, J., McCaw, J. M., Geard, N. L., McVernon, J., &amp; Price, D. J. (2026). Border quarantine, vaccination and public health measures to mitigate the impact of COVID-19 importations in Australia: a modelling study.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(235), 20250144.</w:t>
      </w:r>
      <w:r>
        <w:t xml:space="preserve"> </w:t>
      </w:r>
      <w:hyperlink r:id="rId29">
        <w:r>
          <w:rPr>
            <w:rStyle w:val="Hyperlink"/>
          </w:rPr>
          <w:t xml:space="preserve">https://doi.org/10.1098/rsif.2025.0144</w:t>
        </w:r>
      </w:hyperlink>
    </w:p>
    <w:p>
      <w:pPr>
        <w:numPr>
          <w:ilvl w:val="0"/>
          <w:numId w:val="1002"/>
        </w:numPr>
      </w:pPr>
      <w:r>
        <w:t xml:space="preserve">Tierney, N., Saraswati, C., Babu,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Golding, N. (2026). conmat: generate synthetic contact matrices for a given age-stratified population.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(118), 8326.</w:t>
      </w:r>
      <w:r>
        <w:t xml:space="preserve"> </w:t>
      </w:r>
      <w:hyperlink r:id="rId30">
        <w:r>
          <w:rPr>
            <w:rStyle w:val="Hyperlink"/>
          </w:rPr>
          <w:t xml:space="preserve">https://doi.org/10.21105/joss.08326</w:t>
        </w:r>
      </w:hyperlink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31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32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33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34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36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37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38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39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40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41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42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43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44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46">
        <w:r>
          <w:rPr>
            <w:rStyle w:val="Hyperlink"/>
          </w:rPr>
          <w:t xml:space="preserve">https://doi.org/10.1371/journal.pcbi.1007838</w:t>
        </w:r>
      </w:hyperlink>
    </w:p>
    <w:bookmarkEnd w:id="47"/>
    <w:bookmarkEnd w:id="48"/>
    <w:bookmarkStart w:id="49" w:name="funding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t xml:space="preserve">2021</w:t>
      </w:r>
    </w:p>
    <w:bookmarkEnd w:id="49"/>
    <w:bookmarkStart w:id="50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rStyle w:val="VerbatimChar"/>
          <w:b/>
          <w:bCs/>
        </w:rPr>
        <w:t xml:space="preserve">airpurifyr</w:t>
      </w:r>
      <w:r>
        <w:rPr>
          <w:b/>
          <w:bCs/>
        </w:rPr>
        <w:t xml:space="preserve">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—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—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—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—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—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—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—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NSW–ACT ANZIAM Branch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—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t xml:space="preserve">2016</w:t>
      </w:r>
    </w:p>
    <w:bookmarkEnd w:id="50"/>
    <w:bookmarkStart w:id="54" w:name="teaching"/>
    <w:p>
      <w:pPr>
        <w:pStyle w:val="Heading2"/>
      </w:pPr>
      <w:r>
        <w:t xml:space="preserve"> </w:t>
      </w:r>
      <w:r>
        <w:t xml:space="preserve">Teaching</w:t>
      </w:r>
    </w:p>
    <w:bookmarkStart w:id="51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2023–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(Chief Examiner)</w:t>
      </w:r>
    </w:p>
    <w:p>
      <w:pPr>
        <w:pStyle w:val="BodyText"/>
      </w:pPr>
      <w:r>
        <w:t xml:space="preserve">2024–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t xml:space="preserve">2022–2023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t xml:space="preserve">2022</w:t>
      </w:r>
    </w:p>
    <w:bookmarkEnd w:id="51"/>
    <w:bookmarkStart w:id="52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t xml:space="preserve">2016–2019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t xml:space="preserve">2018</w:t>
      </w:r>
    </w:p>
    <w:bookmarkEnd w:id="52"/>
    <w:bookmarkStart w:id="53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– Course Management Committee</w:t>
      </w:r>
    </w:p>
    <w:p>
      <w:pPr>
        <w:pStyle w:val="BodyText"/>
      </w:pPr>
      <w:r>
        <w:t xml:space="preserve">2024–</w:t>
      </w:r>
    </w:p>
    <w:bookmarkEnd w:id="53"/>
    <w:bookmarkEnd w:id="54"/>
    <w:bookmarkStart w:id="55" w:name="awards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–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— Outstanding Engagement for Research Impact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— European Congress of Clinical Microbiology &amp; Infectious Diseases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— Finalist</w:t>
      </w:r>
    </w:p>
    <w:p>
      <w:pPr>
        <w:pStyle w:val="BodyText"/>
      </w:pPr>
      <w: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– PRISM</w:t>
      </w:r>
      <m:oMath>
        <m:sSup>
          <m:e>
            <m:r>
              <m:t>​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Annual Conference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for best Applied Mathematics Postgraduate Thesis</w:t>
      </w:r>
    </w:p>
    <w:p>
      <w:pPr>
        <w:pStyle w:val="BodyText"/>
      </w:pPr>
      <w: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t xml:space="preserve">2015</w:t>
      </w:r>
    </w:p>
    <w:bookmarkEnd w:id="55"/>
    <w:bookmarkStart w:id="56" w:name="academic-service-community-engagment"/>
    <w:p>
      <w:pPr>
        <w:pStyle w:val="Heading2"/>
      </w:pPr>
      <w:r>
        <w:t xml:space="preserve"> </w:t>
      </w:r>
      <w:r>
        <w:t xml:space="preserve">Academic Service &amp; Community Engagment</w:t>
      </w:r>
    </w:p>
    <w:p>
      <w:pPr>
        <w:pStyle w:val="FirstParagraph"/>
      </w:pPr>
      <w:r>
        <w:rPr>
          <w:b/>
          <w:bCs/>
        </w:rPr>
        <w:t xml:space="preserve">Equity, Diversity &amp; Social Inclusion Committee</w:t>
      </w:r>
      <w:r>
        <w:t xml:space="preserve"> </w:t>
      </w:r>
      <w:r>
        <w:t xml:space="preserve">Department representative</w:t>
      </w:r>
    </w:p>
    <w:p>
      <w:pPr>
        <w:pStyle w:val="BodyText"/>
      </w:pPr>
      <w:r>
        <w:t xml:space="preserve">2024 –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Organising committee</w:t>
      </w:r>
    </w:p>
    <w:p>
      <w:pPr>
        <w:pStyle w:val="BodyText"/>
      </w:pPr>
      <w: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— OUCRU</w:t>
      </w:r>
      <w:r>
        <w:br/>
      </w:r>
      <w:r>
        <w:t xml:space="preserve">Facilitator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— NSW Health</w:t>
      </w:r>
      <w:r>
        <w:br/>
      </w:r>
      <w:r>
        <w:t xml:space="preserve">Moderator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t xml:space="preserve">2021–2022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t xml:space="preserve">2022–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– Mahidol University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t xml:space="preserve">2019–2022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t xml:space="preserve">2020–2021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–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– The University of Melbourne</w:t>
      </w:r>
      <w:r>
        <w:br/>
      </w:r>
      <w:r>
        <w:t xml:space="preserve">Secretary</w:t>
      </w:r>
    </w:p>
    <w:p>
      <w:pPr>
        <w:pStyle w:val="BodyText"/>
      </w:pPr>
      <w:r>
        <w:t xml:space="preserve">2017–2018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ConocoPhilips Science Experience</w:t>
      </w:r>
      <w:r>
        <w:t xml:space="preserve"> </w:t>
      </w:r>
      <w:r>
        <w:t xml:space="preserve">–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– CSIRO</w:t>
      </w:r>
      <w:r>
        <w:br/>
      </w:r>
      <w:r>
        <w:t xml:space="preserve">Project Supervisor/Mentor</w:t>
      </w:r>
    </w:p>
    <w:p>
      <w:pPr>
        <w:pStyle w:val="BodyText"/>
      </w:pPr>
      <w:r>
        <w:t xml:space="preserve">2016–2018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Comptuational Biology; Scientific Reports; Journal of Applied Mathematics; Journal of Statistical Software; Epidemiology &amp; Infection; Mathematics; Medial Journal of Australia; International Tropical Health; Journal of Antimicrobial Resistance; The R Journal</w:t>
      </w:r>
    </w:p>
    <w:bookmarkEnd w:id="56"/>
    <w:bookmarkStart w:id="57" w:name="professional-memberships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t xml:space="preserve">2015–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t xml:space="preserve">2015–</w:t>
      </w:r>
    </w:p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https://austms.org.au/wp-content/uploads/2021/07/Lydeamore.pdf" TargetMode="External" /><Relationship Type="http://schemas.openxmlformats.org/officeDocument/2006/relationships/hyperlink" Id="rId36" Target="https://doi.org/10.1016/j.epidem.2024.100764" TargetMode="External" /><Relationship Type="http://schemas.openxmlformats.org/officeDocument/2006/relationships/hyperlink" Id="rId33" Target="https://doi.org/10.1016/j.idh.2024.10.004" TargetMode="External" /><Relationship Type="http://schemas.openxmlformats.org/officeDocument/2006/relationships/hyperlink" Id="rId32" Target="https://doi.org/10.1016/j.vaccine.2025.126987" TargetMode="External" /><Relationship Type="http://schemas.openxmlformats.org/officeDocument/2006/relationships/hyperlink" Id="rId42" Target="https://doi.org/10.1038/s41467-021-26558-4" TargetMode="External" /><Relationship Type="http://schemas.openxmlformats.org/officeDocument/2006/relationships/hyperlink" Id="rId43" Target="https://doi.org/10.1093/jac/dkaa506" TargetMode="External" /><Relationship Type="http://schemas.openxmlformats.org/officeDocument/2006/relationships/hyperlink" Id="rId44" Target="https://doi.org/10.1098/rsif.2020.0657" TargetMode="External" /><Relationship Type="http://schemas.openxmlformats.org/officeDocument/2006/relationships/hyperlink" Id="rId29" Target="https://doi.org/10.1098/rsif.2025.0144" TargetMode="External" /><Relationship Type="http://schemas.openxmlformats.org/officeDocument/2006/relationships/hyperlink" Id="rId38" Target="https://doi.org/10.1098/rspb.2023.1437" TargetMode="External" /><Relationship Type="http://schemas.openxmlformats.org/officeDocument/2006/relationships/hyperlink" Id="rId27" Target="https://doi.org/10.1101/2024.04.22.24305704" TargetMode="External" /><Relationship Type="http://schemas.openxmlformats.org/officeDocument/2006/relationships/hyperlink" Id="rId26" Target="https://doi.org/10.1101/2024.05.14.24307386" TargetMode="External" /><Relationship Type="http://schemas.openxmlformats.org/officeDocument/2006/relationships/hyperlink" Id="rId40" Target="https://doi.org/10.1126/sciadv.abm3624" TargetMode="External" /><Relationship Type="http://schemas.openxmlformats.org/officeDocument/2006/relationships/hyperlink" Id="rId31" Target="https://doi.org/10.1136/bmjgh-2024-016096" TargetMode="External" /><Relationship Type="http://schemas.openxmlformats.org/officeDocument/2006/relationships/hyperlink" Id="rId37" Target="https://doi.org/10.1186/s12879-024-09282-4" TargetMode="External" /><Relationship Type="http://schemas.openxmlformats.org/officeDocument/2006/relationships/hyperlink" Id="rId41" Target="https://doi.org/10.1186/s13756-022-01109-8" TargetMode="External" /><Relationship Type="http://schemas.openxmlformats.org/officeDocument/2006/relationships/hyperlink" Id="rId39" Target="https://doi.org/10.1186/s13756-023-01268-2" TargetMode="External" /><Relationship Type="http://schemas.openxmlformats.org/officeDocument/2006/relationships/hyperlink" Id="rId34" Target="https://doi.org/10.1186/s13756-024-01437-x" TargetMode="External" /><Relationship Type="http://schemas.openxmlformats.org/officeDocument/2006/relationships/hyperlink" Id="rId46" Target="https://doi.org/10.1371/journal.pcbi.1007838" TargetMode="External" /><Relationship Type="http://schemas.openxmlformats.org/officeDocument/2006/relationships/hyperlink" Id="rId30" Target="https://doi.org/10.21105/joss.08326" TargetMode="External" /><Relationship Type="http://schemas.openxmlformats.org/officeDocument/2006/relationships/hyperlink" Id="rId35" Target="https://doi.org/10.33321/cdi.2024.48.47" TargetMode="External" /><Relationship Type="http://schemas.openxmlformats.org/officeDocument/2006/relationships/hyperlink" Id="rId25" Target="https://doi.org/10.48550/arXiv.2503.06846" TargetMode="External" /><Relationship Type="http://schemas.openxmlformats.org/officeDocument/2006/relationships/hyperlink" Id="rId24" Target="https://doi.org/10.48550/arXiv.2506.22051" TargetMode="External" /><Relationship Type="http://schemas.openxmlformats.org/officeDocument/2006/relationships/hyperlink" Id="rId22" Target="https://doi.org/10.48550/arXiv.2512.18166" TargetMode="External" /><Relationship Type="http://schemas.openxmlformats.org/officeDocument/2006/relationships/hyperlink" Id="rId23" Target="https://doi.org/10.48550/arXiv.2512.181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austms.org.au/wp-content/uploads/2021/07/Lydeamore.pdf" TargetMode="External" /><Relationship Type="http://schemas.openxmlformats.org/officeDocument/2006/relationships/hyperlink" Id="rId36" Target="https://doi.org/10.1016/j.epidem.2024.100764" TargetMode="External" /><Relationship Type="http://schemas.openxmlformats.org/officeDocument/2006/relationships/hyperlink" Id="rId33" Target="https://doi.org/10.1016/j.idh.2024.10.004" TargetMode="External" /><Relationship Type="http://schemas.openxmlformats.org/officeDocument/2006/relationships/hyperlink" Id="rId32" Target="https://doi.org/10.1016/j.vaccine.2025.126987" TargetMode="External" /><Relationship Type="http://schemas.openxmlformats.org/officeDocument/2006/relationships/hyperlink" Id="rId42" Target="https://doi.org/10.1038/s41467-021-26558-4" TargetMode="External" /><Relationship Type="http://schemas.openxmlformats.org/officeDocument/2006/relationships/hyperlink" Id="rId43" Target="https://doi.org/10.1093/jac/dkaa506" TargetMode="External" /><Relationship Type="http://schemas.openxmlformats.org/officeDocument/2006/relationships/hyperlink" Id="rId44" Target="https://doi.org/10.1098/rsif.2020.0657" TargetMode="External" /><Relationship Type="http://schemas.openxmlformats.org/officeDocument/2006/relationships/hyperlink" Id="rId29" Target="https://doi.org/10.1098/rsif.2025.0144" TargetMode="External" /><Relationship Type="http://schemas.openxmlformats.org/officeDocument/2006/relationships/hyperlink" Id="rId38" Target="https://doi.org/10.1098/rspb.2023.1437" TargetMode="External" /><Relationship Type="http://schemas.openxmlformats.org/officeDocument/2006/relationships/hyperlink" Id="rId27" Target="https://doi.org/10.1101/2024.04.22.24305704" TargetMode="External" /><Relationship Type="http://schemas.openxmlformats.org/officeDocument/2006/relationships/hyperlink" Id="rId26" Target="https://doi.org/10.1101/2024.05.14.24307386" TargetMode="External" /><Relationship Type="http://schemas.openxmlformats.org/officeDocument/2006/relationships/hyperlink" Id="rId40" Target="https://doi.org/10.1126/sciadv.abm3624" TargetMode="External" /><Relationship Type="http://schemas.openxmlformats.org/officeDocument/2006/relationships/hyperlink" Id="rId31" Target="https://doi.org/10.1136/bmjgh-2024-016096" TargetMode="External" /><Relationship Type="http://schemas.openxmlformats.org/officeDocument/2006/relationships/hyperlink" Id="rId37" Target="https://doi.org/10.1186/s12879-024-09282-4" TargetMode="External" /><Relationship Type="http://schemas.openxmlformats.org/officeDocument/2006/relationships/hyperlink" Id="rId41" Target="https://doi.org/10.1186/s13756-022-01109-8" TargetMode="External" /><Relationship Type="http://schemas.openxmlformats.org/officeDocument/2006/relationships/hyperlink" Id="rId39" Target="https://doi.org/10.1186/s13756-023-01268-2" TargetMode="External" /><Relationship Type="http://schemas.openxmlformats.org/officeDocument/2006/relationships/hyperlink" Id="rId34" Target="https://doi.org/10.1186/s13756-024-01437-x" TargetMode="External" /><Relationship Type="http://schemas.openxmlformats.org/officeDocument/2006/relationships/hyperlink" Id="rId46" Target="https://doi.org/10.1371/journal.pcbi.1007838" TargetMode="External" /><Relationship Type="http://schemas.openxmlformats.org/officeDocument/2006/relationships/hyperlink" Id="rId30" Target="https://doi.org/10.21105/joss.08326" TargetMode="External" /><Relationship Type="http://schemas.openxmlformats.org/officeDocument/2006/relationships/hyperlink" Id="rId35" Target="https://doi.org/10.33321/cdi.2024.48.47" TargetMode="External" /><Relationship Type="http://schemas.openxmlformats.org/officeDocument/2006/relationships/hyperlink" Id="rId25" Target="https://doi.org/10.48550/arXiv.2503.06846" TargetMode="External" /><Relationship Type="http://schemas.openxmlformats.org/officeDocument/2006/relationships/hyperlink" Id="rId24" Target="https://doi.org/10.48550/arXiv.2506.22051" TargetMode="External" /><Relationship Type="http://schemas.openxmlformats.org/officeDocument/2006/relationships/hyperlink" Id="rId22" Target="https://doi.org/10.48550/arXiv.2512.18166" TargetMode="External" /><Relationship Type="http://schemas.openxmlformats.org/officeDocument/2006/relationships/hyperlink" Id="rId23" Target="https://doi.org/10.48550/arXiv.2512.181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2026-03-06T02:33:25Z</dcterms:created>
  <dcterms:modified xsi:type="dcterms:W3CDTF">2026-03-06T02:33:25Z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