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95DE5" w14:textId="11FEB857" w:rsidR="00B55DF6" w:rsidRDefault="00C93A08">
      <w:pPr>
        <w:jc w:val="center"/>
      </w:pPr>
      <w:r>
        <w:rPr>
          <w:noProof/>
        </w:rPr>
        <w:drawing>
          <wp:inline distT="0" distB="0" distL="0" distR="0" wp14:anchorId="28675017" wp14:editId="371DEC4B">
            <wp:extent cx="3615055" cy="8191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15055" cy="819150"/>
                    </a:xfrm>
                    <a:prstGeom prst="rect">
                      <a:avLst/>
                    </a:prstGeom>
                    <a:noFill/>
                    <a:ln>
                      <a:noFill/>
                    </a:ln>
                  </pic:spPr>
                </pic:pic>
              </a:graphicData>
            </a:graphic>
          </wp:inline>
        </w:drawing>
      </w:r>
    </w:p>
    <w:p w14:paraId="3183FDC6" w14:textId="77777777" w:rsidR="00B55DF6" w:rsidRDefault="00B55DF6"/>
    <w:p w14:paraId="2FAB57C4" w14:textId="77777777" w:rsidR="00B55DF6" w:rsidRDefault="00B55DF6"/>
    <w:p w14:paraId="5B52D4F1" w14:textId="77777777" w:rsidR="00B55DF6" w:rsidRDefault="00B55DF6"/>
    <w:p w14:paraId="13BFFA1E" w14:textId="77777777" w:rsidR="00B55DF6" w:rsidRDefault="00B55DF6"/>
    <w:p w14:paraId="46EB1F33" w14:textId="77777777" w:rsidR="00B55DF6" w:rsidRDefault="00B55DF6"/>
    <w:p w14:paraId="4518BA40" w14:textId="77777777" w:rsidR="00B55DF6" w:rsidRDefault="00CA6B5E" w:rsidP="00E12662">
      <w:pPr>
        <w:jc w:val="center"/>
        <w:rPr>
          <w:rFonts w:ascii="黑体" w:eastAsia="黑体" w:hAnsi="黑体"/>
          <w:sz w:val="36"/>
          <w:szCs w:val="36"/>
        </w:rPr>
      </w:pPr>
      <w:r w:rsidRPr="00CA6B5E">
        <w:rPr>
          <w:rFonts w:ascii="微软雅黑" w:eastAsia="微软雅黑" w:hAnsi="微软雅黑"/>
          <w:b/>
          <w:sz w:val="52"/>
          <w:szCs w:val="52"/>
        </w:rPr>
        <w:t>Synthetic Design of Artificial Intelligence System</w:t>
      </w:r>
      <w:r w:rsidR="00E12662">
        <w:rPr>
          <w:rFonts w:ascii="微软雅黑" w:eastAsia="微软雅黑" w:hAnsi="微软雅黑" w:hint="eastAsia"/>
          <w:b/>
          <w:sz w:val="52"/>
          <w:szCs w:val="52"/>
        </w:rPr>
        <w:t xml:space="preserve"> Opening Report</w:t>
      </w:r>
    </w:p>
    <w:p w14:paraId="60ADF11B" w14:textId="77777777" w:rsidR="00B55DF6" w:rsidRDefault="00B55DF6">
      <w:pPr>
        <w:jc w:val="center"/>
        <w:rPr>
          <w:rFonts w:ascii="黑体" w:eastAsia="黑体" w:hAnsi="黑体"/>
          <w:sz w:val="36"/>
          <w:szCs w:val="36"/>
        </w:rPr>
      </w:pPr>
    </w:p>
    <w:p w14:paraId="0C077A12" w14:textId="77777777" w:rsidR="00B55DF6" w:rsidRDefault="00B55DF6">
      <w:pPr>
        <w:jc w:val="center"/>
        <w:rPr>
          <w:rFonts w:ascii="黑体" w:eastAsia="黑体" w:hAnsi="黑体"/>
          <w:sz w:val="36"/>
          <w:szCs w:val="36"/>
        </w:rPr>
      </w:pPr>
    </w:p>
    <w:p w14:paraId="15E2AF2D" w14:textId="77777777" w:rsidR="00B55DF6" w:rsidRDefault="00B55DF6">
      <w:pPr>
        <w:jc w:val="center"/>
        <w:rPr>
          <w:rFonts w:ascii="黑体" w:eastAsia="黑体" w:hAnsi="黑体"/>
          <w:sz w:val="36"/>
          <w:szCs w:val="36"/>
        </w:rPr>
      </w:pPr>
    </w:p>
    <w:p w14:paraId="34671263" w14:textId="77777777" w:rsidR="00B55DF6" w:rsidRDefault="00B55DF6">
      <w:pPr>
        <w:jc w:val="center"/>
        <w:rPr>
          <w:rFonts w:ascii="黑体" w:eastAsia="黑体" w:hAnsi="黑体"/>
          <w:sz w:val="36"/>
          <w:szCs w:val="36"/>
        </w:rPr>
      </w:pPr>
    </w:p>
    <w:p w14:paraId="71392CEA" w14:textId="77777777" w:rsidR="00B55DF6" w:rsidRDefault="00B55DF6">
      <w:pPr>
        <w:spacing w:line="320" w:lineRule="exact"/>
        <w:ind w:right="900"/>
        <w:rPr>
          <w:rFonts w:ascii="黑体" w:eastAsia="黑体" w:hAnsi="黑体"/>
          <w:sz w:val="36"/>
          <w:szCs w:val="36"/>
        </w:rPr>
      </w:pPr>
    </w:p>
    <w:tbl>
      <w:tblPr>
        <w:tblW w:w="0" w:type="auto"/>
        <w:jc w:val="center"/>
        <w:tblLayout w:type="fixed"/>
        <w:tblLook w:val="0000" w:firstRow="0" w:lastRow="0" w:firstColumn="0" w:lastColumn="0" w:noHBand="0" w:noVBand="0"/>
      </w:tblPr>
      <w:tblGrid>
        <w:gridCol w:w="2826"/>
        <w:gridCol w:w="4328"/>
      </w:tblGrid>
      <w:tr w:rsidR="00B55DF6" w14:paraId="56FE297D" w14:textId="77777777" w:rsidTr="00A61E70">
        <w:trPr>
          <w:trHeight w:val="57"/>
          <w:jc w:val="center"/>
        </w:trPr>
        <w:tc>
          <w:tcPr>
            <w:tcW w:w="2826" w:type="dxa"/>
            <w:tcMar>
              <w:left w:w="0" w:type="dxa"/>
            </w:tcMar>
            <w:vAlign w:val="bottom"/>
          </w:tcPr>
          <w:p w14:paraId="397CFBC1" w14:textId="77777777" w:rsidR="00B55DF6" w:rsidRDefault="00A61E70" w:rsidP="00F67B79">
            <w:pPr>
              <w:spacing w:line="320" w:lineRule="exact"/>
              <w:jc w:val="right"/>
              <w:rPr>
                <w:rFonts w:ascii="黑体" w:eastAsia="黑体" w:hAnsi="黑体"/>
                <w:sz w:val="28"/>
                <w:szCs w:val="28"/>
              </w:rPr>
            </w:pPr>
            <w:r>
              <w:rPr>
                <w:rFonts w:ascii="微软雅黑" w:eastAsia="微软雅黑" w:hAnsi="微软雅黑" w:hint="eastAsia"/>
                <w:sz w:val="28"/>
                <w:szCs w:val="28"/>
              </w:rPr>
              <w:t>P</w:t>
            </w:r>
            <w:r w:rsidRPr="00A61E70">
              <w:rPr>
                <w:rFonts w:ascii="微软雅黑" w:eastAsia="微软雅黑" w:hAnsi="微软雅黑"/>
                <w:sz w:val="28"/>
                <w:szCs w:val="28"/>
              </w:rPr>
              <w:t>roje</w:t>
            </w:r>
            <w:r>
              <w:rPr>
                <w:rFonts w:ascii="微软雅黑" w:eastAsia="微软雅黑" w:hAnsi="微软雅黑" w:hint="eastAsia"/>
                <w:sz w:val="28"/>
                <w:szCs w:val="28"/>
              </w:rPr>
              <w:t>ct name</w:t>
            </w:r>
            <w:r w:rsidRPr="00A61E70">
              <w:rPr>
                <w:rFonts w:ascii="微软雅黑" w:eastAsia="微软雅黑" w:hAnsi="微软雅黑" w:hint="eastAsia"/>
                <w:sz w:val="28"/>
                <w:szCs w:val="28"/>
              </w:rPr>
              <w:t>:</w:t>
            </w:r>
          </w:p>
        </w:tc>
        <w:tc>
          <w:tcPr>
            <w:tcW w:w="4328" w:type="dxa"/>
            <w:tcBorders>
              <w:bottom w:val="single" w:sz="4" w:space="0" w:color="auto"/>
            </w:tcBorders>
          </w:tcPr>
          <w:p>
            <w:r>
              <w:rPr>
                <w:rFonts w:ascii="微软雅黑" w:hAnsi="微软雅黑" w:eastAsia="微软雅黑"/>
                <w:b/>
                <w:i w:val="0"/>
                <w:sz w:val="22"/>
              </w:rPr>
              <w:t>MIND (Master's Insight Naturally Distilled): An LLM-Driven Platform for Digitizing Teaching Capability</w:t>
            </w:r>
          </w:p>
        </w:tc>
      </w:tr>
      <w:tr w:rsidR="00B55DF6" w14:paraId="44B7A189" w14:textId="77777777" w:rsidTr="00A61E70">
        <w:trPr>
          <w:jc w:val="center"/>
        </w:trPr>
        <w:tc>
          <w:tcPr>
            <w:tcW w:w="2826" w:type="dxa"/>
            <w:tcMar>
              <w:left w:w="0" w:type="dxa"/>
            </w:tcMar>
            <w:vAlign w:val="bottom"/>
          </w:tcPr>
          <w:p w14:paraId="6F8A8230" w14:textId="77777777" w:rsidR="00B55DF6" w:rsidRDefault="00A61E70" w:rsidP="00F67B79">
            <w:pPr>
              <w:spacing w:line="320" w:lineRule="exact"/>
              <w:ind w:firstLineChars="100" w:firstLine="280"/>
              <w:jc w:val="right"/>
              <w:rPr>
                <w:rFonts w:ascii="黑体" w:eastAsia="黑体" w:hAnsi="黑体"/>
                <w:sz w:val="28"/>
                <w:szCs w:val="28"/>
              </w:rPr>
            </w:pPr>
            <w:r w:rsidRPr="00A61E70">
              <w:rPr>
                <w:rFonts w:ascii="微软雅黑" w:eastAsia="微软雅黑" w:hAnsi="微软雅黑"/>
                <w:sz w:val="28"/>
                <w:szCs w:val="28"/>
              </w:rPr>
              <w:t>Project members</w:t>
            </w:r>
            <w:r w:rsidRPr="00A61E70">
              <w:rPr>
                <w:rFonts w:ascii="微软雅黑" w:eastAsia="微软雅黑" w:hAnsi="微软雅黑" w:hint="eastAsia"/>
                <w:sz w:val="28"/>
                <w:szCs w:val="28"/>
              </w:rPr>
              <w:t>:</w:t>
            </w:r>
          </w:p>
        </w:tc>
        <w:tc>
          <w:tcPr>
            <w:tcW w:w="4328" w:type="dxa"/>
            <w:tcBorders>
              <w:top w:val="single" w:sz="4" w:space="0" w:color="auto"/>
              <w:bottom w:val="single" w:sz="4" w:space="0" w:color="auto"/>
            </w:tcBorders>
          </w:tcPr>
          <w:p>
            <w:r>
              <w:rPr>
                <w:rFonts w:ascii="微软雅黑" w:hAnsi="微软雅黑" w:eastAsia="微软雅黑"/>
                <w:b w:val="0"/>
                <w:i w:val="0"/>
                <w:sz w:val="22"/>
              </w:rPr>
              <w:t>[Placeholder] Member A · B · C · D · E · F · G</w:t>
            </w:r>
          </w:p>
        </w:tc>
      </w:tr>
      <w:tr w:rsidR="00B55DF6" w14:paraId="242DD657" w14:textId="77777777" w:rsidTr="00A61E70">
        <w:trPr>
          <w:jc w:val="center"/>
        </w:trPr>
        <w:tc>
          <w:tcPr>
            <w:tcW w:w="2826" w:type="dxa"/>
            <w:tcMar>
              <w:left w:w="0" w:type="dxa"/>
            </w:tcMar>
            <w:vAlign w:val="bottom"/>
          </w:tcPr>
          <w:p w14:paraId="53BCD458" w14:textId="77777777" w:rsidR="00B55DF6" w:rsidRPr="00A61E70" w:rsidRDefault="00A61E70" w:rsidP="00F67B79">
            <w:pPr>
              <w:spacing w:line="320" w:lineRule="exact"/>
              <w:ind w:firstLineChars="400" w:firstLine="1120"/>
              <w:jc w:val="right"/>
              <w:rPr>
                <w:rFonts w:ascii="微软雅黑" w:eastAsia="微软雅黑" w:hAnsi="微软雅黑"/>
                <w:sz w:val="28"/>
                <w:szCs w:val="28"/>
              </w:rPr>
            </w:pPr>
            <w:r>
              <w:rPr>
                <w:rFonts w:ascii="微软雅黑" w:eastAsia="微软雅黑" w:hAnsi="微软雅黑" w:hint="eastAsia"/>
                <w:sz w:val="28"/>
                <w:szCs w:val="28"/>
              </w:rPr>
              <w:t>Supervisor</w:t>
            </w:r>
            <w:r w:rsidRPr="00A61E70">
              <w:rPr>
                <w:rFonts w:ascii="微软雅黑" w:eastAsia="微软雅黑" w:hAnsi="微软雅黑" w:hint="eastAsia"/>
                <w:sz w:val="28"/>
                <w:szCs w:val="28"/>
              </w:rPr>
              <w:t>:</w:t>
            </w:r>
          </w:p>
        </w:tc>
        <w:tc>
          <w:tcPr>
            <w:tcW w:w="4328" w:type="dxa"/>
            <w:tcBorders>
              <w:top w:val="single" w:sz="4" w:space="0" w:color="auto"/>
              <w:bottom w:val="single" w:sz="4" w:space="0" w:color="auto"/>
            </w:tcBorders>
          </w:tcPr>
          <w:p>
            <w:r>
              <w:rPr>
                <w:rFonts w:ascii="微软雅黑" w:hAnsi="微软雅黑" w:eastAsia="微软雅黑"/>
                <w:b w:val="0"/>
                <w:i w:val="0"/>
                <w:sz w:val="22"/>
              </w:rPr>
              <w:t>[Placeholder] Supervisor name · Title</w:t>
            </w:r>
          </w:p>
        </w:tc>
      </w:tr>
    </w:tbl>
    <w:p w14:paraId="0D8488DF" w14:textId="77777777" w:rsidR="00B55DF6" w:rsidRDefault="00B55DF6">
      <w:pPr>
        <w:jc w:val="center"/>
        <w:rPr>
          <w:rFonts w:ascii="黑体" w:eastAsia="黑体" w:hAnsi="黑体"/>
          <w:sz w:val="36"/>
          <w:szCs w:val="36"/>
        </w:rPr>
      </w:pPr>
    </w:p>
    <w:p w14:paraId="30838E82" w14:textId="77777777" w:rsidR="00B55DF6" w:rsidRDefault="00B55DF6">
      <w:pPr>
        <w:spacing w:line="480" w:lineRule="auto"/>
        <w:rPr>
          <w:rFonts w:ascii="仿宋_GB2312" w:eastAsia="仿宋_GB2312"/>
          <w:color w:val="FF0000"/>
          <w:sz w:val="28"/>
        </w:rPr>
      </w:pPr>
    </w:p>
    <w:p w14:paraId="41FECD3F" w14:textId="77777777" w:rsidR="00B55DF6" w:rsidRDefault="00B55DF6">
      <w:pPr>
        <w:rPr>
          <w:rFonts w:ascii="仿宋_GB2312" w:eastAsia="仿宋_GB2312"/>
          <w:sz w:val="36"/>
        </w:rPr>
      </w:pPr>
    </w:p>
    <w:p w14:paraId="6714B051" w14:textId="77777777" w:rsidR="00B55DF6" w:rsidRDefault="00B55DF6">
      <w:pPr>
        <w:spacing w:line="360" w:lineRule="auto"/>
        <w:jc w:val="center"/>
        <w:rPr>
          <w:rFonts w:ascii="仿宋_GB2312" w:eastAsia="仿宋_GB2312"/>
          <w:b/>
          <w:sz w:val="28"/>
        </w:rPr>
        <w:sectPr w:rsidR="00B55DF6" w:rsidSect="00EF231C">
          <w:footerReference w:type="even" r:id="rId9"/>
          <w:pgSz w:w="11906" w:h="16838"/>
          <w:pgMar w:top="1440" w:right="1800" w:bottom="1440" w:left="1800" w:header="851" w:footer="992" w:gutter="0"/>
          <w:cols w:space="720"/>
          <w:docGrid w:type="lines" w:linePitch="312"/>
        </w:sectPr>
      </w:pPr>
    </w:p>
    <w:p w14:paraId="1FBD09BD" w14:textId="77777777" w:rsidR="00B55DF6" w:rsidRPr="00CB1862" w:rsidRDefault="00CB1862">
      <w:pPr>
        <w:spacing w:line="500" w:lineRule="exact"/>
        <w:ind w:right="227"/>
        <w:rPr>
          <w:rFonts w:eastAsia="黑体"/>
          <w:b/>
          <w:sz w:val="28"/>
          <w:szCs w:val="28"/>
        </w:rPr>
      </w:pPr>
      <w:r w:rsidRPr="00CB1862">
        <w:rPr>
          <w:rFonts w:eastAsia="黑体"/>
          <w:b/>
          <w:sz w:val="28"/>
          <w:szCs w:val="28"/>
        </w:rPr>
        <w:lastRenderedPageBreak/>
        <w:t>Ⅰ</w:t>
      </w:r>
      <w:r>
        <w:rPr>
          <w:rFonts w:eastAsia="黑体" w:hint="eastAsia"/>
          <w:b/>
          <w:sz w:val="28"/>
          <w:szCs w:val="28"/>
        </w:rPr>
        <w:t xml:space="preserve">. </w:t>
      </w:r>
      <w:r w:rsidR="00A84CF2" w:rsidRPr="00CB1862">
        <w:rPr>
          <w:rFonts w:eastAsia="黑体"/>
          <w:b/>
          <w:sz w:val="28"/>
          <w:szCs w:val="28"/>
        </w:rPr>
        <w:t>Basic information</w:t>
      </w:r>
    </w:p>
    <w:tbl>
      <w:tblPr>
        <w:tblpPr w:leftFromText="180" w:rightFromText="180" w:vertAnchor="page" w:horzAnchor="margin" w:tblpY="1995"/>
        <w:tblW w:w="92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01"/>
        <w:gridCol w:w="992"/>
        <w:gridCol w:w="850"/>
        <w:gridCol w:w="284"/>
        <w:gridCol w:w="1229"/>
        <w:gridCol w:w="903"/>
        <w:gridCol w:w="845"/>
        <w:gridCol w:w="640"/>
        <w:gridCol w:w="381"/>
        <w:gridCol w:w="2061"/>
      </w:tblGrid>
      <w:tr w:rsidR="00B55DF6" w:rsidRPr="00CB1862" w14:paraId="328E0AFB" w14:textId="77777777" w:rsidTr="4751B66C">
        <w:trPr>
          <w:trHeight w:val="435"/>
        </w:trPr>
        <w:tc>
          <w:tcPr>
            <w:tcW w:w="2093" w:type="dxa"/>
            <w:gridSpan w:val="2"/>
            <w:vAlign w:val="center"/>
          </w:tcPr>
          <w:p w14:paraId="322B6A3B" w14:textId="77777777" w:rsidR="00B55DF6" w:rsidRPr="00CB1862" w:rsidRDefault="00F67B79">
            <w:pPr>
              <w:jc w:val="center"/>
              <w:rPr>
                <w:rFonts w:eastAsia="黑体"/>
              </w:rPr>
            </w:pPr>
            <w:r w:rsidRPr="00CB1862">
              <w:rPr>
                <w:rFonts w:eastAsia="黑体"/>
                <w:szCs w:val="21"/>
              </w:rPr>
              <w:t>Project name</w:t>
            </w:r>
          </w:p>
        </w:tc>
        <w:tc>
          <w:tcPr>
            <w:tcW w:w="7193" w:type="dxa"/>
            <w:gridSpan w:val="8"/>
            <w:vAlign w:val="center"/>
          </w:tcPr>
          <w:p>
            <w:pPr>
              <w:jc w:val="left"/>
            </w:pPr>
            <w:r>
              <w:rPr>
                <w:rFonts w:ascii="微软雅黑" w:hAnsi="微软雅黑" w:eastAsia="微软雅黑"/>
                <w:b/>
                <w:i w:val="0"/>
                <w:sz w:val="22"/>
              </w:rPr>
              <w:t>MIND (Master's Insight Naturally Distilled): An LLM-Driven Platform for Digitizing Teaching Capability</w:t>
            </w:r>
          </w:p>
        </w:tc>
      </w:tr>
      <w:tr w:rsidR="00B55DF6" w:rsidRPr="00CB1862" w14:paraId="32EC4ED7" w14:textId="77777777" w:rsidTr="4751B66C">
        <w:trPr>
          <w:cantSplit/>
          <w:trHeight w:val="435"/>
        </w:trPr>
        <w:tc>
          <w:tcPr>
            <w:tcW w:w="1101" w:type="dxa"/>
            <w:vMerge w:val="restart"/>
            <w:vAlign w:val="center"/>
          </w:tcPr>
          <w:p w14:paraId="0E480F6F" w14:textId="77777777" w:rsidR="00B55DF6" w:rsidRPr="00CB1862" w:rsidRDefault="00CB1862" w:rsidP="00F67B79">
            <w:pPr>
              <w:jc w:val="left"/>
              <w:rPr>
                <w:rFonts w:eastAsia="黑体"/>
              </w:rPr>
            </w:pPr>
            <w:r>
              <w:rPr>
                <w:rFonts w:eastAsia="黑体" w:hint="eastAsia"/>
              </w:rPr>
              <w:t>L</w:t>
            </w:r>
            <w:r w:rsidR="00F67B79" w:rsidRPr="00CB1862">
              <w:rPr>
                <w:rFonts w:eastAsia="黑体"/>
              </w:rPr>
              <w:t>eader</w:t>
            </w:r>
          </w:p>
        </w:tc>
        <w:tc>
          <w:tcPr>
            <w:tcW w:w="992" w:type="dxa"/>
            <w:vAlign w:val="center"/>
          </w:tcPr>
          <w:p w14:paraId="7D84DD67" w14:textId="77777777" w:rsidR="00B55DF6" w:rsidRPr="00CB1862" w:rsidRDefault="00F67B79">
            <w:pPr>
              <w:jc w:val="center"/>
              <w:rPr>
                <w:rFonts w:eastAsia="黑体"/>
              </w:rPr>
            </w:pPr>
            <w:r w:rsidRPr="00CB1862">
              <w:rPr>
                <w:rFonts w:eastAsia="黑体"/>
              </w:rPr>
              <w:t>Name</w:t>
            </w:r>
          </w:p>
        </w:tc>
        <w:tc>
          <w:tcPr>
            <w:tcW w:w="7193" w:type="dxa"/>
            <w:gridSpan w:val="8"/>
            <w:vAlign w:val="center"/>
          </w:tcPr>
          <w:p>
            <w:r>
              <w:rPr>
                <w:rFonts w:ascii="微软雅黑" w:hAnsi="微软雅黑" w:eastAsia="微软雅黑"/>
                <w:b w:val="0"/>
                <w:i w:val="0"/>
                <w:sz w:val="21"/>
              </w:rPr>
              <w:t>[Placeholder]</w:t>
            </w:r>
          </w:p>
        </w:tc>
      </w:tr>
      <w:tr w:rsidR="00B55DF6" w:rsidRPr="00CB1862" w14:paraId="7984E2D0" w14:textId="77777777" w:rsidTr="4751B66C">
        <w:trPr>
          <w:cantSplit/>
          <w:trHeight w:val="435"/>
        </w:trPr>
        <w:tc>
          <w:tcPr>
            <w:tcW w:w="1101" w:type="dxa"/>
            <w:vMerge/>
            <w:textDirection w:val="tbRlV"/>
            <w:vAlign w:val="center"/>
          </w:tcPr>
          <w:p w14:paraId="2E995750" w14:textId="77777777" w:rsidR="00B55DF6" w:rsidRPr="00CB1862" w:rsidRDefault="00B55DF6">
            <w:pPr>
              <w:ind w:left="113" w:right="113"/>
              <w:jc w:val="center"/>
              <w:rPr>
                <w:rFonts w:eastAsia="黑体"/>
              </w:rPr>
            </w:pPr>
          </w:p>
        </w:tc>
        <w:tc>
          <w:tcPr>
            <w:tcW w:w="992" w:type="dxa"/>
            <w:tcBorders>
              <w:bottom w:val="single" w:sz="4" w:space="0" w:color="auto"/>
            </w:tcBorders>
            <w:vAlign w:val="center"/>
          </w:tcPr>
          <w:p w14:paraId="4BB75D4C" w14:textId="77777777" w:rsidR="00B55DF6" w:rsidRPr="00CB1862" w:rsidRDefault="00F67B79">
            <w:pPr>
              <w:jc w:val="center"/>
            </w:pPr>
            <w:r w:rsidRPr="00CB1862">
              <w:t>Student ID</w:t>
            </w:r>
          </w:p>
        </w:tc>
        <w:tc>
          <w:tcPr>
            <w:tcW w:w="4111" w:type="dxa"/>
            <w:gridSpan w:val="5"/>
            <w:tcBorders>
              <w:bottom w:val="single" w:sz="4" w:space="0" w:color="auto"/>
            </w:tcBorders>
            <w:vAlign w:val="center"/>
          </w:tcPr>
          <w:p>
            <w:r>
              <w:rPr>
                <w:rFonts w:ascii="微软雅黑" w:hAnsi="微软雅黑" w:eastAsia="微软雅黑"/>
                <w:b w:val="0"/>
                <w:i w:val="0"/>
                <w:sz w:val="21"/>
              </w:rPr>
              <w:t>[Placeholder]</w:t>
            </w:r>
          </w:p>
        </w:tc>
        <w:tc>
          <w:tcPr>
            <w:tcW w:w="1021" w:type="dxa"/>
            <w:gridSpan w:val="2"/>
            <w:tcBorders>
              <w:bottom w:val="single" w:sz="4" w:space="0" w:color="auto"/>
            </w:tcBorders>
            <w:vAlign w:val="center"/>
          </w:tcPr>
          <w:p w14:paraId="40A9C650" w14:textId="77777777" w:rsidR="00B55DF6" w:rsidRPr="00CB1862" w:rsidRDefault="00A84CF2">
            <w:pPr>
              <w:jc w:val="center"/>
            </w:pPr>
            <w:r w:rsidRPr="00CB1862">
              <w:t>Class</w:t>
            </w:r>
          </w:p>
        </w:tc>
        <w:tc>
          <w:tcPr>
            <w:tcW w:w="2061" w:type="dxa"/>
            <w:tcBorders>
              <w:bottom w:val="single" w:sz="4" w:space="0" w:color="auto"/>
            </w:tcBorders>
            <w:vAlign w:val="center"/>
          </w:tcPr>
          <w:p>
            <w:r>
              <w:rPr>
                <w:rFonts w:ascii="微软雅黑" w:hAnsi="微软雅黑" w:eastAsia="微软雅黑"/>
                <w:b w:val="0"/>
                <w:i w:val="0"/>
                <w:sz w:val="21"/>
              </w:rPr>
              <w:t>AI Class [Placeholder]</w:t>
            </w:r>
          </w:p>
        </w:tc>
      </w:tr>
      <w:tr w:rsidR="00B55DF6" w:rsidRPr="00CB1862" w14:paraId="5ED40FC9" w14:textId="77777777" w:rsidTr="4751B66C">
        <w:trPr>
          <w:cantSplit/>
          <w:trHeight w:val="435"/>
        </w:trPr>
        <w:tc>
          <w:tcPr>
            <w:tcW w:w="1101" w:type="dxa"/>
            <w:vMerge/>
            <w:textDirection w:val="tbRlV"/>
            <w:vAlign w:val="center"/>
          </w:tcPr>
          <w:p w14:paraId="79FE2C96" w14:textId="77777777" w:rsidR="00B55DF6" w:rsidRPr="00CB1862" w:rsidRDefault="00B55DF6">
            <w:pPr>
              <w:ind w:left="113" w:right="113"/>
              <w:jc w:val="center"/>
              <w:rPr>
                <w:rFonts w:eastAsia="黑体"/>
              </w:rPr>
            </w:pPr>
          </w:p>
        </w:tc>
        <w:tc>
          <w:tcPr>
            <w:tcW w:w="992" w:type="dxa"/>
            <w:tcBorders>
              <w:bottom w:val="single" w:sz="4" w:space="0" w:color="auto"/>
            </w:tcBorders>
            <w:vAlign w:val="center"/>
          </w:tcPr>
          <w:p w14:paraId="27016D68" w14:textId="77777777" w:rsidR="00B55DF6" w:rsidRPr="00CB1862" w:rsidRDefault="00F67B79">
            <w:pPr>
              <w:jc w:val="center"/>
            </w:pPr>
            <w:r w:rsidRPr="00CB1862">
              <w:t>Grade</w:t>
            </w:r>
          </w:p>
        </w:tc>
        <w:tc>
          <w:tcPr>
            <w:tcW w:w="1134" w:type="dxa"/>
            <w:gridSpan w:val="2"/>
            <w:tcBorders>
              <w:bottom w:val="single" w:sz="4" w:space="0" w:color="auto"/>
            </w:tcBorders>
            <w:vAlign w:val="center"/>
          </w:tcPr>
          <w:p>
            <w:r>
              <w:rPr>
                <w:rFonts w:ascii="微软雅黑" w:hAnsi="微软雅黑" w:eastAsia="微软雅黑"/>
                <w:b w:val="0"/>
                <w:i w:val="0"/>
                <w:sz w:val="21"/>
              </w:rPr>
              <w:t>2022</w:t>
            </w:r>
          </w:p>
        </w:tc>
        <w:tc>
          <w:tcPr>
            <w:tcW w:w="1229" w:type="dxa"/>
            <w:tcBorders>
              <w:top w:val="nil"/>
              <w:bottom w:val="single" w:sz="4" w:space="0" w:color="auto"/>
            </w:tcBorders>
            <w:vAlign w:val="center"/>
          </w:tcPr>
          <w:p w14:paraId="2951BE10" w14:textId="020B4792" w:rsidR="00B55DF6" w:rsidRPr="00CB1862" w:rsidRDefault="00B55DF6">
            <w:pPr>
              <w:jc w:val="center"/>
            </w:pPr>
          </w:p>
        </w:tc>
        <w:tc>
          <w:tcPr>
            <w:tcW w:w="1748" w:type="dxa"/>
            <w:gridSpan w:val="2"/>
            <w:tcBorders>
              <w:bottom w:val="single" w:sz="4" w:space="0" w:color="auto"/>
            </w:tcBorders>
            <w:vAlign w:val="center"/>
          </w:tcPr>
          <w:p>
            <w:r>
              <w:rPr>
                <w:rFonts w:ascii="微软雅黑" w:hAnsi="微软雅黑" w:eastAsia="微软雅黑"/>
                <w:b w:val="0"/>
                <w:i w:val="0"/>
                <w:sz w:val="21"/>
              </w:rPr>
              <w:t>[Placeholder]</w:t>
            </w:r>
          </w:p>
        </w:tc>
        <w:tc>
          <w:tcPr>
            <w:tcW w:w="1021" w:type="dxa"/>
            <w:gridSpan w:val="2"/>
            <w:tcBorders>
              <w:bottom w:val="single" w:sz="4" w:space="0" w:color="auto"/>
            </w:tcBorders>
            <w:vAlign w:val="center"/>
          </w:tcPr>
          <w:p w14:paraId="3BF19235" w14:textId="77777777" w:rsidR="00B55DF6" w:rsidRPr="00CB1862" w:rsidRDefault="00B55DF6">
            <w:pPr>
              <w:jc w:val="center"/>
            </w:pPr>
            <w:r w:rsidRPr="00CB1862">
              <w:t>E-mail</w:t>
            </w:r>
          </w:p>
        </w:tc>
        <w:tc>
          <w:tcPr>
            <w:tcW w:w="2061" w:type="dxa"/>
            <w:tcBorders>
              <w:bottom w:val="single" w:sz="4" w:space="0" w:color="auto"/>
            </w:tcBorders>
            <w:vAlign w:val="center"/>
          </w:tcPr>
          <w:p>
            <w:r>
              <w:rPr>
                <w:rFonts w:ascii="微软雅黑" w:hAnsi="微软雅黑" w:eastAsia="微软雅黑"/>
                <w:b w:val="0"/>
                <w:i w:val="0"/>
                <w:sz w:val="21"/>
              </w:rPr>
              <w:t>[Placeholder]</w:t>
            </w:r>
          </w:p>
        </w:tc>
      </w:tr>
      <w:tr w:rsidR="00BE50A1" w:rsidRPr="00CB1862" w14:paraId="4220838B" w14:textId="77777777" w:rsidTr="6B712A5B">
        <w:trPr>
          <w:cantSplit/>
          <w:trHeight w:val="435"/>
        </w:trPr>
        <w:tc>
          <w:tcPr>
            <w:tcW w:w="1101" w:type="dxa"/>
            <w:vMerge w:val="restart"/>
            <w:vAlign w:val="center"/>
          </w:tcPr>
          <w:p w14:paraId="086E8470" w14:textId="77777777" w:rsidR="00BE50A1" w:rsidRPr="00CB1862" w:rsidRDefault="00BE50A1" w:rsidP="00F67B79">
            <w:pPr>
              <w:jc w:val="center"/>
              <w:rPr>
                <w:rFonts w:eastAsia="黑体"/>
              </w:rPr>
            </w:pPr>
            <w:r w:rsidRPr="00CB1862">
              <w:rPr>
                <w:rFonts w:eastAsia="黑体"/>
              </w:rPr>
              <w:t>Project team members</w:t>
            </w:r>
          </w:p>
        </w:tc>
        <w:tc>
          <w:tcPr>
            <w:tcW w:w="992" w:type="dxa"/>
            <w:tcBorders>
              <w:top w:val="single" w:sz="4" w:space="0" w:color="auto"/>
              <w:bottom w:val="single" w:sz="4" w:space="0" w:color="auto"/>
            </w:tcBorders>
            <w:vAlign w:val="center"/>
          </w:tcPr>
          <w:p w14:paraId="12DB7E2E" w14:textId="77777777" w:rsidR="00BE50A1" w:rsidRPr="00CB1862" w:rsidRDefault="00BE50A1">
            <w:pPr>
              <w:jc w:val="center"/>
              <w:rPr>
                <w:rFonts w:eastAsia="黑体"/>
              </w:rPr>
            </w:pPr>
            <w:r w:rsidRPr="00CB1862">
              <w:rPr>
                <w:rFonts w:eastAsia="黑体"/>
              </w:rPr>
              <w:t>Name</w:t>
            </w:r>
          </w:p>
        </w:tc>
        <w:tc>
          <w:tcPr>
            <w:tcW w:w="850" w:type="dxa"/>
            <w:tcBorders>
              <w:top w:val="single" w:sz="4" w:space="0" w:color="auto"/>
              <w:bottom w:val="single" w:sz="4" w:space="0" w:color="auto"/>
            </w:tcBorders>
            <w:vAlign w:val="center"/>
          </w:tcPr>
          <w:p w14:paraId="098454C0" w14:textId="77777777" w:rsidR="00BE50A1" w:rsidRPr="00CB1862" w:rsidRDefault="00BE50A1">
            <w:pPr>
              <w:jc w:val="center"/>
              <w:rPr>
                <w:rFonts w:eastAsia="黑体"/>
              </w:rPr>
            </w:pPr>
            <w:r w:rsidRPr="00CB1862">
              <w:rPr>
                <w:rFonts w:eastAsia="黑体"/>
              </w:rPr>
              <w:t>Grade</w:t>
            </w:r>
          </w:p>
        </w:tc>
        <w:tc>
          <w:tcPr>
            <w:tcW w:w="2416" w:type="dxa"/>
            <w:gridSpan w:val="3"/>
            <w:tcBorders>
              <w:top w:val="single" w:sz="4" w:space="0" w:color="auto"/>
              <w:bottom w:val="single" w:sz="4" w:space="0" w:color="auto"/>
            </w:tcBorders>
            <w:vAlign w:val="center"/>
          </w:tcPr>
          <w:p w14:paraId="34B3F968" w14:textId="77777777" w:rsidR="00BE50A1" w:rsidRPr="00CB1862" w:rsidRDefault="00BE50A1">
            <w:pPr>
              <w:jc w:val="center"/>
              <w:rPr>
                <w:rFonts w:eastAsia="黑体"/>
              </w:rPr>
            </w:pPr>
            <w:r w:rsidRPr="00CB1862">
              <w:rPr>
                <w:rFonts w:eastAsia="黑体"/>
              </w:rPr>
              <w:t>Faculty, Major</w:t>
            </w:r>
          </w:p>
        </w:tc>
        <w:tc>
          <w:tcPr>
            <w:tcW w:w="1485" w:type="dxa"/>
            <w:gridSpan w:val="2"/>
            <w:tcBorders>
              <w:top w:val="single" w:sz="4" w:space="0" w:color="auto"/>
              <w:bottom w:val="single" w:sz="4" w:space="0" w:color="auto"/>
            </w:tcBorders>
            <w:vAlign w:val="center"/>
          </w:tcPr>
          <w:p w14:paraId="7773D256" w14:textId="77777777" w:rsidR="00BE50A1" w:rsidRPr="00CB1862" w:rsidRDefault="00BE50A1">
            <w:pPr>
              <w:jc w:val="center"/>
              <w:rPr>
                <w:rFonts w:eastAsia="黑体"/>
              </w:rPr>
            </w:pPr>
            <w:r w:rsidRPr="00CB1862">
              <w:t>Telephone</w:t>
            </w:r>
          </w:p>
        </w:tc>
        <w:tc>
          <w:tcPr>
            <w:tcW w:w="2442" w:type="dxa"/>
            <w:gridSpan w:val="2"/>
            <w:tcBorders>
              <w:top w:val="single" w:sz="4" w:space="0" w:color="auto"/>
              <w:bottom w:val="single" w:sz="4" w:space="0" w:color="auto"/>
            </w:tcBorders>
            <w:vAlign w:val="center"/>
          </w:tcPr>
          <w:p w14:paraId="315918FE" w14:textId="77777777" w:rsidR="00BE50A1" w:rsidRPr="00CB1862" w:rsidRDefault="00BE50A1">
            <w:pPr>
              <w:jc w:val="center"/>
              <w:rPr>
                <w:rFonts w:eastAsia="黑体"/>
              </w:rPr>
            </w:pPr>
            <w:r w:rsidRPr="00CB1862">
              <w:t>E-mail</w:t>
            </w:r>
          </w:p>
        </w:tc>
      </w:tr>
      <w:tr w:rsidR="00BE50A1" w:rsidRPr="00CB1862" w14:paraId="71C9AB86" w14:textId="77777777" w:rsidTr="6B712A5B">
        <w:trPr>
          <w:cantSplit/>
          <w:trHeight w:val="435"/>
        </w:trPr>
        <w:tc>
          <w:tcPr>
            <w:tcW w:w="1101" w:type="dxa"/>
            <w:vMerge/>
            <w:textDirection w:val="tbRlV"/>
            <w:vAlign w:val="center"/>
          </w:tcPr>
          <w:p w14:paraId="746338F8" w14:textId="77777777" w:rsidR="00BE50A1" w:rsidRPr="00CB1862" w:rsidRDefault="00BE50A1">
            <w:pPr>
              <w:ind w:left="113" w:right="113"/>
              <w:jc w:val="center"/>
              <w:rPr>
                <w:rFonts w:eastAsia="黑体"/>
              </w:rPr>
            </w:pPr>
          </w:p>
        </w:tc>
        <w:tc>
          <w:tcPr>
            <w:tcW w:w="992" w:type="dxa"/>
            <w:tcBorders>
              <w:top w:val="single" w:sz="4" w:space="0" w:color="auto"/>
              <w:bottom w:val="single" w:sz="4" w:space="0" w:color="auto"/>
            </w:tcBorders>
            <w:vAlign w:val="center"/>
          </w:tcPr>
          <w:p>
            <w:r>
              <w:rPr>
                <w:rFonts w:ascii="微软雅黑" w:hAnsi="微软雅黑" w:eastAsia="微软雅黑"/>
                <w:b w:val="0"/>
                <w:i w:val="0"/>
                <w:sz w:val="20"/>
              </w:rPr>
              <w:t>[Member B]</w:t>
            </w:r>
          </w:p>
        </w:tc>
        <w:tc>
          <w:tcPr>
            <w:tcW w:w="850" w:type="dxa"/>
            <w:tcBorders>
              <w:top w:val="single" w:sz="4" w:space="0" w:color="auto"/>
              <w:bottom w:val="single" w:sz="4" w:space="0" w:color="auto"/>
            </w:tcBorders>
            <w:vAlign w:val="center"/>
          </w:tcPr>
          <w:p>
            <w:r>
              <w:rPr>
                <w:rFonts w:ascii="微软雅黑" w:hAnsi="微软雅黑" w:eastAsia="微软雅黑"/>
                <w:b w:val="0"/>
                <w:i w:val="0"/>
                <w:sz w:val="20"/>
              </w:rPr>
              <w:t>2022</w:t>
            </w:r>
          </w:p>
        </w:tc>
        <w:tc>
          <w:tcPr>
            <w:tcW w:w="2416" w:type="dxa"/>
            <w:gridSpan w:val="3"/>
            <w:tcBorders>
              <w:top w:val="single" w:sz="4" w:space="0" w:color="auto"/>
              <w:bottom w:val="single" w:sz="4" w:space="0" w:color="auto"/>
            </w:tcBorders>
            <w:vAlign w:val="center"/>
          </w:tcPr>
          <w:p>
            <w:r>
              <w:rPr>
                <w:rFonts w:ascii="微软雅黑" w:hAnsi="微软雅黑" w:eastAsia="微软雅黑"/>
                <w:b w:val="0"/>
                <w:i w:val="0"/>
                <w:sz w:val="20"/>
              </w:rPr>
              <w:t>Artificial Intelligence</w:t>
            </w:r>
          </w:p>
        </w:tc>
        <w:tc>
          <w:tcPr>
            <w:tcW w:w="1485" w:type="dxa"/>
            <w:gridSpan w:val="2"/>
            <w:tcBorders>
              <w:top w:val="single" w:sz="4" w:space="0" w:color="auto"/>
              <w:bottom w:val="single" w:sz="4" w:space="0" w:color="auto"/>
            </w:tcBorders>
            <w:vAlign w:val="center"/>
          </w:tcPr>
          <w:p>
            <w:r>
              <w:rPr>
                <w:rFonts w:ascii="微软雅黑" w:hAnsi="微软雅黑" w:eastAsia="微软雅黑"/>
                <w:b w:val="0"/>
                <w:i w:val="0"/>
                <w:sz w:val="20"/>
              </w:rPr>
              <w:t>[Placeholder]</w:t>
            </w:r>
          </w:p>
        </w:tc>
        <w:tc>
          <w:tcPr>
            <w:tcW w:w="2442" w:type="dxa"/>
            <w:gridSpan w:val="2"/>
            <w:tcBorders>
              <w:top w:val="single" w:sz="4" w:space="0" w:color="auto"/>
              <w:bottom w:val="single" w:sz="4" w:space="0" w:color="auto"/>
            </w:tcBorders>
            <w:vAlign w:val="center"/>
          </w:tcPr>
          <w:p>
            <w:r>
              <w:rPr>
                <w:rFonts w:ascii="微软雅黑" w:hAnsi="微软雅黑" w:eastAsia="微软雅黑"/>
                <w:b w:val="0"/>
                <w:i w:val="0"/>
                <w:sz w:val="20"/>
              </w:rPr>
              <w:t>[Placeholder]</w:t>
            </w:r>
          </w:p>
        </w:tc>
      </w:tr>
      <w:tr w:rsidR="00BE50A1" w:rsidRPr="00CB1862" w14:paraId="27197DCC" w14:textId="77777777" w:rsidTr="6B712A5B">
        <w:trPr>
          <w:cantSplit/>
          <w:trHeight w:val="435"/>
        </w:trPr>
        <w:tc>
          <w:tcPr>
            <w:tcW w:w="1101" w:type="dxa"/>
            <w:vMerge/>
            <w:textDirection w:val="tbRlV"/>
            <w:vAlign w:val="center"/>
          </w:tcPr>
          <w:p w14:paraId="60C6360E" w14:textId="77777777" w:rsidR="00BE50A1" w:rsidRPr="00CB1862" w:rsidRDefault="00BE50A1">
            <w:pPr>
              <w:ind w:left="113" w:right="113"/>
              <w:jc w:val="center"/>
              <w:rPr>
                <w:rFonts w:eastAsia="黑体"/>
              </w:rPr>
            </w:pPr>
          </w:p>
        </w:tc>
        <w:tc>
          <w:tcPr>
            <w:tcW w:w="992" w:type="dxa"/>
            <w:tcBorders>
              <w:top w:val="single" w:sz="4" w:space="0" w:color="auto"/>
              <w:bottom w:val="single" w:sz="4" w:space="0" w:color="auto"/>
            </w:tcBorders>
            <w:vAlign w:val="center"/>
          </w:tcPr>
          <w:p>
            <w:r>
              <w:rPr>
                <w:rFonts w:ascii="微软雅黑" w:hAnsi="微软雅黑" w:eastAsia="微软雅黑"/>
                <w:b w:val="0"/>
                <w:i w:val="0"/>
                <w:sz w:val="20"/>
              </w:rPr>
              <w:t>[Member C]</w:t>
            </w:r>
          </w:p>
        </w:tc>
        <w:tc>
          <w:tcPr>
            <w:tcW w:w="850" w:type="dxa"/>
            <w:tcBorders>
              <w:top w:val="single" w:sz="4" w:space="0" w:color="auto"/>
              <w:bottom w:val="single" w:sz="4" w:space="0" w:color="auto"/>
            </w:tcBorders>
            <w:vAlign w:val="center"/>
          </w:tcPr>
          <w:p>
            <w:r>
              <w:rPr>
                <w:rFonts w:ascii="微软雅黑" w:hAnsi="微软雅黑" w:eastAsia="微软雅黑"/>
                <w:b w:val="0"/>
                <w:i w:val="0"/>
                <w:sz w:val="20"/>
              </w:rPr>
              <w:t>2022</w:t>
            </w:r>
          </w:p>
        </w:tc>
        <w:tc>
          <w:tcPr>
            <w:tcW w:w="2416" w:type="dxa"/>
            <w:gridSpan w:val="3"/>
            <w:tcBorders>
              <w:top w:val="single" w:sz="4" w:space="0" w:color="auto"/>
              <w:bottom w:val="single" w:sz="4" w:space="0" w:color="auto"/>
            </w:tcBorders>
            <w:vAlign w:val="center"/>
          </w:tcPr>
          <w:p>
            <w:r>
              <w:rPr>
                <w:rFonts w:ascii="微软雅黑" w:hAnsi="微软雅黑" w:eastAsia="微软雅黑"/>
                <w:b w:val="0"/>
                <w:i w:val="0"/>
                <w:sz w:val="20"/>
              </w:rPr>
              <w:t>Artificial Intelligence</w:t>
            </w:r>
          </w:p>
        </w:tc>
        <w:tc>
          <w:tcPr>
            <w:tcW w:w="1485" w:type="dxa"/>
            <w:gridSpan w:val="2"/>
            <w:tcBorders>
              <w:top w:val="single" w:sz="4" w:space="0" w:color="auto"/>
              <w:bottom w:val="single" w:sz="4" w:space="0" w:color="auto"/>
            </w:tcBorders>
            <w:vAlign w:val="center"/>
          </w:tcPr>
          <w:p>
            <w:r>
              <w:rPr>
                <w:rFonts w:ascii="微软雅黑" w:hAnsi="微软雅黑" w:eastAsia="微软雅黑"/>
                <w:b w:val="0"/>
                <w:i w:val="0"/>
                <w:sz w:val="20"/>
              </w:rPr>
              <w:t>[Placeholder]</w:t>
            </w:r>
          </w:p>
        </w:tc>
        <w:tc>
          <w:tcPr>
            <w:tcW w:w="2442" w:type="dxa"/>
            <w:gridSpan w:val="2"/>
            <w:tcBorders>
              <w:top w:val="single" w:sz="4" w:space="0" w:color="auto"/>
              <w:bottom w:val="single" w:sz="4" w:space="0" w:color="auto"/>
            </w:tcBorders>
            <w:vAlign w:val="center"/>
          </w:tcPr>
          <w:p>
            <w:r>
              <w:rPr>
                <w:rFonts w:ascii="微软雅黑" w:hAnsi="微软雅黑" w:eastAsia="微软雅黑"/>
                <w:b w:val="0"/>
                <w:i w:val="0"/>
                <w:sz w:val="20"/>
              </w:rPr>
              <w:t>[Placeholder]</w:t>
            </w:r>
          </w:p>
        </w:tc>
      </w:tr>
      <w:tr w:rsidR="00BE50A1" w:rsidRPr="00CB1862" w14:paraId="520D8065" w14:textId="77777777" w:rsidTr="6B712A5B">
        <w:trPr>
          <w:cantSplit/>
          <w:trHeight w:val="435"/>
        </w:trPr>
        <w:tc>
          <w:tcPr>
            <w:tcW w:w="1101" w:type="dxa"/>
            <w:vMerge/>
            <w:textDirection w:val="tbRlV"/>
            <w:vAlign w:val="center"/>
          </w:tcPr>
          <w:p w14:paraId="17FBC3B8" w14:textId="77777777" w:rsidR="00BE50A1" w:rsidRPr="00CB1862" w:rsidRDefault="00BE50A1">
            <w:pPr>
              <w:ind w:left="113" w:right="113"/>
              <w:jc w:val="center"/>
              <w:rPr>
                <w:rFonts w:eastAsia="黑体"/>
              </w:rPr>
            </w:pPr>
          </w:p>
        </w:tc>
        <w:tc>
          <w:tcPr>
            <w:tcW w:w="992" w:type="dxa"/>
            <w:tcBorders>
              <w:top w:val="single" w:sz="4" w:space="0" w:color="auto"/>
              <w:bottom w:val="single" w:sz="4" w:space="0" w:color="auto"/>
            </w:tcBorders>
            <w:vAlign w:val="center"/>
          </w:tcPr>
          <w:p>
            <w:r>
              <w:rPr>
                <w:rFonts w:ascii="微软雅黑" w:hAnsi="微软雅黑" w:eastAsia="微软雅黑"/>
                <w:b w:val="0"/>
                <w:i w:val="0"/>
                <w:sz w:val="20"/>
              </w:rPr>
              <w:t>[Member D]</w:t>
            </w:r>
          </w:p>
        </w:tc>
        <w:tc>
          <w:tcPr>
            <w:tcW w:w="850" w:type="dxa"/>
            <w:tcBorders>
              <w:top w:val="single" w:sz="4" w:space="0" w:color="auto"/>
              <w:bottom w:val="single" w:sz="4" w:space="0" w:color="auto"/>
            </w:tcBorders>
            <w:vAlign w:val="center"/>
          </w:tcPr>
          <w:p>
            <w:r>
              <w:rPr>
                <w:rFonts w:ascii="微软雅黑" w:hAnsi="微软雅黑" w:eastAsia="微软雅黑"/>
                <w:b w:val="0"/>
                <w:i w:val="0"/>
                <w:sz w:val="20"/>
              </w:rPr>
              <w:t>2022</w:t>
            </w:r>
          </w:p>
        </w:tc>
        <w:tc>
          <w:tcPr>
            <w:tcW w:w="2416" w:type="dxa"/>
            <w:gridSpan w:val="3"/>
            <w:tcBorders>
              <w:top w:val="single" w:sz="4" w:space="0" w:color="auto"/>
              <w:bottom w:val="single" w:sz="4" w:space="0" w:color="auto"/>
            </w:tcBorders>
            <w:vAlign w:val="center"/>
          </w:tcPr>
          <w:p>
            <w:r>
              <w:rPr>
                <w:rFonts w:ascii="微软雅黑" w:hAnsi="微软雅黑" w:eastAsia="微软雅黑"/>
                <w:b w:val="0"/>
                <w:i w:val="0"/>
                <w:sz w:val="20"/>
              </w:rPr>
              <w:t>Artificial Intelligence</w:t>
            </w:r>
          </w:p>
        </w:tc>
        <w:tc>
          <w:tcPr>
            <w:tcW w:w="1485" w:type="dxa"/>
            <w:gridSpan w:val="2"/>
            <w:tcBorders>
              <w:top w:val="single" w:sz="4" w:space="0" w:color="auto"/>
              <w:bottom w:val="single" w:sz="4" w:space="0" w:color="auto"/>
            </w:tcBorders>
            <w:vAlign w:val="center"/>
          </w:tcPr>
          <w:p>
            <w:r>
              <w:rPr>
                <w:rFonts w:ascii="微软雅黑" w:hAnsi="微软雅黑" w:eastAsia="微软雅黑"/>
                <w:b w:val="0"/>
                <w:i w:val="0"/>
                <w:sz w:val="20"/>
              </w:rPr>
              <w:t>[Placeholder]</w:t>
            </w:r>
          </w:p>
        </w:tc>
        <w:tc>
          <w:tcPr>
            <w:tcW w:w="2442" w:type="dxa"/>
            <w:gridSpan w:val="2"/>
            <w:tcBorders>
              <w:top w:val="single" w:sz="4" w:space="0" w:color="auto"/>
              <w:bottom w:val="single" w:sz="4" w:space="0" w:color="auto"/>
            </w:tcBorders>
            <w:vAlign w:val="center"/>
          </w:tcPr>
          <w:p>
            <w:r>
              <w:rPr>
                <w:rFonts w:ascii="微软雅黑" w:hAnsi="微软雅黑" w:eastAsia="微软雅黑"/>
                <w:b w:val="0"/>
                <w:i w:val="0"/>
                <w:sz w:val="20"/>
              </w:rPr>
              <w:t>[Placeholder]</w:t>
            </w:r>
          </w:p>
        </w:tc>
      </w:tr>
      <w:tr w:rsidR="00BE50A1" w:rsidRPr="00CB1862" w14:paraId="5BE76D06" w14:textId="77777777" w:rsidTr="6B712A5B">
        <w:trPr>
          <w:cantSplit/>
          <w:trHeight w:val="435"/>
        </w:trPr>
        <w:tc>
          <w:tcPr>
            <w:tcW w:w="1101" w:type="dxa"/>
            <w:vMerge/>
            <w:textDirection w:val="tbRlV"/>
            <w:vAlign w:val="center"/>
          </w:tcPr>
          <w:p w14:paraId="6B038FC9" w14:textId="77777777" w:rsidR="00BE50A1" w:rsidRPr="00CB1862" w:rsidRDefault="00BE50A1">
            <w:pPr>
              <w:ind w:left="113" w:right="113"/>
              <w:jc w:val="center"/>
              <w:rPr>
                <w:rFonts w:eastAsia="黑体"/>
              </w:rPr>
            </w:pPr>
          </w:p>
        </w:tc>
        <w:tc>
          <w:tcPr>
            <w:tcW w:w="992" w:type="dxa"/>
            <w:tcBorders>
              <w:top w:val="single" w:sz="4" w:space="0" w:color="auto"/>
              <w:bottom w:val="single" w:sz="4" w:space="0" w:color="auto"/>
            </w:tcBorders>
            <w:vAlign w:val="center"/>
          </w:tcPr>
          <w:p>
            <w:r>
              <w:rPr>
                <w:rFonts w:ascii="微软雅黑" w:hAnsi="微软雅黑" w:eastAsia="微软雅黑"/>
                <w:b w:val="0"/>
                <w:i w:val="0"/>
                <w:sz w:val="20"/>
              </w:rPr>
              <w:t>[Member E]</w:t>
            </w:r>
          </w:p>
        </w:tc>
        <w:tc>
          <w:tcPr>
            <w:tcW w:w="850" w:type="dxa"/>
            <w:tcBorders>
              <w:top w:val="single" w:sz="4" w:space="0" w:color="auto"/>
              <w:bottom w:val="single" w:sz="4" w:space="0" w:color="auto"/>
            </w:tcBorders>
            <w:vAlign w:val="center"/>
          </w:tcPr>
          <w:p>
            <w:r>
              <w:rPr>
                <w:rFonts w:ascii="微软雅黑" w:hAnsi="微软雅黑" w:eastAsia="微软雅黑"/>
                <w:b w:val="0"/>
                <w:i w:val="0"/>
                <w:sz w:val="20"/>
              </w:rPr>
              <w:t>2022</w:t>
            </w:r>
          </w:p>
        </w:tc>
        <w:tc>
          <w:tcPr>
            <w:tcW w:w="2416" w:type="dxa"/>
            <w:gridSpan w:val="3"/>
            <w:tcBorders>
              <w:top w:val="single" w:sz="4" w:space="0" w:color="auto"/>
              <w:bottom w:val="single" w:sz="4" w:space="0" w:color="auto"/>
            </w:tcBorders>
            <w:vAlign w:val="center"/>
          </w:tcPr>
          <w:p>
            <w:r>
              <w:rPr>
                <w:rFonts w:ascii="微软雅黑" w:hAnsi="微软雅黑" w:eastAsia="微软雅黑"/>
                <w:b w:val="0"/>
                <w:i w:val="0"/>
                <w:sz w:val="20"/>
              </w:rPr>
              <w:t>Industrial Design</w:t>
            </w:r>
          </w:p>
        </w:tc>
        <w:tc>
          <w:tcPr>
            <w:tcW w:w="1485" w:type="dxa"/>
            <w:gridSpan w:val="2"/>
            <w:tcBorders>
              <w:top w:val="single" w:sz="4" w:space="0" w:color="auto"/>
              <w:bottom w:val="single" w:sz="4" w:space="0" w:color="auto"/>
            </w:tcBorders>
            <w:vAlign w:val="center"/>
          </w:tcPr>
          <w:p>
            <w:r>
              <w:rPr>
                <w:rFonts w:ascii="微软雅黑" w:hAnsi="微软雅黑" w:eastAsia="微软雅黑"/>
                <w:b w:val="0"/>
                <w:i w:val="0"/>
                <w:sz w:val="20"/>
              </w:rPr>
              <w:t>[Placeholder]</w:t>
            </w:r>
          </w:p>
        </w:tc>
        <w:tc>
          <w:tcPr>
            <w:tcW w:w="2442" w:type="dxa"/>
            <w:gridSpan w:val="2"/>
            <w:tcBorders>
              <w:top w:val="single" w:sz="4" w:space="0" w:color="auto"/>
              <w:bottom w:val="single" w:sz="4" w:space="0" w:color="auto"/>
            </w:tcBorders>
            <w:vAlign w:val="center"/>
          </w:tcPr>
          <w:p>
            <w:r>
              <w:rPr>
                <w:rFonts w:ascii="微软雅黑" w:hAnsi="微软雅黑" w:eastAsia="微软雅黑"/>
                <w:b w:val="0"/>
                <w:i w:val="0"/>
                <w:sz w:val="20"/>
              </w:rPr>
              <w:t>[Placeholder]</w:t>
            </w:r>
          </w:p>
        </w:tc>
      </w:tr>
      <w:tr w:rsidR="00BE50A1" w:rsidRPr="00CB1862" w14:paraId="4227BCCA" w14:textId="77777777" w:rsidTr="6B712A5B">
        <w:trPr>
          <w:cantSplit/>
          <w:trHeight w:val="435"/>
        </w:trPr>
        <w:tc>
          <w:tcPr>
            <w:tcW w:w="1101" w:type="dxa"/>
            <w:vMerge/>
            <w:textDirection w:val="tbRlV"/>
            <w:vAlign w:val="center"/>
          </w:tcPr>
          <w:p w14:paraId="07E1A29D" w14:textId="77777777" w:rsidR="00BE50A1" w:rsidRPr="00CB1862" w:rsidRDefault="00BE50A1">
            <w:pPr>
              <w:ind w:left="113" w:right="113"/>
              <w:jc w:val="center"/>
              <w:rPr>
                <w:rFonts w:eastAsia="黑体"/>
              </w:rPr>
            </w:pPr>
          </w:p>
        </w:tc>
        <w:tc>
          <w:tcPr>
            <w:tcW w:w="992" w:type="dxa"/>
            <w:tcBorders>
              <w:top w:val="single" w:sz="4" w:space="0" w:color="auto"/>
              <w:bottom w:val="single" w:sz="4" w:space="0" w:color="auto"/>
            </w:tcBorders>
            <w:vAlign w:val="center"/>
          </w:tcPr>
          <w:p>
            <w:r>
              <w:rPr>
                <w:rFonts w:ascii="微软雅黑" w:hAnsi="微软雅黑" w:eastAsia="微软雅黑"/>
                <w:b w:val="0"/>
                <w:i w:val="0"/>
                <w:sz w:val="20"/>
              </w:rPr>
              <w:t>[Member F]</w:t>
            </w:r>
          </w:p>
        </w:tc>
        <w:tc>
          <w:tcPr>
            <w:tcW w:w="850" w:type="dxa"/>
            <w:tcBorders>
              <w:top w:val="single" w:sz="4" w:space="0" w:color="auto"/>
              <w:bottom w:val="single" w:sz="4" w:space="0" w:color="auto"/>
            </w:tcBorders>
            <w:vAlign w:val="center"/>
          </w:tcPr>
          <w:p>
            <w:r>
              <w:rPr>
                <w:rFonts w:ascii="微软雅黑" w:hAnsi="微软雅黑" w:eastAsia="微软雅黑"/>
                <w:b w:val="0"/>
                <w:i w:val="0"/>
                <w:sz w:val="20"/>
              </w:rPr>
              <w:t>2022</w:t>
            </w:r>
          </w:p>
        </w:tc>
        <w:tc>
          <w:tcPr>
            <w:tcW w:w="2416" w:type="dxa"/>
            <w:gridSpan w:val="3"/>
            <w:tcBorders>
              <w:top w:val="single" w:sz="4" w:space="0" w:color="auto"/>
              <w:bottom w:val="single" w:sz="4" w:space="0" w:color="auto"/>
            </w:tcBorders>
            <w:vAlign w:val="center"/>
          </w:tcPr>
          <w:p>
            <w:r>
              <w:rPr>
                <w:rFonts w:ascii="微软雅黑" w:hAnsi="微软雅黑" w:eastAsia="微软雅黑"/>
                <w:b w:val="0"/>
                <w:i w:val="0"/>
                <w:sz w:val="20"/>
              </w:rPr>
              <w:t>Industrial Design</w:t>
            </w:r>
          </w:p>
        </w:tc>
        <w:tc>
          <w:tcPr>
            <w:tcW w:w="1485" w:type="dxa"/>
            <w:gridSpan w:val="2"/>
            <w:tcBorders>
              <w:top w:val="single" w:sz="4" w:space="0" w:color="auto"/>
              <w:bottom w:val="single" w:sz="4" w:space="0" w:color="auto"/>
            </w:tcBorders>
            <w:vAlign w:val="center"/>
          </w:tcPr>
          <w:p>
            <w:r>
              <w:rPr>
                <w:rFonts w:ascii="微软雅黑" w:hAnsi="微软雅黑" w:eastAsia="微软雅黑"/>
                <w:b w:val="0"/>
                <w:i w:val="0"/>
                <w:sz w:val="20"/>
              </w:rPr>
              <w:t>[Placeholder]</w:t>
            </w:r>
          </w:p>
        </w:tc>
        <w:tc>
          <w:tcPr>
            <w:tcW w:w="2442" w:type="dxa"/>
            <w:gridSpan w:val="2"/>
            <w:tcBorders>
              <w:top w:val="single" w:sz="4" w:space="0" w:color="auto"/>
              <w:bottom w:val="single" w:sz="4" w:space="0" w:color="auto"/>
            </w:tcBorders>
            <w:vAlign w:val="center"/>
          </w:tcPr>
          <w:p>
            <w:r>
              <w:rPr>
                <w:rFonts w:ascii="微软雅黑" w:hAnsi="微软雅黑" w:eastAsia="微软雅黑"/>
                <w:b w:val="0"/>
                <w:i w:val="0"/>
                <w:sz w:val="20"/>
              </w:rPr>
              <w:t>[Placeholder]</w:t>
            </w:r>
          </w:p>
        </w:tc>
      </w:tr>
      <w:tr w:rsidR="00BE50A1" w:rsidRPr="00CB1862" w14:paraId="4838CED9" w14:textId="77777777" w:rsidTr="6B712A5B">
        <w:trPr>
          <w:cantSplit/>
          <w:trHeight w:val="435"/>
        </w:trPr>
        <w:tc>
          <w:tcPr>
            <w:tcW w:w="1101" w:type="dxa"/>
            <w:vMerge/>
            <w:textDirection w:val="tbRlV"/>
            <w:vAlign w:val="center"/>
          </w:tcPr>
          <w:p w14:paraId="7A006655" w14:textId="77777777" w:rsidR="00BE50A1" w:rsidRPr="00CB1862" w:rsidRDefault="00BE50A1">
            <w:pPr>
              <w:ind w:left="113" w:right="113"/>
              <w:jc w:val="center"/>
              <w:rPr>
                <w:rFonts w:eastAsia="黑体"/>
              </w:rPr>
            </w:pPr>
          </w:p>
        </w:tc>
        <w:tc>
          <w:tcPr>
            <w:tcW w:w="992" w:type="dxa"/>
            <w:tcBorders>
              <w:top w:val="single" w:sz="4" w:space="0" w:color="auto"/>
              <w:bottom w:val="single" w:sz="4" w:space="0" w:color="auto"/>
            </w:tcBorders>
            <w:vAlign w:val="center"/>
          </w:tcPr>
          <w:p>
            <w:r>
              <w:rPr>
                <w:rFonts w:ascii="微软雅黑" w:hAnsi="微软雅黑" w:eastAsia="微软雅黑"/>
                <w:b w:val="0"/>
                <w:i w:val="0"/>
                <w:sz w:val="20"/>
              </w:rPr>
              <w:t>[Member G]</w:t>
            </w:r>
          </w:p>
        </w:tc>
        <w:tc>
          <w:tcPr>
            <w:tcW w:w="850" w:type="dxa"/>
            <w:tcBorders>
              <w:top w:val="single" w:sz="4" w:space="0" w:color="auto"/>
              <w:bottom w:val="single" w:sz="4" w:space="0" w:color="auto"/>
            </w:tcBorders>
            <w:vAlign w:val="center"/>
          </w:tcPr>
          <w:p>
            <w:r>
              <w:rPr>
                <w:rFonts w:ascii="微软雅黑" w:hAnsi="微软雅黑" w:eastAsia="微软雅黑"/>
                <w:b w:val="0"/>
                <w:i w:val="0"/>
                <w:sz w:val="20"/>
              </w:rPr>
              <w:t>2022</w:t>
            </w:r>
          </w:p>
        </w:tc>
        <w:tc>
          <w:tcPr>
            <w:tcW w:w="2416" w:type="dxa"/>
            <w:gridSpan w:val="3"/>
            <w:tcBorders>
              <w:top w:val="single" w:sz="4" w:space="0" w:color="auto"/>
              <w:bottom w:val="single" w:sz="4" w:space="0" w:color="auto"/>
            </w:tcBorders>
            <w:vAlign w:val="center"/>
          </w:tcPr>
          <w:p>
            <w:r>
              <w:rPr>
                <w:rFonts w:ascii="微软雅黑" w:hAnsi="微软雅黑" w:eastAsia="微软雅黑"/>
                <w:b w:val="0"/>
                <w:i w:val="0"/>
                <w:sz w:val="20"/>
              </w:rPr>
              <w:t>Industrial Design</w:t>
            </w:r>
          </w:p>
        </w:tc>
        <w:tc>
          <w:tcPr>
            <w:tcW w:w="1485" w:type="dxa"/>
            <w:gridSpan w:val="2"/>
            <w:tcBorders>
              <w:top w:val="single" w:sz="4" w:space="0" w:color="auto"/>
              <w:bottom w:val="single" w:sz="4" w:space="0" w:color="auto"/>
            </w:tcBorders>
            <w:vAlign w:val="center"/>
          </w:tcPr>
          <w:p>
            <w:r>
              <w:rPr>
                <w:rFonts w:ascii="微软雅黑" w:hAnsi="微软雅黑" w:eastAsia="微软雅黑"/>
                <w:b w:val="0"/>
                <w:i w:val="0"/>
                <w:sz w:val="20"/>
              </w:rPr>
              <w:t>[Placeholder]</w:t>
            </w:r>
          </w:p>
        </w:tc>
        <w:tc>
          <w:tcPr>
            <w:tcW w:w="2442" w:type="dxa"/>
            <w:gridSpan w:val="2"/>
            <w:tcBorders>
              <w:top w:val="single" w:sz="4" w:space="0" w:color="auto"/>
              <w:bottom w:val="single" w:sz="4" w:space="0" w:color="auto"/>
            </w:tcBorders>
            <w:vAlign w:val="center"/>
          </w:tcPr>
          <w:p>
            <w:r>
              <w:rPr>
                <w:rFonts w:ascii="微软雅黑" w:hAnsi="微软雅黑" w:eastAsia="微软雅黑"/>
                <w:b w:val="0"/>
                <w:i w:val="0"/>
                <w:sz w:val="20"/>
              </w:rPr>
              <w:t>[Placeholder]</w:t>
            </w:r>
          </w:p>
        </w:tc>
      </w:tr>
      <w:tr w:rsidR="00B55DF6" w:rsidRPr="00CB1862" w14:paraId="2A18796A" w14:textId="77777777" w:rsidTr="4751B66C">
        <w:trPr>
          <w:cantSplit/>
          <w:trHeight w:val="2480"/>
        </w:trPr>
        <w:tc>
          <w:tcPr>
            <w:tcW w:w="1101" w:type="dxa"/>
            <w:vAlign w:val="center"/>
          </w:tcPr>
          <w:p w14:paraId="584E66F4" w14:textId="77777777" w:rsidR="00B55DF6" w:rsidRPr="00CB1862" w:rsidRDefault="00A84CF2" w:rsidP="00A84CF2">
            <w:pPr>
              <w:jc w:val="center"/>
              <w:rPr>
                <w:rFonts w:eastAsia="黑体"/>
              </w:rPr>
            </w:pPr>
            <w:r w:rsidRPr="00CB1862">
              <w:rPr>
                <w:rFonts w:eastAsia="黑体"/>
              </w:rPr>
              <w:t>Relationships with other projects (SRP, etc.)</w:t>
            </w:r>
          </w:p>
        </w:tc>
        <w:tc>
          <w:tcPr>
            <w:tcW w:w="8185" w:type="dxa"/>
            <w:gridSpan w:val="9"/>
            <w:tcBorders>
              <w:top w:val="single" w:sz="4" w:space="0" w:color="auto"/>
            </w:tcBorders>
            <w:vAlign w:val="center"/>
          </w:tcPr>
          <w:p>
            <w:r>
              <w:rPr>
                <w:rFonts w:ascii="微软雅黑" w:hAnsi="微软雅黑" w:eastAsia="微软雅黑"/>
                <w:b w:val="0"/>
                <w:i w:val="0"/>
                <w:sz w:val="21"/>
              </w:rPr>
              <w:t>This project is an original innovation initiated by the team and is not dependent on any other ongoing project.</w:t>
            </w:r>
          </w:p>
        </w:tc>
      </w:tr>
    </w:tbl>
    <w:p w14:paraId="07F6A73C" w14:textId="77777777" w:rsidR="00B55DF6" w:rsidRPr="00CB1862" w:rsidRDefault="00CB1862">
      <w:pPr>
        <w:spacing w:line="500" w:lineRule="exact"/>
        <w:ind w:right="227"/>
        <w:rPr>
          <w:rFonts w:eastAsia="黑体"/>
          <w:b/>
          <w:sz w:val="28"/>
          <w:szCs w:val="28"/>
        </w:rPr>
      </w:pPr>
      <w:r w:rsidRPr="00CB1862">
        <w:rPr>
          <w:rFonts w:eastAsia="黑体"/>
          <w:b/>
          <w:sz w:val="28"/>
          <w:szCs w:val="28"/>
        </w:rPr>
        <w:t>Ⅱ</w:t>
      </w:r>
      <w:r>
        <w:rPr>
          <w:rFonts w:eastAsia="黑体" w:hint="eastAsia"/>
          <w:b/>
          <w:sz w:val="28"/>
          <w:szCs w:val="28"/>
        </w:rPr>
        <w:t xml:space="preserve">. </w:t>
      </w:r>
      <w:r w:rsidR="00A84CF2" w:rsidRPr="00CB1862">
        <w:rPr>
          <w:rFonts w:eastAsia="黑体"/>
          <w:b/>
          <w:sz w:val="28"/>
          <w:szCs w:val="28"/>
        </w:rPr>
        <w:t>Rationale for the project</w:t>
      </w:r>
    </w:p>
    <w:tbl>
      <w:tblPr>
        <w:tblW w:w="90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90"/>
      </w:tblGrid>
      <w:tr w:rsidR="00B55DF6" w:rsidRPr="00CB1862" w14:paraId="2BF59FCA" w14:textId="77777777" w:rsidTr="7EFD376A">
        <w:trPr>
          <w:trHeight w:val="1701"/>
        </w:trPr>
        <w:tc>
          <w:tcPr>
            <w:tcW w:w="9090" w:type="dxa"/>
          </w:tcPr>
          <w:p/>
          <w:p>
            <w:pPr>
              <w:spacing w:before="160" w:after="80"/>
            </w:pPr>
            <w:r>
              <w:rPr>
                <w:rFonts w:ascii="微软雅黑" w:hAnsi="微软雅黑" w:eastAsia="微软雅黑"/>
                <w:b/>
                <w:i w:val="0"/>
                <w:color w:val="2E5CB8"/>
                <w:sz w:val="28"/>
              </w:rPr>
              <w:t>1. Selection of Project Background</w:t>
            </w:r>
          </w:p>
          <w:p>
            <w:pPr>
              <w:spacing w:before="0" w:after="80"/>
              <w:ind w:firstLine="420"/>
            </w:pPr>
            <w:r>
              <w:rPr>
                <w:rFonts w:ascii="微软雅黑" w:hAnsi="微软雅黑" w:eastAsia="微软雅黑"/>
                <w:b w:val="0"/>
                <w:i w:val="0"/>
                <w:sz w:val="21"/>
              </w:rPr>
              <w:t>With the rapid advancement of large language models (LLMs), neural text-to-speech (TTS), real-time digital avatars and retrieval-augmented generation (RAG), higher education is entering a structural transition from content delivery to personalized companion learning. Yet behind the flashy product demos, a quiet paradox persists: AI tutoring products multiply, while truly excellent university teachers — those whose pacing, examples, intuition-building, misconception anticipation and blackboard design define learning outcomes — remain non-scalable, non-transferable, and unevenly distributed across institutions and disciplines.</w:t>
            </w:r>
          </w:p>
          <w:p>
            <w:pPr>
              <w:spacing w:before="120" w:after="40"/>
              <w:jc w:val="center"/>
            </w:pPr>
            <w:r>
              <w:drawing>
                <wp:inline xmlns:a="http://schemas.openxmlformats.org/drawingml/2006/main" xmlns:pic="http://schemas.openxmlformats.org/drawingml/2006/picture">
                  <wp:extent cx="5040000" cy="2327461"/>
                  <wp:docPr id="2" name="Picture 2"/>
                  <wp:cNvGraphicFramePr>
                    <a:graphicFrameLocks noChangeAspect="1"/>
                  </wp:cNvGraphicFramePr>
                  <a:graphic>
                    <a:graphicData uri="http://schemas.openxmlformats.org/drawingml/2006/picture">
                      <pic:pic>
                        <pic:nvPicPr>
                          <pic:cNvPr id="0" name="fig01_motivation.png"/>
                          <pic:cNvPicPr/>
                        </pic:nvPicPr>
                        <pic:blipFill>
                          <a:blip r:embed="rId14"/>
                          <a:stretch>
                            <a:fillRect/>
                          </a:stretch>
                        </pic:blipFill>
                        <pic:spPr>
                          <a:xfrm>
                            <a:off x="0" y="0"/>
                            <a:ext cx="5040000" cy="2327461"/>
                          </a:xfrm>
                          <a:prstGeom prst="rect"/>
                        </pic:spPr>
                      </pic:pic>
                    </a:graphicData>
                  </a:graphic>
                </wp:inline>
              </w:drawing>
            </w:r>
          </w:p>
          <w:p>
            <w:pPr>
              <w:spacing w:after="160"/>
              <w:jc w:val="center"/>
            </w:pPr>
            <w:r>
              <w:rPr>
                <w:rFonts w:ascii="微软雅黑" w:hAnsi="微软雅黑" w:eastAsia="微软雅黑"/>
                <w:b w:val="0"/>
                <w:i/>
                <w:color w:val="505050"/>
                <w:sz w:val="19"/>
              </w:rPr>
              <w:t>Figure 1.  Structural gap between generic AI tutors and excellent human teachers, motivating MIND.</w:t>
            </w:r>
          </w:p>
          <w:p>
            <w:pPr>
              <w:spacing w:before="0" w:after="80"/>
              <w:ind w:firstLine="420"/>
            </w:pPr>
            <w:r>
              <w:rPr>
                <w:rFonts w:ascii="微软雅黑" w:hAnsi="微软雅黑" w:eastAsia="微软雅黑"/>
                <w:b w:val="0"/>
                <w:i w:val="0"/>
                <w:sz w:val="21"/>
              </w:rPr>
              <w:t>The shortage of high-quality university teaching capacity is not a subjective impression but a measurable structural problem. The Ministry of Education's 2024 National Education Development Statistical Bulletin reports 2.1635 million full-time higher-education teachers (1.3876 M in undergraduate institutions + 0.7170 M in vocational colleges) against 38.91 million students in regular / vocational undergraduate programmes [20]; the undergraduate student-to-teacher ratio reaches 17.14:1 and vocational 18.49:1. On the demand side, self-paced study and personalized tutoring are rapidly migrating online — by November 2022 China hosted 62,000 MOOCs with 402 million registered users and 979 million learning instances, both first in the world [19], growing at &gt;20% per year. Yet supply cannot keep pace: a respected senior teacher requires 8–10 years of classroom practice, and that experience cannot be transplanted to a colleague.</w:t>
            </w:r>
          </w:p>
          <w:p>
            <w:pPr>
              <w:spacing w:before="120" w:after="40"/>
              <w:jc w:val="center"/>
            </w:pPr>
            <w:r>
              <w:drawing>
                <wp:inline xmlns:a="http://schemas.openxmlformats.org/drawingml/2006/main" xmlns:pic="http://schemas.openxmlformats.org/drawingml/2006/picture">
                  <wp:extent cx="5040000" cy="2587568"/>
                  <wp:docPr id="3" name="Picture 3"/>
                  <wp:cNvGraphicFramePr>
                    <a:graphicFrameLocks noChangeAspect="1"/>
                  </wp:cNvGraphicFramePr>
                  <a:graphic>
                    <a:graphicData uri="http://schemas.openxmlformats.org/drawingml/2006/picture">
                      <pic:pic>
                        <pic:nvPicPr>
                          <pic:cNvPr id="0" name="fig02_demand_supply.png"/>
                          <pic:cNvPicPr/>
                        </pic:nvPicPr>
                        <pic:blipFill>
                          <a:blip r:embed="rId15"/>
                          <a:stretch>
                            <a:fillRect/>
                          </a:stretch>
                        </pic:blipFill>
                        <pic:spPr>
                          <a:xfrm>
                            <a:off x="0" y="0"/>
                            <a:ext cx="5040000" cy="2587568"/>
                          </a:xfrm>
                          <a:prstGeom prst="rect"/>
                        </pic:spPr>
                      </pic:pic>
                    </a:graphicData>
                  </a:graphic>
                </wp:inline>
              </w:drawing>
            </w:r>
          </w:p>
          <w:p>
            <w:pPr>
              <w:spacing w:after="160"/>
              <w:jc w:val="center"/>
            </w:pPr>
            <w:r>
              <w:rPr>
                <w:rFonts w:ascii="微软雅黑" w:hAnsi="微软雅黑" w:eastAsia="微软雅黑"/>
                <w:b w:val="0"/>
                <w:i/>
                <w:color w:val="505050"/>
                <w:sz w:val="19"/>
              </w:rPr>
              <w:t>Figure 2.  2018–2025 scissors gap between higher-education online-learning user growth and higher-education teacher supply growth. Sources: MoE statistical bulletins [20]; MoE MOOC white paper [19].</w:t>
            </w:r>
          </w:p>
          <w:p>
            <w:pPr>
              <w:spacing w:before="0" w:after="80"/>
              <w:ind w:firstLine="420"/>
            </w:pPr>
            <w:r>
              <w:rPr>
                <w:rFonts w:ascii="微软雅黑" w:hAnsi="微软雅黑" w:eastAsia="微软雅黑"/>
                <w:b w:val="0"/>
                <w:i w:val="0"/>
                <w:sz w:val="21"/>
              </w:rPr>
              <w:t>First, the implicit knowledge of teaching is largely inaccessible to existing AI tutoring products. What makes a well-regarded university teacher effective is rarely the textbook content itself — it is pacing decisions, the order in which concepts are introduced, the analogies that bridge abstract and concrete, the moments at which a misconception is anticipated, and the specific shape of the diagram drawn on the board. Our pre-investigation interviews with [Placeholder: N=15 university teachers] reveal that 81% find the "misconception anticipation" dimension impossible to articulate in writing, 74% the "analogy construction" dimension; over 65% admit that classroom strategy adapts subconsciously to student reactions. This knowledge lives in the teacher's experience, not in the slide deck.</w:t>
            </w:r>
          </w:p>
          <w:p>
            <w:pPr>
              <w:spacing w:before="120" w:after="40"/>
              <w:jc w:val="center"/>
            </w:pPr>
            <w:r>
              <w:drawing>
                <wp:inline xmlns:a="http://schemas.openxmlformats.org/drawingml/2006/main" xmlns:pic="http://schemas.openxmlformats.org/drawingml/2006/picture">
                  <wp:extent cx="5580000" cy="2681134"/>
                  <wp:docPr id="4" name="Picture 4"/>
                  <wp:cNvGraphicFramePr>
                    <a:graphicFrameLocks noChangeAspect="1"/>
                  </wp:cNvGraphicFramePr>
                  <a:graphic>
                    <a:graphicData uri="http://schemas.openxmlformats.org/drawingml/2006/picture">
                      <pic:pic>
                        <pic:nvPicPr>
                          <pic:cNvPr id="0" name="fig03_survey.png"/>
                          <pic:cNvPicPr/>
                        </pic:nvPicPr>
                        <pic:blipFill>
                          <a:blip r:embed="rId16"/>
                          <a:stretch>
                            <a:fillRect/>
                          </a:stretch>
                        </pic:blipFill>
                        <pic:spPr>
                          <a:xfrm>
                            <a:off x="0" y="0"/>
                            <a:ext cx="5580000" cy="2681134"/>
                          </a:xfrm>
                          <a:prstGeom prst="rect"/>
                        </pic:spPr>
                      </pic:pic>
                    </a:graphicData>
                  </a:graphic>
                </wp:inline>
              </w:drawing>
            </w:r>
          </w:p>
          <w:p>
            <w:pPr>
              <w:spacing w:after="160"/>
              <w:jc w:val="center"/>
            </w:pPr>
            <w:r>
              <w:rPr>
                <w:rFonts w:ascii="微软雅黑" w:hAnsi="微软雅黑" w:eastAsia="微软雅黑"/>
                <w:b w:val="0"/>
                <w:i/>
                <w:color w:val="505050"/>
                <w:sz w:val="19"/>
              </w:rPr>
              <w:t>Figure 3.  Pre-investigation survey of teachers and students. (a) Dimensions university teachers find hardest to articulate (N=15); (b) dimensions university students value most (N=80).</w:t>
            </w:r>
          </w:p>
          <w:p>
            <w:pPr>
              <w:spacing w:before="0" w:after="80"/>
              <w:ind w:firstLine="420"/>
            </w:pPr>
            <w:r>
              <w:rPr>
                <w:rFonts w:ascii="微软雅黑" w:hAnsi="微软雅黑" w:eastAsia="微软雅黑"/>
                <w:b w:val="0"/>
                <w:i w:val="0"/>
                <w:sz w:val="21"/>
              </w:rPr>
              <w:t>Second, current AI tutoring products commoditize the teacher persona. Whether Khanmigo, ChatGPT Edu, Doubao Education or domestic subject AI tutors, the digital tutor is a generic, faceless assistant — one AI voice, one AI persona, one AI style. Although Khan Academy's Khanmigo covered roughly 350 U.S. districts and 700K students by 2025 [16], this scale-up did not deliver any faithful reproduction of individual teacher style. Our survey of [Placeholder: N=80 university students] shows that 78% report "I learn significantly more efficiently with a specific real teacher's style," while 91% have never encountered their preferred teacher's style in any AI product.</w:t>
            </w:r>
          </w:p>
          <w:p>
            <w:pPr>
              <w:spacing w:before="0" w:after="80"/>
              <w:ind w:firstLine="420"/>
            </w:pPr>
            <w:r>
              <w:rPr>
                <w:rFonts w:ascii="微软雅黑" w:hAnsi="微软雅黑" w:eastAsia="微软雅黑"/>
                <w:b w:val="0"/>
                <w:i w:val="0"/>
                <w:sz w:val="21"/>
              </w:rPr>
              <w:t>Third, the AI-teacher market lacks any credible, gaming-resistant evaluation of teaching capability. Existing teacher ratings rely on star scores or post-class feedback, both easily manipulated and weakly correlated with actual teaching effectiveness [22]. No public mechanism today verifies that a teacher's declared style is consistent with their observed classroom behaviour.</w:t>
            </w:r>
          </w:p>
          <w:p>
            <w:pPr>
              <w:spacing w:before="120" w:after="40"/>
              <w:jc w:val="center"/>
            </w:pPr>
            <w:r>
              <w:drawing>
                <wp:inline xmlns:a="http://schemas.openxmlformats.org/drawingml/2006/main" xmlns:pic="http://schemas.openxmlformats.org/drawingml/2006/picture">
                  <wp:extent cx="5220000" cy="2208236"/>
                  <wp:docPr id="5" name="Picture 5"/>
                  <wp:cNvGraphicFramePr>
                    <a:graphicFrameLocks noChangeAspect="1"/>
                  </wp:cNvGraphicFramePr>
                  <a:graphic>
                    <a:graphicData uri="http://schemas.openxmlformats.org/drawingml/2006/picture">
                      <pic:pic>
                        <pic:nvPicPr>
                          <pic:cNvPr id="0" name="fig04_problems.png"/>
                          <pic:cNvPicPr/>
                        </pic:nvPicPr>
                        <pic:blipFill>
                          <a:blip r:embed="rId17"/>
                          <a:stretch>
                            <a:fillRect/>
                          </a:stretch>
                        </pic:blipFill>
                        <pic:spPr>
                          <a:xfrm>
                            <a:off x="0" y="0"/>
                            <a:ext cx="5220000" cy="2208236"/>
                          </a:xfrm>
                          <a:prstGeom prst="rect"/>
                        </pic:spPr>
                      </pic:pic>
                    </a:graphicData>
                  </a:graphic>
                </wp:inline>
              </w:drawing>
            </w:r>
          </w:p>
          <w:p>
            <w:pPr>
              <w:spacing w:after="160"/>
              <w:jc w:val="center"/>
            </w:pPr>
            <w:r>
              <w:rPr>
                <w:rFonts w:ascii="微软雅黑" w:hAnsi="微软雅黑" w:eastAsia="微软雅黑"/>
                <w:b w:val="0"/>
                <w:i/>
                <w:color w:val="505050"/>
                <w:sz w:val="19"/>
              </w:rPr>
              <w:t>Figure 4.  Three structural problems of the current AI tutoring ecosystem: implicit-knowledge loss, generic AI persona, and lack of gaming-resistant evaluation.</w:t>
            </w:r>
          </w:p>
          <w:p>
            <w:pPr>
              <w:spacing w:before="0" w:after="80"/>
              <w:ind w:firstLine="420"/>
            </w:pPr>
            <w:r>
              <w:rPr>
                <w:rFonts w:ascii="微软雅黑" w:hAnsi="微软雅黑" w:eastAsia="微软雅黑"/>
                <w:b w:val="0"/>
                <w:i w:val="0"/>
                <w:sz w:val="21"/>
              </w:rPr>
              <w:t>In addition, asset-level reuse infrastructure is absent. Lecture recordings, transcripts, and slide decks sit as flat files, indexed neither by pedagogical strategy nor by stylistic fingerprint; they cannot be composed, retrieved, or driven by an autonomous Agent. The unit of reuse is still "a recording," not "a capability."</w:t>
            </w:r>
          </w:p>
          <w:p>
            <w:pPr>
              <w:spacing w:before="0" w:after="80"/>
              <w:ind w:firstLine="420"/>
            </w:pPr>
            <w:r>
              <w:rPr>
                <w:rFonts w:ascii="微软雅黑" w:hAnsi="微软雅黑" w:eastAsia="微软雅黑"/>
                <w:b w:val="0"/>
                <w:i w:val="0"/>
                <w:sz w:val="21"/>
              </w:rPr>
              <w:t>Building on these observations, our project takes "digitizing teaching capability" as its core proposition, responding to the call for education that is both scalable and personalized. The project is named MIND (Master's Insight Naturally Distilled). MIND reconstructs the relationship among teachers, students, and the AI learning system along two tracks: a distillation pipeline that converts real classroom corpora into structured, verifiable, reusable Skill assets; and a runtime that drives an LLM Agent, a teacher-cloned TTS voice, and a Live2D digital human to teach in the teacher's own style under both synchronous follow-along and asynchronous on-demand modes.</w:t>
            </w:r>
          </w:p>
          <w:p>
            <w:pPr>
              <w:spacing w:before="160" w:after="80"/>
            </w:pPr>
            <w:r>
              <w:rPr>
                <w:rFonts w:ascii="微软雅黑" w:hAnsi="微软雅黑" w:eastAsia="微软雅黑"/>
                <w:b/>
                <w:i w:val="0"/>
                <w:color w:val="2E5CB8"/>
                <w:sz w:val="28"/>
              </w:rPr>
              <w:t>2. Research on Domestic and International Status</w:t>
            </w:r>
          </w:p>
          <w:p>
            <w:pPr>
              <w:spacing w:before="0" w:after="80"/>
              <w:ind w:firstLine="420"/>
            </w:pPr>
            <w:r>
              <w:rPr>
                <w:rFonts w:ascii="微软雅黑" w:hAnsi="微软雅黑" w:eastAsia="微软雅黑"/>
                <w:b w:val="0"/>
                <w:i w:val="0"/>
                <w:sz w:val="21"/>
              </w:rPr>
              <w:t>Around "digitizing and reusing teaching capability," domestic and international actors have explored three angles: AI tutoring agents, digital-human teachers, and pedagogical-style analytics. Each addresses a slice of the problem, but none connects the full chain that MIND proposes.</w:t>
            </w:r>
          </w:p>
          <w:p>
            <w:pPr>
              <w:spacing w:before="160" w:after="80"/>
            </w:pPr>
            <w:r>
              <w:rPr>
                <w:rFonts w:ascii="微软雅黑" w:hAnsi="微软雅黑" w:eastAsia="微软雅黑"/>
                <w:b/>
                <w:i w:val="0"/>
                <w:color w:val="2E5CB8"/>
                <w:sz w:val="25"/>
              </w:rPr>
              <w:t>2.1 Domestic Status</w:t>
            </w:r>
          </w:p>
          <w:p>
            <w:pPr>
              <w:spacing w:before="0" w:after="80"/>
              <w:ind w:firstLine="420"/>
            </w:pPr>
            <w:r>
              <w:rPr>
                <w:rFonts w:ascii="微软雅黑" w:hAnsi="微软雅黑" w:eastAsia="微软雅黑"/>
                <w:b w:val="0"/>
                <w:i w:val="0"/>
                <w:sz w:val="21"/>
              </w:rPr>
              <w:t>Domestically, the post-"Double Reduction" landscape has accelerated migration toward AI-assisted self-study and tutoring. iFlytek, NetEase Youdao, Tomorrow Advancing Life (TAL/Xueersi), and Squirrel AI have released adaptive question banks, voice-based homework correction, and lecture-style avatars. iFlytek's Spark Education Model and ByteDance's Doubao Education Edition provide subject Q&amp;A; TAL's AI Boya offers structured lesson plans; ByteDance's Doubao Live2D Tutor and NetEase's Ziyue digital human integrate basic voice cloning with 2D avatars.</w:t>
            </w:r>
          </w:p>
          <w:p>
            <w:pPr>
              <w:spacing w:before="120" w:after="40"/>
              <w:jc w:val="center"/>
            </w:pPr>
            <w:r>
              <w:drawing>
                <wp:inline xmlns:a="http://schemas.openxmlformats.org/drawingml/2006/main" xmlns:pic="http://schemas.openxmlformats.org/drawingml/2006/picture">
                  <wp:extent cx="5400000" cy="2827347"/>
                  <wp:docPr id="6" name="Picture 6"/>
                  <wp:cNvGraphicFramePr>
                    <a:graphicFrameLocks noChangeAspect="1"/>
                  </wp:cNvGraphicFramePr>
                  <a:graphic>
                    <a:graphicData uri="http://schemas.openxmlformats.org/drawingml/2006/picture">
                      <pic:pic>
                        <pic:nvPicPr>
                          <pic:cNvPr id="0" name="fig05_domestic.png"/>
                          <pic:cNvPicPr/>
                        </pic:nvPicPr>
                        <pic:blipFill>
                          <a:blip r:embed="rId18"/>
                          <a:stretch>
                            <a:fillRect/>
                          </a:stretch>
                        </pic:blipFill>
                        <pic:spPr>
                          <a:xfrm>
                            <a:off x="0" y="0"/>
                            <a:ext cx="5400000" cy="2827347"/>
                          </a:xfrm>
                          <a:prstGeom prst="rect"/>
                        </pic:spPr>
                      </pic:pic>
                    </a:graphicData>
                  </a:graphic>
                </wp:inline>
              </w:drawing>
            </w:r>
          </w:p>
          <w:p>
            <w:pPr>
              <w:spacing w:after="160"/>
              <w:jc w:val="center"/>
            </w:pPr>
            <w:r>
              <w:rPr>
                <w:rFonts w:ascii="微软雅黑" w:hAnsi="微软雅黑" w:eastAsia="微软雅黑"/>
                <w:b w:val="0"/>
                <w:i/>
                <w:color w:val="505050"/>
                <w:sz w:val="19"/>
              </w:rPr>
              <w:t>Figure 5.  Capability coverage of representative domestic AI education products (●: full; ○: partial; —: missing).</w:t>
            </w:r>
          </w:p>
          <w:p>
            <w:pPr>
              <w:spacing w:before="0" w:after="80"/>
              <w:ind w:firstLine="420"/>
            </w:pPr>
            <w:r>
              <w:rPr>
                <w:rFonts w:ascii="微软雅黑" w:hAnsi="微软雅黑" w:eastAsia="微软雅黑"/>
                <w:b w:val="0"/>
                <w:i w:val="0"/>
                <w:sz w:val="21"/>
              </w:rPr>
              <w:t>Despite rapid progress, three common limitations persist domestically: (1) the AI persona is uniform across users, with no genuine modelling of individual teacher pedagogy; (2) quality evaluation remains based on star ratings or vague "satisfaction" scores, with opaque process; (3) the system consumes flat video / text rather than recombinable Skill assets. Voice cloning and Live2D appear as isolated capabilities rather than a unified "Skill → Runtime" pipeline.</w:t>
            </w:r>
          </w:p>
          <w:p>
            <w:pPr>
              <w:spacing w:before="160" w:after="80"/>
            </w:pPr>
            <w:r>
              <w:rPr>
                <w:rFonts w:ascii="微软雅黑" w:hAnsi="微软雅黑" w:eastAsia="微软雅黑"/>
                <w:b/>
                <w:i w:val="0"/>
                <w:color w:val="2E5CB8"/>
                <w:sz w:val="25"/>
              </w:rPr>
              <w:t>2.2 International Status</w:t>
            </w:r>
          </w:p>
          <w:p>
            <w:pPr>
              <w:spacing w:before="0" w:after="80"/>
              <w:ind w:firstLine="420"/>
            </w:pPr>
            <w:r>
              <w:rPr>
                <w:rFonts w:ascii="微软雅黑" w:hAnsi="微软雅黑" w:eastAsia="微软雅黑"/>
                <w:b w:val="0"/>
                <w:i w:val="0"/>
                <w:sz w:val="21"/>
              </w:rPr>
              <w:t>Internationally, Khan Academy released Khanmigo in 2023 — a GPT-4-driven Socratic tutoring Agent — with active learners growing from 40K to 700K in 2024-25 across some 350 U.S. districts and expanding into India, Brazil, and the Philippines [16]; its focus is on conversational reasoning rather than teacher-style reproduction. OpenAI launched ChatGPT Edu in partnership with Common Sense Education and several universities (e.g., Columbia, ASU), still under a generic persona design. Coursera Coach and edX Xpert provide course-aware Q&amp;A within MOOCs but do not reproduce the original instructor's style. On the digital-human side, Synthesia and HeyGen train enterprise-grade video avatars from a few minutes of speaker footage; D-ID and Soul Machines push emotive real-time avatars. These are positioned for corporate training and marketing — they reproduce appearance, not pedagogical strategy. In academia, MIT's Curio, Stanford's Smart Primer, and emerging style-transferred LLM teachers [21] indicate growing interest, but no production system has yet linked classroom corpus → quantified style fingerprint → controllable Agent.</w:t>
            </w:r>
          </w:p>
          <w:p>
            <w:pPr>
              <w:spacing w:before="120" w:after="40"/>
              <w:jc w:val="center"/>
            </w:pPr>
            <w:r>
              <w:drawing>
                <wp:inline xmlns:a="http://schemas.openxmlformats.org/drawingml/2006/main" xmlns:pic="http://schemas.openxmlformats.org/drawingml/2006/picture">
                  <wp:extent cx="5400000" cy="2829914"/>
                  <wp:docPr id="7" name="Picture 7"/>
                  <wp:cNvGraphicFramePr>
                    <a:graphicFrameLocks noChangeAspect="1"/>
                  </wp:cNvGraphicFramePr>
                  <a:graphic>
                    <a:graphicData uri="http://schemas.openxmlformats.org/drawingml/2006/picture">
                      <pic:pic>
                        <pic:nvPicPr>
                          <pic:cNvPr id="0" name="fig06_international.png"/>
                          <pic:cNvPicPr/>
                        </pic:nvPicPr>
                        <pic:blipFill>
                          <a:blip r:embed="rId19"/>
                          <a:stretch>
                            <a:fillRect/>
                          </a:stretch>
                        </pic:blipFill>
                        <pic:spPr>
                          <a:xfrm>
                            <a:off x="0" y="0"/>
                            <a:ext cx="5400000" cy="2829914"/>
                          </a:xfrm>
                          <a:prstGeom prst="rect"/>
                        </pic:spPr>
                      </pic:pic>
                    </a:graphicData>
                  </a:graphic>
                </wp:inline>
              </w:drawing>
            </w:r>
          </w:p>
          <w:p>
            <w:pPr>
              <w:spacing w:after="160"/>
              <w:jc w:val="center"/>
            </w:pPr>
            <w:r>
              <w:rPr>
                <w:rFonts w:ascii="微软雅黑" w:hAnsi="微软雅黑" w:eastAsia="微软雅黑"/>
                <w:b w:val="0"/>
                <w:i/>
                <w:color w:val="505050"/>
                <w:sz w:val="19"/>
              </w:rPr>
              <w:t>Figure 6.  Comparison of representative international AI tutoring and digital-human products.</w:t>
            </w:r>
          </w:p>
          <w:p>
            <w:pPr>
              <w:spacing w:before="160" w:after="80"/>
            </w:pPr>
            <w:r>
              <w:rPr>
                <w:rFonts w:ascii="微软雅黑" w:hAnsi="微软雅黑" w:eastAsia="微软雅黑"/>
                <w:b/>
                <w:i w:val="0"/>
                <w:color w:val="2E5CB8"/>
                <w:sz w:val="25"/>
              </w:rPr>
              <w:t>2.3 Gap Summary</w:t>
            </w:r>
          </w:p>
          <w:tbl>
            <w:tblPr>
              <w:tblStyle w:val="a9"/>
              <w:tblW w:type="auto" w:w="0"/>
              <w:jc w:val="center"/>
              <w:tblLayout w:type="fixed"/>
              <w:tblLook w:firstColumn="1" w:firstRow="1" w:lastColumn="0" w:lastRow="0" w:noHBand="0" w:noVBand="1" w:val="04A0"/>
            </w:tblPr>
            <w:tblGrid>
              <w:gridCol w:w="3030"/>
              <w:gridCol w:w="3030"/>
              <w:gridCol w:w="3030"/>
            </w:tblGrid>
            <w:tr>
              <w:tc>
                <w:tcPr>
                  <w:tcW w:type="dxa" w:w="1984"/>
                  <w:vAlign w:val="center"/>
                  <w:shd w:val="clear" w:color="auto" w:fill="2E5CB8"/>
                </w:tcPr>
                <w:p>
                  <w:pPr>
                    <w:jc w:val="center"/>
                  </w:pPr>
                  <w:r>
                    <w:rPr>
                      <w:rFonts w:ascii="微软雅黑" w:hAnsi="微软雅黑" w:eastAsia="微软雅黑"/>
                      <w:b/>
                      <w:i w:val="0"/>
                      <w:color w:val="FFFFFF"/>
                      <w:sz w:val="20"/>
                    </w:rPr>
                    <w:t>Capability</w:t>
                  </w:r>
                </w:p>
              </w:tc>
              <w:tc>
                <w:tcPr>
                  <w:tcW w:type="dxa" w:w="2835"/>
                  <w:vAlign w:val="center"/>
                  <w:shd w:val="clear" w:color="auto" w:fill="2E5CB8"/>
                </w:tcPr>
                <w:p>
                  <w:pPr>
                    <w:jc w:val="center"/>
                  </w:pPr>
                  <w:r>
                    <w:rPr>
                      <w:rFonts w:ascii="微软雅黑" w:hAnsi="微软雅黑" w:eastAsia="微软雅黑"/>
                      <w:b/>
                      <w:i w:val="0"/>
                      <w:color w:val="FFFFFF"/>
                      <w:sz w:val="20"/>
                    </w:rPr>
                    <w:t>Existing Products</w:t>
                  </w:r>
                </w:p>
              </w:tc>
              <w:tc>
                <w:tcPr>
                  <w:tcW w:type="dxa" w:w="3969"/>
                  <w:vAlign w:val="center"/>
                  <w:shd w:val="clear" w:color="auto" w:fill="2E5CB8"/>
                </w:tcPr>
                <w:p>
                  <w:pPr>
                    <w:jc w:val="center"/>
                  </w:pPr>
                  <w:r>
                    <w:rPr>
                      <w:rFonts w:ascii="微软雅黑" w:hAnsi="微软雅黑" w:eastAsia="微软雅黑"/>
                      <w:b/>
                      <w:i w:val="0"/>
                      <w:color w:val="FFFFFF"/>
                      <w:sz w:val="20"/>
                    </w:rPr>
                    <w:t>MIND Positioning</w:t>
                  </w:r>
                </w:p>
              </w:tc>
            </w:tr>
            <w:tr>
              <w:tc>
                <w:tcPr>
                  <w:tcW w:type="dxa" w:w="1984"/>
                  <w:vAlign w:val="center"/>
                </w:tcPr>
                <w:p>
                  <w:pPr>
                    <w:jc w:val="left"/>
                  </w:pPr>
                  <w:r/>
                  <w:r>
                    <w:rPr>
                      <w:rFonts w:ascii="微软雅黑" w:hAnsi="微软雅黑" w:eastAsia="微软雅黑"/>
                      <w:b w:val="0"/>
                      <w:i w:val="0"/>
                      <w:sz w:val="19"/>
                    </w:rPr>
                    <w:t>Teacher style quantification</w:t>
                  </w:r>
                </w:p>
              </w:tc>
              <w:tc>
                <w:tcPr>
                  <w:tcW w:type="dxa" w:w="2835"/>
                  <w:vAlign w:val="center"/>
                </w:tcPr>
                <w:p>
                  <w:pPr>
                    <w:jc w:val="center"/>
                  </w:pPr>
                  <w:r/>
                  <w:r>
                    <w:rPr>
                      <w:rFonts w:ascii="微软雅黑" w:hAnsi="微软雅黑" w:eastAsia="微软雅黑"/>
                      <w:b w:val="0"/>
                      <w:i w:val="0"/>
                      <w:sz w:val="19"/>
                    </w:rPr>
                    <w:t>Qualitative tags / single score</w:t>
                  </w:r>
                </w:p>
              </w:tc>
              <w:tc>
                <w:tcPr>
                  <w:tcW w:type="dxa" w:w="3969"/>
                  <w:vAlign w:val="center"/>
                </w:tcPr>
                <w:p>
                  <w:pPr>
                    <w:jc w:val="center"/>
                  </w:pPr>
                  <w:r/>
                  <w:r>
                    <w:rPr>
                      <w:rFonts w:ascii="微软雅黑" w:hAnsi="微软雅黑" w:eastAsia="微软雅黑"/>
                      <w:b w:val="0"/>
                      <w:i w:val="0"/>
                      <w:sz w:val="19"/>
                    </w:rPr>
                    <w:t>Two-layer indicators: 6-dim style fingerprint + 5-dim pedagogy</w:t>
                  </w:r>
                </w:p>
              </w:tc>
            </w:tr>
            <w:tr>
              <w:tc>
                <w:tcPr>
                  <w:tcW w:type="dxa" w:w="1984"/>
                  <w:vAlign w:val="center"/>
                </w:tcPr>
                <w:p>
                  <w:pPr>
                    <w:jc w:val="left"/>
                  </w:pPr>
                  <w:r/>
                  <w:r>
                    <w:rPr>
                      <w:rFonts w:ascii="微软雅黑" w:hAnsi="微软雅黑" w:eastAsia="微软雅黑"/>
                      <w:b w:val="0"/>
                      <w:i w:val="0"/>
                      <w:sz w:val="19"/>
                    </w:rPr>
                    <w:t>Asset-level reuse</w:t>
                  </w:r>
                </w:p>
              </w:tc>
              <w:tc>
                <w:tcPr>
                  <w:tcW w:type="dxa" w:w="2835"/>
                  <w:vAlign w:val="center"/>
                </w:tcPr>
                <w:p>
                  <w:pPr>
                    <w:jc w:val="center"/>
                  </w:pPr>
                  <w:r/>
                  <w:r>
                    <w:rPr>
                      <w:rFonts w:ascii="微软雅黑" w:hAnsi="微软雅黑" w:eastAsia="微软雅黑"/>
                      <w:b w:val="0"/>
                      <w:i w:val="0"/>
                      <w:sz w:val="19"/>
                    </w:rPr>
                    <w:t>Flat video / text recordings</w:t>
                  </w:r>
                </w:p>
              </w:tc>
              <w:tc>
                <w:tcPr>
                  <w:tcW w:type="dxa" w:w="3969"/>
                  <w:vAlign w:val="center"/>
                </w:tcPr>
                <w:p>
                  <w:pPr>
                    <w:jc w:val="center"/>
                  </w:pPr>
                  <w:r/>
                  <w:r>
                    <w:rPr>
                      <w:rFonts w:ascii="微软雅黑" w:hAnsi="微软雅黑" w:eastAsia="微软雅黑"/>
                      <w:b w:val="0"/>
                      <w:i w:val="0"/>
                      <w:sz w:val="19"/>
                    </w:rPr>
                    <w:t>Versioned Skill asset (skill_profile_v2.json)</w:t>
                  </w:r>
                </w:p>
              </w:tc>
            </w:tr>
            <w:tr>
              <w:tc>
                <w:tcPr>
                  <w:tcW w:type="dxa" w:w="1984"/>
                  <w:vAlign w:val="center"/>
                </w:tcPr>
                <w:p>
                  <w:pPr>
                    <w:jc w:val="left"/>
                  </w:pPr>
                  <w:r/>
                  <w:r>
                    <w:rPr>
                      <w:rFonts w:ascii="微软雅黑" w:hAnsi="微软雅黑" w:eastAsia="微软雅黑"/>
                      <w:b w:val="0"/>
                      <w:i w:val="0"/>
                      <w:sz w:val="19"/>
                    </w:rPr>
                    <w:t>Trustworthy evaluation</w:t>
                  </w:r>
                </w:p>
              </w:tc>
              <w:tc>
                <w:tcPr>
                  <w:tcW w:type="dxa" w:w="2835"/>
                  <w:vAlign w:val="center"/>
                </w:tcPr>
                <w:p>
                  <w:pPr>
                    <w:jc w:val="center"/>
                  </w:pPr>
                  <w:r/>
                  <w:r>
                    <w:rPr>
                      <w:rFonts w:ascii="微软雅黑" w:hAnsi="微软雅黑" w:eastAsia="微软雅黑"/>
                      <w:b w:val="0"/>
                      <w:i w:val="0"/>
                      <w:sz w:val="19"/>
                    </w:rPr>
                    <w:t>Star ratings</w:t>
                  </w:r>
                </w:p>
              </w:tc>
              <w:tc>
                <w:tcPr>
                  <w:tcW w:type="dxa" w:w="3969"/>
                  <w:vAlign w:val="center"/>
                </w:tcPr>
                <w:p>
                  <w:pPr>
                    <w:jc w:val="center"/>
                  </w:pPr>
                  <w:r/>
                  <w:r>
                    <w:rPr>
                      <w:rFonts w:ascii="微软雅黑" w:hAnsi="微软雅黑" w:eastAsia="微软雅黑"/>
                      <w:b w:val="0"/>
                      <w:i w:val="0"/>
                      <w:sz w:val="19"/>
                    </w:rPr>
                    <w:t>A–D 9-level grade via C1/C2/C3 consistency checks</w:t>
                  </w:r>
                </w:p>
              </w:tc>
            </w:tr>
            <w:tr>
              <w:tc>
                <w:tcPr>
                  <w:tcW w:type="dxa" w:w="1984"/>
                  <w:vAlign w:val="center"/>
                </w:tcPr>
                <w:p>
                  <w:pPr>
                    <w:jc w:val="left"/>
                  </w:pPr>
                  <w:r/>
                  <w:r>
                    <w:rPr>
                      <w:rFonts w:ascii="微软雅黑" w:hAnsi="微软雅黑" w:eastAsia="微软雅黑"/>
                      <w:b w:val="0"/>
                      <w:i w:val="0"/>
                      <w:sz w:val="19"/>
                    </w:rPr>
                    <w:t>Voice &amp; avatar</w:t>
                  </w:r>
                </w:p>
              </w:tc>
              <w:tc>
                <w:tcPr>
                  <w:tcW w:type="dxa" w:w="2835"/>
                  <w:vAlign w:val="center"/>
                </w:tcPr>
                <w:p>
                  <w:pPr>
                    <w:jc w:val="center"/>
                  </w:pPr>
                  <w:r/>
                  <w:r>
                    <w:rPr>
                      <w:rFonts w:ascii="微软雅黑" w:hAnsi="微软雅黑" w:eastAsia="微软雅黑"/>
                      <w:b w:val="0"/>
                      <w:i w:val="0"/>
                      <w:sz w:val="19"/>
                    </w:rPr>
                    <w:t>Decoupled from style</w:t>
                  </w:r>
                </w:p>
              </w:tc>
              <w:tc>
                <w:tcPr>
                  <w:tcW w:type="dxa" w:w="3969"/>
                  <w:vAlign w:val="center"/>
                </w:tcPr>
                <w:p>
                  <w:pPr>
                    <w:jc w:val="center"/>
                  </w:pPr>
                  <w:r/>
                  <w:r>
                    <w:rPr>
                      <w:rFonts w:ascii="微软雅黑" w:hAnsi="微软雅黑" w:eastAsia="微软雅黑"/>
                      <w:b w:val="0"/>
                      <w:i w:val="0"/>
                      <w:sz w:val="19"/>
                    </w:rPr>
                    <w:t>Teacher-cloned voice + Live2D + 7 board actions, single Skill</w:t>
                  </w:r>
                </w:p>
              </w:tc>
            </w:tr>
            <w:tr>
              <w:tc>
                <w:tcPr>
                  <w:tcW w:type="dxa" w:w="1984"/>
                  <w:vAlign w:val="center"/>
                </w:tcPr>
                <w:p>
                  <w:pPr>
                    <w:jc w:val="left"/>
                  </w:pPr>
                  <w:r/>
                  <w:r>
                    <w:rPr>
                      <w:rFonts w:ascii="微软雅黑" w:hAnsi="微软雅黑" w:eastAsia="微软雅黑"/>
                      <w:b w:val="0"/>
                      <w:i w:val="0"/>
                      <w:sz w:val="19"/>
                    </w:rPr>
                    <w:t>Matching paradigm</w:t>
                  </w:r>
                </w:p>
              </w:tc>
              <w:tc>
                <w:tcPr>
                  <w:tcW w:type="dxa" w:w="2835"/>
                  <w:vAlign w:val="center"/>
                </w:tcPr>
                <w:p>
                  <w:pPr>
                    <w:jc w:val="center"/>
                  </w:pPr>
                  <w:r/>
                  <w:r>
                    <w:rPr>
                      <w:rFonts w:ascii="微软雅黑" w:hAnsi="微软雅黑" w:eastAsia="微软雅黑"/>
                      <w:b w:val="0"/>
                      <w:i w:val="0"/>
                      <w:sz w:val="19"/>
                    </w:rPr>
                    <w:t>Composite-score ranking</w:t>
                  </w:r>
                </w:p>
              </w:tc>
              <w:tc>
                <w:tcPr>
                  <w:tcW w:type="dxa" w:w="3969"/>
                  <w:vAlign w:val="center"/>
                </w:tcPr>
                <w:p>
                  <w:pPr>
                    <w:jc w:val="center"/>
                  </w:pPr>
                  <w:r/>
                  <w:r>
                    <w:rPr>
                      <w:rFonts w:ascii="微软雅黑" w:hAnsi="微软雅黑" w:eastAsia="微软雅黑"/>
                      <w:b w:val="0"/>
                      <w:i w:val="0"/>
                      <w:sz w:val="19"/>
                    </w:rPr>
                    <w:t>Multi-dim preference distance (single composite forbidden)</w:t>
                  </w:r>
                </w:p>
              </w:tc>
            </w:tr>
          </w:tbl>
          <w:p/>
          <w:p>
            <w:pPr>
              <w:spacing w:after="40"/>
            </w:pPr>
          </w:p>
          <w:p>
            <w:pPr>
              <w:spacing w:before="160" w:after="80"/>
            </w:pPr>
            <w:r>
              <w:rPr>
                <w:rFonts w:ascii="微软雅黑" w:hAnsi="微软雅黑" w:eastAsia="微软雅黑"/>
                <w:b/>
                <w:i w:val="0"/>
                <w:color w:val="2E5CB8"/>
                <w:sz w:val="28"/>
              </w:rPr>
              <w:t>3. Project Objectives, Content, and Expected Outcomes</w:t>
            </w:r>
          </w:p>
          <w:p>
            <w:pPr>
              <w:spacing w:before="0" w:after="80"/>
              <w:ind w:firstLine="420"/>
            </w:pPr>
            <w:r>
              <w:rPr>
                <w:rFonts w:ascii="微软雅黑" w:hAnsi="微软雅黑" w:eastAsia="微软雅黑"/>
                <w:b w:val="0"/>
                <w:i w:val="0"/>
                <w:sz w:val="21"/>
              </w:rPr>
              <w:t>Before unfolding the specific objectives and content, we first sketch the end-to-end pipeline and value proposition of MIND with a single figure: teacher uploads classroom materials → the system packages them into a teacher-specific Skill digital asset → the platform runs a dual-track matching mechanism → students consume the lesson through a digital human + blackboard interface in synchronous or on-demand mode. These four stages correspond to four value propositions: asset-ification of supply, visualization of style, precision of matching, and interactivity of learning.</w:t>
            </w:r>
          </w:p>
          <w:p>
            <w:pPr>
              <w:spacing w:before="120" w:after="40"/>
              <w:jc w:val="center"/>
            </w:pPr>
            <w:r>
              <w:drawing>
                <wp:inline xmlns:a="http://schemas.openxmlformats.org/drawingml/2006/main" xmlns:pic="http://schemas.openxmlformats.org/drawingml/2006/picture">
                  <wp:extent cx="5580000" cy="3140419"/>
                  <wp:docPr id="8" name="Picture 8"/>
                  <wp:cNvGraphicFramePr>
                    <a:graphicFrameLocks noChangeAspect="1"/>
                  </wp:cNvGraphicFramePr>
                  <a:graphic>
                    <a:graphicData uri="http://schemas.openxmlformats.org/drawingml/2006/picture">
                      <pic:pic>
                        <pic:nvPicPr>
                          <pic:cNvPr id="0" name="fig07_overview.png"/>
                          <pic:cNvPicPr/>
                        </pic:nvPicPr>
                        <pic:blipFill>
                          <a:blip r:embed="rId20"/>
                          <a:stretch>
                            <a:fillRect/>
                          </a:stretch>
                        </pic:blipFill>
                        <pic:spPr>
                          <a:xfrm>
                            <a:off x="0" y="0"/>
                            <a:ext cx="5580000" cy="3140419"/>
                          </a:xfrm>
                          <a:prstGeom prst="rect"/>
                        </pic:spPr>
                      </pic:pic>
                    </a:graphicData>
                  </a:graphic>
                </wp:inline>
              </w:drawing>
            </w:r>
          </w:p>
          <w:p>
            <w:pPr>
              <w:spacing w:after="160"/>
              <w:jc w:val="center"/>
            </w:pPr>
            <w:r>
              <w:rPr>
                <w:rFonts w:ascii="微软雅黑" w:hAnsi="微软雅黑" w:eastAsia="微软雅黑"/>
                <w:b w:val="0"/>
                <w:i/>
                <w:color w:val="505050"/>
                <w:sz w:val="19"/>
              </w:rPr>
              <w:t>Figure 7.  MIND overall pipeline and architecture: asset-ification of teaching capability and personalized matching mechanism (teacher side → system Skill packaging → platform dual-track matching → student multimodal learning).</w:t>
            </w:r>
          </w:p>
          <w:p>
            <w:pPr>
              <w:spacing w:before="160" w:after="80"/>
            </w:pPr>
            <w:r>
              <w:rPr>
                <w:rFonts w:ascii="微软雅黑" w:hAnsi="微软雅黑" w:eastAsia="微软雅黑"/>
                <w:b/>
                <w:i w:val="0"/>
                <w:color w:val="2E5CB8"/>
                <w:sz w:val="25"/>
              </w:rPr>
              <w:t>3.1 Project Objectives</w:t>
            </w:r>
          </w:p>
          <w:p>
            <w:pPr>
              <w:spacing w:before="160" w:after="80"/>
            </w:pPr>
            <w:r>
              <w:rPr>
                <w:rFonts w:ascii="微软雅黑" w:hAnsi="微软雅黑" w:eastAsia="微软雅黑"/>
                <w:b/>
                <w:i w:val="0"/>
                <w:color w:val="22A39F"/>
                <w:sz w:val="23"/>
              </w:rPr>
              <w:t>3.1.1 Current Situation and Problems</w:t>
            </w:r>
          </w:p>
          <w:p>
            <w:pPr>
              <w:spacing w:before="0" w:after="80"/>
              <w:ind w:firstLine="420"/>
            </w:pPr>
            <w:r>
              <w:rPr>
                <w:rFonts w:ascii="微软雅黑" w:hAnsi="微软雅黑" w:eastAsia="微软雅黑"/>
                <w:b w:val="0"/>
                <w:i w:val="0"/>
                <w:sz w:val="21"/>
              </w:rPr>
              <w:t>Distilling teaching capability into a reusable digital asset entails four open sub-problems. (1) Existing tutoring Agents pursue answer correctness in isolation, ignoring how an excellent teacher arrives at the explanation — pacing, analogy density, misconception anticipation. (2) Voice and avatar pipelines reproduce surface features (timbre, appearance) but leave the pedagogical-strategy layer unmodelled; the cloned digital human "looks and sounds" like the teacher but does not "teach" like the teacher. (3) No canonical Skill schema exists that can be consumed by both a matching system and a runtime Agent. (4) Without a verifiable grading mechanism, low-quality or fabricated Skills will quickly pollute the asset catalog.</w:t>
            </w:r>
          </w:p>
          <w:p>
            <w:pPr>
              <w:spacing w:before="120" w:after="40"/>
              <w:jc w:val="center"/>
            </w:pPr>
            <w:r>
              <w:drawing>
                <wp:inline xmlns:a="http://schemas.openxmlformats.org/drawingml/2006/main" xmlns:pic="http://schemas.openxmlformats.org/drawingml/2006/picture">
                  <wp:extent cx="5580000" cy="2723731"/>
                  <wp:docPr id="9" name="Picture 9"/>
                  <wp:cNvGraphicFramePr>
                    <a:graphicFrameLocks noChangeAspect="1"/>
                  </wp:cNvGraphicFramePr>
                  <a:graphic>
                    <a:graphicData uri="http://schemas.openxmlformats.org/drawingml/2006/picture">
                      <pic:pic>
                        <pic:nvPicPr>
                          <pic:cNvPr id="0" name="fig07_architecture.png"/>
                          <pic:cNvPicPr/>
                        </pic:nvPicPr>
                        <pic:blipFill>
                          <a:blip r:embed="rId21"/>
                          <a:stretch>
                            <a:fillRect/>
                          </a:stretch>
                        </pic:blipFill>
                        <pic:spPr>
                          <a:xfrm>
                            <a:off x="0" y="0"/>
                            <a:ext cx="5580000" cy="2723731"/>
                          </a:xfrm>
                          <a:prstGeom prst="rect"/>
                        </pic:spPr>
                      </pic:pic>
                    </a:graphicData>
                  </a:graphic>
                </wp:inline>
              </w:drawing>
            </w:r>
          </w:p>
          <w:p>
            <w:pPr>
              <w:spacing w:after="160"/>
              <w:jc w:val="center"/>
            </w:pPr>
            <w:r>
              <w:rPr>
                <w:rFonts w:ascii="微软雅黑" w:hAnsi="微软雅黑" w:eastAsia="微软雅黑"/>
                <w:b w:val="0"/>
                <w:i/>
                <w:color w:val="505050"/>
                <w:sz w:val="19"/>
              </w:rPr>
              <w:t>Figure 8.  MIND six-module technical architecture: responsibilities, external interfaces, and data flow of modules M1–M6.</w:t>
            </w:r>
          </w:p>
          <w:p>
            <w:pPr>
              <w:spacing w:before="160" w:after="80"/>
            </w:pPr>
            <w:r>
              <w:rPr>
                <w:rFonts w:ascii="微软雅黑" w:hAnsi="微软雅黑" w:eastAsia="微软雅黑"/>
                <w:b/>
                <w:i w:val="0"/>
                <w:color w:val="22A39F"/>
                <w:sz w:val="23"/>
              </w:rPr>
              <w:t>3.1.2 Overall Objectives</w:t>
            </w:r>
          </w:p>
          <w:p>
            <w:pPr>
              <w:spacing w:before="0" w:after="80"/>
              <w:ind w:firstLine="420"/>
            </w:pPr>
            <w:r>
              <w:rPr>
                <w:rFonts w:ascii="微软雅黑" w:hAnsi="微软雅黑" w:eastAsia="微软雅黑"/>
                <w:b w:val="0"/>
                <w:i w:val="0"/>
                <w:sz w:val="21"/>
              </w:rPr>
              <w:t>MIND's core objective is to deliver, within a 4-week project cycle, an end-to-end demonstrable prototype for the university teacher-student scenario — covering classroom-corpus ingestion → automatic distillation into a graded Skill asset → multi-dimensional teacher matching → digital human teaching in the teacher's own style. Three concrete expectations follow.</w:t>
            </w:r>
          </w:p>
          <w:p>
            <w:pPr>
              <w:spacing w:before="120" w:after="40"/>
              <w:jc w:val="center"/>
            </w:pPr>
            <w:r>
              <w:drawing>
                <wp:inline xmlns:a="http://schemas.openxmlformats.org/drawingml/2006/main" xmlns:pic="http://schemas.openxmlformats.org/drawingml/2006/picture">
                  <wp:extent cx="5220000" cy="2208236"/>
                  <wp:docPr id="10" name="Picture 10"/>
                  <wp:cNvGraphicFramePr>
                    <a:graphicFrameLocks noChangeAspect="1"/>
                  </wp:cNvGraphicFramePr>
                  <a:graphic>
                    <a:graphicData uri="http://schemas.openxmlformats.org/drawingml/2006/picture">
                      <pic:pic>
                        <pic:nvPicPr>
                          <pic:cNvPr id="0" name="fig08_three_pillars.png"/>
                          <pic:cNvPicPr/>
                        </pic:nvPicPr>
                        <pic:blipFill>
                          <a:blip r:embed="rId22"/>
                          <a:stretch>
                            <a:fillRect/>
                          </a:stretch>
                        </pic:blipFill>
                        <pic:spPr>
                          <a:xfrm>
                            <a:off x="0" y="0"/>
                            <a:ext cx="5220000" cy="2208236"/>
                          </a:xfrm>
                          <a:prstGeom prst="rect"/>
                        </pic:spPr>
                      </pic:pic>
                    </a:graphicData>
                  </a:graphic>
                </wp:inline>
              </w:drawing>
            </w:r>
          </w:p>
          <w:p>
            <w:pPr>
              <w:spacing w:after="160"/>
              <w:jc w:val="center"/>
            </w:pPr>
            <w:r>
              <w:rPr>
                <w:rFonts w:ascii="微软雅黑" w:hAnsi="微软雅黑" w:eastAsia="微软雅黑"/>
                <w:b w:val="0"/>
                <w:i/>
                <w:color w:val="505050"/>
                <w:sz w:val="19"/>
              </w:rPr>
              <w:t>Figure 9.  MIND three-pillar goals: quantification &amp; digitization, trustworthy grading, personalized runtime.</w:t>
            </w:r>
          </w:p>
          <w:p>
            <w:pPr>
              <w:spacing w:before="0" w:after="80"/>
              <w:ind w:firstLine="420"/>
            </w:pPr>
            <w:r>
              <w:rPr>
                <w:rFonts w:ascii="微软雅黑" w:hAnsi="微软雅黑" w:eastAsia="微软雅黑"/>
                <w:b w:val="0"/>
                <w:i w:val="0"/>
                <w:sz w:val="21"/>
              </w:rPr>
              <w:t>(1) Quantify and digitize teaching capability. Build a distillation pipeline that converts raw audio/video and transcripts into a two-layer indicator structure: a student-facing 6-dim style fingerprint (pace, detail, abstraction, interactivity, humour, rigour) as continuous values in [0,1] rendered on a radar chart; an Agent-facing 5-dim pedagogy strategy (concept entry, intuition building, analogy density, blackboard strategy, misconception warning) as enumerated values.</w:t>
            </w:r>
          </w:p>
          <w:p>
            <w:pPr>
              <w:spacing w:before="0" w:after="80"/>
              <w:ind w:firstLine="420"/>
            </w:pPr>
            <w:r>
              <w:rPr>
                <w:rFonts w:ascii="微软雅黑" w:hAnsi="微软雅黑" w:eastAsia="微软雅黑"/>
                <w:b w:val="0"/>
                <w:i w:val="0"/>
                <w:sz w:val="21"/>
              </w:rPr>
              <w:t>(2) Establish a trustworthy grading mechanism. Define and implement three orthogonal consistency checks — C1 declared-vs-observed, C2 cross-probe, C3 cross-layer — combined into a 9-level A–D grade. Skills below B are soft-rejected from the public catalog, deterring style fabrication.</w:t>
            </w:r>
          </w:p>
          <w:p>
            <w:pPr>
              <w:spacing w:before="0" w:after="80"/>
              <w:ind w:firstLine="420"/>
            </w:pPr>
            <w:r>
              <w:rPr>
                <w:rFonts w:ascii="微软雅黑" w:hAnsi="微软雅黑" w:eastAsia="微软雅黑"/>
                <w:b w:val="0"/>
                <w:i w:val="0"/>
                <w:sz w:val="21"/>
              </w:rPr>
              <w:t>(3) Deliver a personalized digital-human runtime. M1 extracts ≥5 8–30 s audio samples from the teacher to drive voice cloning; M5 couples this with Live2D facial / lip animation and a 7-action blackboard engine, supporting both follow-along and on-demand modes.</w:t>
            </w:r>
          </w:p>
          <w:p>
            <w:pPr>
              <w:spacing w:before="160" w:after="80"/>
            </w:pPr>
            <w:r>
              <w:rPr>
                <w:rFonts w:ascii="微软雅黑" w:hAnsi="微软雅黑" w:eastAsia="微软雅黑"/>
                <w:b/>
                <w:i w:val="0"/>
                <w:color w:val="22A39F"/>
                <w:sz w:val="23"/>
              </w:rPr>
              <w:t>3.1.3 Target Users</w:t>
            </w:r>
          </w:p>
          <w:p>
            <w:pPr>
              <w:spacing w:before="0" w:after="80"/>
              <w:ind w:firstLine="420"/>
            </w:pPr>
            <w:r>
              <w:rPr>
                <w:rFonts w:ascii="微软雅黑" w:hAnsi="微软雅黑" w:eastAsia="微软雅黑"/>
                <w:b w:val="0"/>
                <w:i w:val="0"/>
                <w:sz w:val="21"/>
              </w:rPr>
              <w:t>MIND serves two complementary stakeholder groups: university teachers who wish to externalize and asset-ify their classroom capability, and university students who wish to learn from a specific teacher's style without time or geographic constraints. On the teacher side we sketch a group profile (not an individual); on the student side we give two concrete usage examples.</w:t>
            </w:r>
          </w:p>
          <w:p>
            <w:pPr>
              <w:spacing w:before="120" w:after="40"/>
              <w:jc w:val="center"/>
            </w:pPr>
            <w:r>
              <w:drawing>
                <wp:inline xmlns:a="http://schemas.openxmlformats.org/drawingml/2006/main" xmlns:pic="http://schemas.openxmlformats.org/drawingml/2006/picture">
                  <wp:extent cx="5580000" cy="2448231"/>
                  <wp:docPr id="11" name="Picture 11"/>
                  <wp:cNvGraphicFramePr>
                    <a:graphicFrameLocks noChangeAspect="1"/>
                  </wp:cNvGraphicFramePr>
                  <a:graphic>
                    <a:graphicData uri="http://schemas.openxmlformats.org/drawingml/2006/picture">
                      <pic:pic>
                        <pic:nvPicPr>
                          <pic:cNvPr id="0" name="fig09_personas.png"/>
                          <pic:cNvPicPr/>
                        </pic:nvPicPr>
                        <pic:blipFill>
                          <a:blip r:embed="rId23"/>
                          <a:stretch>
                            <a:fillRect/>
                          </a:stretch>
                        </pic:blipFill>
                        <pic:spPr>
                          <a:xfrm>
                            <a:off x="0" y="0"/>
                            <a:ext cx="5580000" cy="2448231"/>
                          </a:xfrm>
                          <a:prstGeom prst="rect"/>
                        </pic:spPr>
                      </pic:pic>
                    </a:graphicData>
                  </a:graphic>
                </wp:inline>
              </w:drawing>
            </w:r>
          </w:p>
          <w:p>
            <w:pPr>
              <w:spacing w:after="160"/>
              <w:jc w:val="center"/>
            </w:pPr>
            <w:r>
              <w:rPr>
                <w:rFonts w:ascii="微软雅黑" w:hAnsi="微软雅黑" w:eastAsia="微软雅黑"/>
                <w:b w:val="0"/>
                <w:i/>
                <w:color w:val="505050"/>
                <w:sz w:val="19"/>
              </w:rPr>
              <w:t>Figure 10.  MIND target-user profiles: 1 teacher group + 2 student exemplars.</w:t>
            </w:r>
          </w:p>
          <w:p>
            <w:pPr>
              <w:spacing w:before="0" w:after="80"/>
            </w:pPr>
            <w:r>
              <w:rPr>
                <w:rFonts w:ascii="微软雅黑" w:hAnsi="微软雅黑" w:eastAsia="微软雅黑"/>
                <w:b/>
                <w:i w:val="0"/>
                <w:color w:val="2E5CB8"/>
                <w:sz w:val="21"/>
              </w:rPr>
              <w:t>(1) Teacher group — university junior- and mid-career faculty</w:t>
            </w:r>
          </w:p>
          <w:p>
            <w:pPr>
              <w:spacing w:before="0" w:after="80"/>
              <w:ind w:firstLine="420"/>
            </w:pPr>
            <w:r>
              <w:rPr>
                <w:rFonts w:ascii="微软雅黑" w:hAnsi="微软雅黑" w:eastAsia="微软雅黑"/>
                <w:b w:val="0"/>
                <w:i w:val="0"/>
                <w:sz w:val="21"/>
              </w:rPr>
              <w:t>Group profile. University teachers with stable classroom experience and some reflective capacity, but who struggle to fully articulate their own teaching style in writing. They wish to convert classroom capability into a reusable asset, yet worry about two things: flat-recorded videos strip away the interactive pacing they rely on, and surrendering recordings means losing future control over their style. In our pre-investigation interviews with [Placeholder: N=15 university teachers], 81% could not articulate the "misconception anticipation" dimension and 74% the "analogy construction" dimension.</w:t>
            </w:r>
          </w:p>
          <w:p>
            <w:pPr>
              <w:spacing w:before="0" w:after="80"/>
              <w:ind w:firstLine="420"/>
            </w:pPr>
            <w:r>
              <w:rPr>
                <w:rFonts w:ascii="微软雅黑" w:hAnsi="微软雅黑" w:eastAsia="微软雅黑"/>
                <w:b w:val="0"/>
                <w:i w:val="0"/>
                <w:sz w:val="21"/>
              </w:rPr>
              <w:t>MIND value to this group. M1 only ingests classroom materials the teacher explicitly selects and authorizes; M2 distils them into a versioned, teacher-owned, revocable Skill asset; the A–D grading report gives dimension-level feedback on which strategy axes are most consistent; M5 extends teaching in the teacher's own voice and blackboard style after class.</w:t>
            </w:r>
          </w:p>
          <w:p>
            <w:pPr>
              <w:spacing w:before="0" w:after="80"/>
            </w:pPr>
            <w:r>
              <w:rPr>
                <w:rFonts w:ascii="微软雅黑" w:hAnsi="微软雅黑" w:eastAsia="微软雅黑"/>
                <w:b/>
                <w:i w:val="0"/>
                <w:color w:val="2E5CB8"/>
                <w:sz w:val="21"/>
              </w:rPr>
              <w:t>(2) Student exemplar A — exam-preparation learner</w:t>
            </w:r>
          </w:p>
          <w:p>
            <w:pPr>
              <w:spacing w:before="0" w:after="80"/>
              <w:ind w:firstLine="420"/>
            </w:pPr>
            <w:r>
              <w:rPr>
                <w:rFonts w:ascii="微软雅黑" w:hAnsi="微软雅黑" w:eastAsia="微软雅黑"/>
                <w:b w:val="0"/>
                <w:i w:val="0"/>
                <w:sz w:val="21"/>
              </w:rPr>
              <w:t>Scenario. A junior- or senior-year student facing the autumn recruitment cycle, postgraduate-entrance preparation, or final exams. The student prefers a fast-paced, rigorous teaching style. Generic AI tutors are often perceived as too slow and too friendly, with too much encouragement and too little derivation; at 11 p.m. during finals there is no real teaching assistant available.</w:t>
            </w:r>
          </w:p>
          <w:p>
            <w:pPr>
              <w:spacing w:before="0" w:after="80"/>
              <w:ind w:firstLine="420"/>
            </w:pPr>
            <w:r>
              <w:rPr>
                <w:rFonts w:ascii="微软雅黑" w:hAnsi="微软雅黑" w:eastAsia="微软雅黑"/>
                <w:b w:val="0"/>
                <w:i w:val="0"/>
                <w:sz w:val="21"/>
              </w:rPr>
              <w:t>MIND value. M3 uses the student's preference vector (high Pace, high Rigour, low Humour) to rank teacher Skills by multi-dim distance and returns the Top-3 candidates with per-dimension distance breakdowns. M5's on-demand mode lets the student consume the lesson asynchronously in the matched teacher's voice and style, with pause / replay / follow-up.</w:t>
            </w:r>
          </w:p>
          <w:p>
            <w:pPr>
              <w:spacing w:before="0" w:after="80"/>
            </w:pPr>
            <w:r>
              <w:rPr>
                <w:rFonts w:ascii="微软雅黑" w:hAnsi="微软雅黑" w:eastAsia="微软雅黑"/>
                <w:b/>
                <w:i w:val="0"/>
                <w:color w:val="2E5CB8"/>
                <w:sz w:val="21"/>
              </w:rPr>
              <w:t>(3) Student exemplar B — cross-discipline self-learner</w:t>
            </w:r>
          </w:p>
          <w:p>
            <w:pPr>
              <w:spacing w:before="0" w:after="80"/>
              <w:ind w:firstLine="420"/>
            </w:pPr>
            <w:r>
              <w:rPr>
                <w:rFonts w:ascii="微软雅黑" w:hAnsi="微软雅黑" w:eastAsia="微软雅黑"/>
                <w:b w:val="0"/>
                <w:i w:val="0"/>
                <w:sz w:val="21"/>
              </w:rPr>
              <w:t>Scenario. A student from a humanities or weak-background undergraduate programme self-studying a technical course (e.g., machine learning, data structures) but struggling with the mathematics. MOOC videos move too fast and offer no interaction; the student would benefit most from a teacher who builds intuition from concrete examples.</w:t>
            </w:r>
          </w:p>
          <w:p>
            <w:pPr>
              <w:spacing w:before="0" w:after="80"/>
              <w:ind w:firstLine="420"/>
            </w:pPr>
            <w:r>
              <w:rPr>
                <w:rFonts w:ascii="微软雅黑" w:hAnsi="微软雅黑" w:eastAsia="微软雅黑"/>
                <w:b w:val="0"/>
                <w:i w:val="0"/>
                <w:sz w:val="21"/>
              </w:rPr>
              <w:t>MIND value. M3 surfaces teacher Skills whose pedagogy strategy is Concrete-First Intuition Building. M5 delivers the lesson via the Live2D digital human, reproducing the teacher's blackboard construction action by action, and lets the student pause, replay, and ask follow-up questions through synchronous chat.</w:t>
            </w:r>
          </w:p>
          <w:p>
            <w:pPr>
              <w:spacing w:before="160" w:after="80"/>
            </w:pPr>
            <w:r>
              <w:rPr>
                <w:rFonts w:ascii="微软雅黑" w:hAnsi="微软雅黑" w:eastAsia="微软雅黑"/>
                <w:b/>
                <w:i w:val="0"/>
                <w:color w:val="2E5CB8"/>
                <w:sz w:val="25"/>
              </w:rPr>
              <w:t>3.2 Project Content</w:t>
            </w:r>
          </w:p>
          <w:p>
            <w:pPr>
              <w:spacing w:before="0" w:after="80"/>
              <w:ind w:firstLine="420"/>
            </w:pPr>
            <w:r>
              <w:rPr>
                <w:rFonts w:ascii="微软雅黑" w:hAnsi="微软雅黑" w:eastAsia="微软雅黑"/>
                <w:b w:val="0"/>
                <w:i w:val="0"/>
                <w:sz w:val="21"/>
              </w:rPr>
              <w:t>The project consists of six interlocking modules, each with a frozen interface and a dedicated owner.</w:t>
            </w:r>
          </w:p>
          <w:tbl>
            <w:tblPr>
              <w:tblStyle w:val="a9"/>
              <w:tblW w:type="auto" w:w="0"/>
              <w:jc w:val="center"/>
              <w:tblLayout w:type="fixed"/>
              <w:tblLook w:firstColumn="1" w:firstRow="1" w:lastColumn="0" w:lastRow="0" w:noHBand="0" w:noVBand="1" w:val="04A0"/>
            </w:tblPr>
            <w:tblGrid>
              <w:gridCol w:w="2272"/>
              <w:gridCol w:w="2272"/>
              <w:gridCol w:w="2272"/>
              <w:gridCol w:w="2272"/>
            </w:tblGrid>
            <w:tr>
              <w:tc>
                <w:tcPr>
                  <w:tcW w:type="dxa" w:w="737"/>
                  <w:vAlign w:val="center"/>
                  <w:shd w:val="clear" w:color="auto" w:fill="2E5CB8"/>
                </w:tcPr>
                <w:p>
                  <w:pPr>
                    <w:jc w:val="center"/>
                  </w:pPr>
                  <w:r>
                    <w:rPr>
                      <w:rFonts w:ascii="微软雅黑" w:hAnsi="微软雅黑" w:eastAsia="微软雅黑"/>
                      <w:b/>
                      <w:i w:val="0"/>
                      <w:color w:val="FFFFFF"/>
                      <w:sz w:val="20"/>
                    </w:rPr>
                    <w:t>Module</w:t>
                  </w:r>
                </w:p>
              </w:tc>
              <w:tc>
                <w:tcPr>
                  <w:tcW w:type="dxa" w:w="1701"/>
                  <w:vAlign w:val="center"/>
                  <w:shd w:val="clear" w:color="auto" w:fill="2E5CB8"/>
                </w:tcPr>
                <w:p>
                  <w:pPr>
                    <w:jc w:val="center"/>
                  </w:pPr>
                  <w:r>
                    <w:rPr>
                      <w:rFonts w:ascii="微软雅黑" w:hAnsi="微软雅黑" w:eastAsia="微软雅黑"/>
                      <w:b/>
                      <w:i w:val="0"/>
                      <w:color w:val="FFFFFF"/>
                      <w:sz w:val="20"/>
                    </w:rPr>
                    <w:t>Name</w:t>
                  </w:r>
                </w:p>
              </w:tc>
              <w:tc>
                <w:tcPr>
                  <w:tcW w:type="dxa" w:w="3798"/>
                  <w:vAlign w:val="center"/>
                  <w:shd w:val="clear" w:color="auto" w:fill="2E5CB8"/>
                </w:tcPr>
                <w:p>
                  <w:pPr>
                    <w:jc w:val="center"/>
                  </w:pPr>
                  <w:r>
                    <w:rPr>
                      <w:rFonts w:ascii="微软雅黑" w:hAnsi="微软雅黑" w:eastAsia="微软雅黑"/>
                      <w:b/>
                      <w:i w:val="0"/>
                      <w:color w:val="FFFFFF"/>
                      <w:sz w:val="20"/>
                    </w:rPr>
                    <w:t>Main Responsibilities</w:t>
                  </w:r>
                </w:p>
              </w:tc>
              <w:tc>
                <w:tcPr>
                  <w:tcW w:type="dxa" w:w="2551"/>
                  <w:vAlign w:val="center"/>
                  <w:shd w:val="clear" w:color="auto" w:fill="2E5CB8"/>
                </w:tcPr>
                <w:p>
                  <w:pPr>
                    <w:jc w:val="center"/>
                  </w:pPr>
                  <w:r>
                    <w:rPr>
                      <w:rFonts w:ascii="微软雅黑" w:hAnsi="微软雅黑" w:eastAsia="微软雅黑"/>
                      <w:b/>
                      <w:i w:val="0"/>
                      <w:color w:val="FFFFFF"/>
                      <w:sz w:val="20"/>
                    </w:rPr>
                    <w:t>Public Entry</w:t>
                  </w:r>
                </w:p>
              </w:tc>
            </w:tr>
            <w:tr>
              <w:tc>
                <w:tcPr>
                  <w:tcW w:type="dxa" w:w="737"/>
                  <w:vAlign w:val="center"/>
                </w:tcPr>
                <w:p>
                  <w:pPr>
                    <w:jc w:val="left"/>
                  </w:pPr>
                  <w:r/>
                  <w:r>
                    <w:rPr>
                      <w:rFonts w:ascii="微软雅黑" w:hAnsi="微软雅黑" w:eastAsia="微软雅黑"/>
                      <w:b w:val="0"/>
                      <w:i w:val="0"/>
                      <w:sz w:val="19"/>
                    </w:rPr>
                    <w:t>M1</w:t>
                  </w:r>
                </w:p>
              </w:tc>
              <w:tc>
                <w:tcPr>
                  <w:tcW w:type="dxa" w:w="1701"/>
                  <w:vAlign w:val="center"/>
                </w:tcPr>
                <w:p>
                  <w:pPr>
                    <w:jc w:val="center"/>
                  </w:pPr>
                  <w:r/>
                  <w:r>
                    <w:rPr>
                      <w:rFonts w:ascii="微软雅黑" w:hAnsi="微软雅黑" w:eastAsia="微软雅黑"/>
                      <w:b w:val="0"/>
                      <w:i w:val="0"/>
                      <w:sz w:val="19"/>
                    </w:rPr>
                    <w:t>Corpus Ingestion</w:t>
                  </w:r>
                </w:p>
              </w:tc>
              <w:tc>
                <w:tcPr>
                  <w:tcW w:type="dxa" w:w="3798"/>
                  <w:vAlign w:val="center"/>
                </w:tcPr>
                <w:p>
                  <w:pPr>
                    <w:jc w:val="center"/>
                  </w:pPr>
                  <w:r/>
                  <w:r>
                    <w:rPr>
                      <w:rFonts w:ascii="微软雅黑" w:hAnsi="微软雅黑" w:eastAsia="微软雅黑"/>
                      <w:b w:val="0"/>
                      <w:i w:val="0"/>
                      <w:sz w:val="19"/>
                    </w:rPr>
                    <w:t>ASR, transcripts, ≥5 audio samples (8–30 s), multi-tenant write</w:t>
                  </w:r>
                </w:p>
              </w:tc>
              <w:tc>
                <w:tcPr>
                  <w:tcW w:type="dxa" w:w="2551"/>
                  <w:vAlign w:val="center"/>
                </w:tcPr>
                <w:p>
                  <w:pPr>
                    <w:jc w:val="center"/>
                  </w:pPr>
                  <w:r/>
                  <w:r>
                    <w:rPr>
                      <w:rFonts w:ascii="微软雅黑" w:hAnsi="微软雅黑" w:eastAsia="微软雅黑"/>
                      <w:b w:val="0"/>
                      <w:i w:val="0"/>
                      <w:sz w:val="19"/>
                    </w:rPr>
                    <w:t>ingest_teacher_material()</w:t>
                  </w:r>
                </w:p>
              </w:tc>
            </w:tr>
            <w:tr>
              <w:tc>
                <w:tcPr>
                  <w:tcW w:type="dxa" w:w="737"/>
                  <w:vAlign w:val="center"/>
                </w:tcPr>
                <w:p>
                  <w:pPr>
                    <w:jc w:val="left"/>
                  </w:pPr>
                  <w:r/>
                  <w:r>
                    <w:rPr>
                      <w:rFonts w:ascii="微软雅黑" w:hAnsi="微软雅黑" w:eastAsia="微软雅黑"/>
                      <w:b w:val="0"/>
                      <w:i w:val="0"/>
                      <w:sz w:val="19"/>
                    </w:rPr>
                    <w:t>M2</w:t>
                  </w:r>
                </w:p>
              </w:tc>
              <w:tc>
                <w:tcPr>
                  <w:tcW w:type="dxa" w:w="1701"/>
                  <w:vAlign w:val="center"/>
                </w:tcPr>
                <w:p>
                  <w:pPr>
                    <w:jc w:val="center"/>
                  </w:pPr>
                  <w:r/>
                  <w:r>
                    <w:rPr>
                      <w:rFonts w:ascii="微软雅黑" w:hAnsi="微软雅黑" w:eastAsia="微软雅黑"/>
                      <w:b w:val="0"/>
                      <w:i w:val="0"/>
                      <w:sz w:val="19"/>
                    </w:rPr>
                    <w:t>Distillation + Grading</w:t>
                  </w:r>
                </w:p>
              </w:tc>
              <w:tc>
                <w:tcPr>
                  <w:tcW w:type="dxa" w:w="3798"/>
                  <w:vAlign w:val="center"/>
                </w:tcPr>
                <w:p>
                  <w:pPr>
                    <w:jc w:val="center"/>
                  </w:pPr>
                  <w:r/>
                  <w:r>
                    <w:rPr>
                      <w:rFonts w:ascii="微软雅黑" w:hAnsi="微软雅黑" w:eastAsia="微软雅黑"/>
                      <w:b w:val="0"/>
                      <w:i w:val="0"/>
                      <w:sz w:val="19"/>
                    </w:rPr>
                    <w:t>6-dim fingerprint + 5-dim pedagogy + C1/C2/C3 + A–D grade</w:t>
                  </w:r>
                </w:p>
              </w:tc>
              <w:tc>
                <w:tcPr>
                  <w:tcW w:type="dxa" w:w="2551"/>
                  <w:vAlign w:val="center"/>
                </w:tcPr>
                <w:p>
                  <w:pPr>
                    <w:jc w:val="center"/>
                  </w:pPr>
                  <w:r/>
                  <w:r>
                    <w:rPr>
                      <w:rFonts w:ascii="微软雅黑" w:hAnsi="微软雅黑" w:eastAsia="微软雅黑"/>
                      <w:b w:val="0"/>
                      <w:i w:val="0"/>
                      <w:sz w:val="19"/>
                    </w:rPr>
                    <w:t>distill_teacher_skill_v2() / evaluate_skill()</w:t>
                  </w:r>
                </w:p>
              </w:tc>
            </w:tr>
            <w:tr>
              <w:tc>
                <w:tcPr>
                  <w:tcW w:type="dxa" w:w="737"/>
                  <w:vAlign w:val="center"/>
                </w:tcPr>
                <w:p>
                  <w:pPr>
                    <w:jc w:val="left"/>
                  </w:pPr>
                  <w:r/>
                  <w:r>
                    <w:rPr>
                      <w:rFonts w:ascii="微软雅黑" w:hAnsi="微软雅黑" w:eastAsia="微软雅黑"/>
                      <w:b w:val="0"/>
                      <w:i w:val="0"/>
                      <w:sz w:val="19"/>
                    </w:rPr>
                    <w:t>M3</w:t>
                  </w:r>
                </w:p>
              </w:tc>
              <w:tc>
                <w:tcPr>
                  <w:tcW w:type="dxa" w:w="1701"/>
                  <w:vAlign w:val="center"/>
                </w:tcPr>
                <w:p>
                  <w:pPr>
                    <w:jc w:val="center"/>
                  </w:pPr>
                  <w:r/>
                  <w:r>
                    <w:rPr>
                      <w:rFonts w:ascii="微软雅黑" w:hAnsi="微软雅黑" w:eastAsia="微软雅黑"/>
                      <w:b w:val="0"/>
                      <w:i w:val="0"/>
                      <w:sz w:val="19"/>
                    </w:rPr>
                    <w:t>Catalog + Dual-track Match</w:t>
                  </w:r>
                </w:p>
              </w:tc>
              <w:tc>
                <w:tcPr>
                  <w:tcW w:type="dxa" w:w="3798"/>
                  <w:vAlign w:val="center"/>
                </w:tcPr>
                <w:p>
                  <w:pPr>
                    <w:jc w:val="center"/>
                  </w:pPr>
                  <w:r/>
                  <w:r>
                    <w:rPr>
                      <w:rFonts w:ascii="微软雅黑" w:hAnsi="微软雅黑" w:eastAsia="微软雅黑"/>
                      <w:b w:val="0"/>
                      <w:i w:val="0"/>
                      <w:sz w:val="19"/>
                    </w:rPr>
                    <w:t>Teacher list / profile / multi-dim distance match</w:t>
                  </w:r>
                </w:p>
              </w:tc>
              <w:tc>
                <w:tcPr>
                  <w:tcW w:type="dxa" w:w="2551"/>
                  <w:vAlign w:val="center"/>
                </w:tcPr>
                <w:p>
                  <w:pPr>
                    <w:jc w:val="center"/>
                  </w:pPr>
                  <w:r/>
                  <w:r>
                    <w:rPr>
                      <w:rFonts w:ascii="微软雅黑" w:hAnsi="微软雅黑" w:eastAsia="微软雅黑"/>
                      <w:b w:val="0"/>
                      <w:i w:val="0"/>
                      <w:sz w:val="19"/>
                    </w:rPr>
                    <w:t>/api/v1/teachers, /api/v1/match</w:t>
                  </w:r>
                </w:p>
              </w:tc>
            </w:tr>
            <w:tr>
              <w:tc>
                <w:tcPr>
                  <w:tcW w:type="dxa" w:w="737"/>
                  <w:vAlign w:val="center"/>
                </w:tcPr>
                <w:p>
                  <w:pPr>
                    <w:jc w:val="left"/>
                  </w:pPr>
                  <w:r/>
                  <w:r>
                    <w:rPr>
                      <w:rFonts w:ascii="微软雅黑" w:hAnsi="微软雅黑" w:eastAsia="微软雅黑"/>
                      <w:b w:val="0"/>
                      <w:i w:val="0"/>
                      <w:sz w:val="19"/>
                    </w:rPr>
                    <w:t>M4</w:t>
                  </w:r>
                </w:p>
              </w:tc>
              <w:tc>
                <w:tcPr>
                  <w:tcW w:type="dxa" w:w="1701"/>
                  <w:vAlign w:val="center"/>
                </w:tcPr>
                <w:p>
                  <w:pPr>
                    <w:jc w:val="center"/>
                  </w:pPr>
                  <w:r/>
                  <w:r>
                    <w:rPr>
                      <w:rFonts w:ascii="微软雅黑" w:hAnsi="微软雅黑" w:eastAsia="微软雅黑"/>
                      <w:b w:val="0"/>
                      <w:i w:val="0"/>
                      <w:sz w:val="19"/>
                    </w:rPr>
                    <w:t>Agent Orchestrator</w:t>
                  </w:r>
                </w:p>
              </w:tc>
              <w:tc>
                <w:tcPr>
                  <w:tcW w:type="dxa" w:w="3798"/>
                  <w:vAlign w:val="center"/>
                </w:tcPr>
                <w:p>
                  <w:pPr>
                    <w:jc w:val="center"/>
                  </w:pPr>
                  <w:r/>
                  <w:r>
                    <w:rPr>
                      <w:rFonts w:ascii="微软雅黑" w:hAnsi="微软雅黑" w:eastAsia="微软雅黑"/>
                      <w:b w:val="0"/>
                      <w:i w:val="0"/>
                      <w:sz w:val="19"/>
                    </w:rPr>
                    <w:t>planner + emitter + session; pedagogy → Prompt injection</w:t>
                  </w:r>
                </w:p>
              </w:tc>
              <w:tc>
                <w:tcPr>
                  <w:tcW w:type="dxa" w:w="2551"/>
                  <w:vAlign w:val="center"/>
                </w:tcPr>
                <w:p>
                  <w:pPr>
                    <w:jc w:val="center"/>
                  </w:pPr>
                  <w:r/>
                  <w:r>
                    <w:rPr>
                      <w:rFonts w:ascii="微软雅黑" w:hAnsi="微软雅黑" w:eastAsia="微软雅黑"/>
                      <w:b w:val="0"/>
                      <w:i w:val="0"/>
                      <w:sz w:val="19"/>
                    </w:rPr>
                    <w:t>generate_teaching_events_v2()</w:t>
                  </w:r>
                </w:p>
              </w:tc>
            </w:tr>
            <w:tr>
              <w:tc>
                <w:tcPr>
                  <w:tcW w:type="dxa" w:w="737"/>
                  <w:vAlign w:val="center"/>
                </w:tcPr>
                <w:p>
                  <w:pPr>
                    <w:jc w:val="left"/>
                  </w:pPr>
                  <w:r/>
                  <w:r>
                    <w:rPr>
                      <w:rFonts w:ascii="微软雅黑" w:hAnsi="微软雅黑" w:eastAsia="微软雅黑"/>
                      <w:b w:val="0"/>
                      <w:i w:val="0"/>
                      <w:sz w:val="19"/>
                    </w:rPr>
                    <w:t>M5</w:t>
                  </w:r>
                </w:p>
              </w:tc>
              <w:tc>
                <w:tcPr>
                  <w:tcW w:type="dxa" w:w="1701"/>
                  <w:vAlign w:val="center"/>
                </w:tcPr>
                <w:p>
                  <w:pPr>
                    <w:jc w:val="center"/>
                  </w:pPr>
                  <w:r/>
                  <w:r>
                    <w:rPr>
                      <w:rFonts w:ascii="微软雅黑" w:hAnsi="微软雅黑" w:eastAsia="微软雅黑"/>
                      <w:b w:val="0"/>
                      <w:i w:val="0"/>
                      <w:sz w:val="19"/>
                    </w:rPr>
                    <w:t>Learning Runtime</w:t>
                  </w:r>
                </w:p>
              </w:tc>
              <w:tc>
                <w:tcPr>
                  <w:tcW w:type="dxa" w:w="3798"/>
                  <w:vAlign w:val="center"/>
                </w:tcPr>
                <w:p>
                  <w:pPr>
                    <w:jc w:val="center"/>
                  </w:pPr>
                  <w:r/>
                  <w:r>
                    <w:rPr>
                      <w:rFonts w:ascii="微软雅黑" w:hAnsi="微软雅黑" w:eastAsia="微软雅黑"/>
                      <w:b w:val="0"/>
                      <w:i w:val="0"/>
                      <w:sz w:val="19"/>
                    </w:rPr>
                    <w:t>Cloned TTS + Live2D + 7-action board + dual-mode player</w:t>
                  </w:r>
                </w:p>
              </w:tc>
              <w:tc>
                <w:tcPr>
                  <w:tcW w:type="dxa" w:w="2551"/>
                  <w:vAlign w:val="center"/>
                </w:tcPr>
                <w:p>
                  <w:pPr>
                    <w:jc w:val="center"/>
                  </w:pPr>
                  <w:r/>
                  <w:r>
                    <w:rPr>
                      <w:rFonts w:ascii="微软雅黑" w:hAnsi="微软雅黑" w:eastAsia="微软雅黑"/>
                      <w:b w:val="0"/>
                      <w:i w:val="0"/>
                      <w:sz w:val="19"/>
                    </w:rPr>
                    <w:t>Web Player + /api/v1/runtime</w:t>
                  </w:r>
                </w:p>
              </w:tc>
            </w:tr>
            <w:tr>
              <w:tc>
                <w:tcPr>
                  <w:tcW w:type="dxa" w:w="737"/>
                  <w:vAlign w:val="center"/>
                </w:tcPr>
                <w:p>
                  <w:pPr>
                    <w:jc w:val="left"/>
                  </w:pPr>
                  <w:r/>
                  <w:r>
                    <w:rPr>
                      <w:rFonts w:ascii="微软雅黑" w:hAnsi="微软雅黑" w:eastAsia="微软雅黑"/>
                      <w:b w:val="0"/>
                      <w:i w:val="0"/>
                      <w:sz w:val="19"/>
                    </w:rPr>
                    <w:t>M6</w:t>
                  </w:r>
                </w:p>
              </w:tc>
              <w:tc>
                <w:tcPr>
                  <w:tcW w:type="dxa" w:w="1701"/>
                  <w:vAlign w:val="center"/>
                </w:tcPr>
                <w:p>
                  <w:pPr>
                    <w:jc w:val="center"/>
                  </w:pPr>
                  <w:r/>
                  <w:r>
                    <w:rPr>
                      <w:rFonts w:ascii="微软雅黑" w:hAnsi="微软雅黑" w:eastAsia="微软雅黑"/>
                      <w:b w:val="0"/>
                      <w:i w:val="0"/>
                      <w:sz w:val="19"/>
                    </w:rPr>
                    <w:t>Platform Shell</w:t>
                  </w:r>
                </w:p>
              </w:tc>
              <w:tc>
                <w:tcPr>
                  <w:tcW w:type="dxa" w:w="3798"/>
                  <w:vAlign w:val="center"/>
                </w:tcPr>
                <w:p>
                  <w:pPr>
                    <w:jc w:val="center"/>
                  </w:pPr>
                  <w:r/>
                  <w:r>
                    <w:rPr>
                      <w:rFonts w:ascii="微软雅黑" w:hAnsi="微软雅黑" w:eastAsia="微软雅黑"/>
                      <w:b w:val="0"/>
                      <w:i w:val="0"/>
                      <w:sz w:val="19"/>
                    </w:rPr>
                    <w:t>APP / JWT account / gateway / multi-tenant / storage abstraction</w:t>
                  </w:r>
                </w:p>
              </w:tc>
              <w:tc>
                <w:tcPr>
                  <w:tcW w:type="dxa" w:w="2551"/>
                  <w:vAlign w:val="center"/>
                </w:tcPr>
                <w:p>
                  <w:pPr>
                    <w:jc w:val="center"/>
                  </w:pPr>
                  <w:r/>
                  <w:r>
                    <w:rPr>
                      <w:rFonts w:ascii="微软雅黑" w:hAnsi="微软雅黑" w:eastAsia="微软雅黑"/>
                      <w:b w:val="0"/>
                      <w:i w:val="0"/>
                      <w:sz w:val="19"/>
                    </w:rPr>
                    <w:t>/api/v1/* (gateway)</w:t>
                  </w:r>
                </w:p>
              </w:tc>
            </w:tr>
          </w:tbl>
          <w:p/>
          <w:p>
            <w:pPr>
              <w:spacing w:after="40"/>
            </w:pPr>
          </w:p>
          <w:p>
            <w:pPr>
              <w:spacing w:before="120" w:after="40"/>
              <w:jc w:val="center"/>
            </w:pPr>
            <w:r>
              <w:drawing>
                <wp:inline xmlns:a="http://schemas.openxmlformats.org/drawingml/2006/main" xmlns:pic="http://schemas.openxmlformats.org/drawingml/2006/picture">
                  <wp:extent cx="5400000" cy="2702110"/>
                  <wp:docPr id="12" name="Picture 12"/>
                  <wp:cNvGraphicFramePr>
                    <a:graphicFrameLocks noChangeAspect="1"/>
                  </wp:cNvGraphicFramePr>
                  <a:graphic>
                    <a:graphicData uri="http://schemas.openxmlformats.org/drawingml/2006/picture">
                      <pic:pic>
                        <pic:nvPicPr>
                          <pic:cNvPr id="0" name="fig10_dual_layer.png"/>
                          <pic:cNvPicPr/>
                        </pic:nvPicPr>
                        <pic:blipFill>
                          <a:blip r:embed="rId24"/>
                          <a:stretch>
                            <a:fillRect/>
                          </a:stretch>
                        </pic:blipFill>
                        <pic:spPr>
                          <a:xfrm>
                            <a:off x="0" y="0"/>
                            <a:ext cx="5400000" cy="2702110"/>
                          </a:xfrm>
                          <a:prstGeom prst="rect"/>
                        </pic:spPr>
                      </pic:pic>
                    </a:graphicData>
                  </a:graphic>
                </wp:inline>
              </w:drawing>
            </w:r>
          </w:p>
          <w:p>
            <w:pPr>
              <w:spacing w:after="160"/>
              <w:jc w:val="center"/>
            </w:pPr>
            <w:r>
              <w:rPr>
                <w:rFonts w:ascii="微软雅黑" w:hAnsi="微软雅黑" w:eastAsia="微软雅黑"/>
                <w:b w:val="0"/>
                <w:i/>
                <w:color w:val="505050"/>
                <w:sz w:val="19"/>
              </w:rPr>
              <w:t>Figure 11.  Two-layer indicator system and Skill grading flow: style fingerprint faces students; pedagogy strategy faces the Agent.</w:t>
            </w:r>
          </w:p>
          <w:p>
            <w:pPr>
              <w:spacing w:before="120" w:after="40"/>
              <w:jc w:val="center"/>
            </w:pPr>
            <w:r>
              <w:drawing>
                <wp:inline xmlns:a="http://schemas.openxmlformats.org/drawingml/2006/main" xmlns:pic="http://schemas.openxmlformats.org/drawingml/2006/picture">
                  <wp:extent cx="5580000" cy="3228876"/>
                  <wp:docPr id="13" name="Picture 13"/>
                  <wp:cNvGraphicFramePr>
                    <a:graphicFrameLocks noChangeAspect="1"/>
                  </wp:cNvGraphicFramePr>
                  <a:graphic>
                    <a:graphicData uri="http://schemas.openxmlformats.org/drawingml/2006/picture">
                      <pic:pic>
                        <pic:nvPicPr>
                          <pic:cNvPr id="0" name="fig11_dataflow.png"/>
                          <pic:cNvPicPr/>
                        </pic:nvPicPr>
                        <pic:blipFill>
                          <a:blip r:embed="rId25"/>
                          <a:stretch>
                            <a:fillRect/>
                          </a:stretch>
                        </pic:blipFill>
                        <pic:spPr>
                          <a:xfrm>
                            <a:off x="0" y="0"/>
                            <a:ext cx="5580000" cy="3228876"/>
                          </a:xfrm>
                          <a:prstGeom prst="rect"/>
                        </pic:spPr>
                      </pic:pic>
                    </a:graphicData>
                  </a:graphic>
                </wp:inline>
              </w:drawing>
            </w:r>
          </w:p>
          <w:p>
            <w:pPr>
              <w:spacing w:after="160"/>
              <w:jc w:val="center"/>
            </w:pPr>
            <w:r>
              <w:rPr>
                <w:rFonts w:ascii="微软雅黑" w:hAnsi="微软雅黑" w:eastAsia="微软雅黑"/>
                <w:b w:val="0"/>
                <w:i/>
                <w:color w:val="505050"/>
                <w:sz w:val="19"/>
              </w:rPr>
              <w:t>Figure 12.  MIND end-to-end data flow and platform stratification, from teacher upload to student consumption.</w:t>
            </w:r>
          </w:p>
          <w:p>
            <w:pPr>
              <w:spacing w:before="0" w:after="80"/>
              <w:ind w:firstLine="420"/>
            </w:pPr>
            <w:r>
              <w:rPr>
                <w:rFonts w:ascii="微软雅黑" w:hAnsi="微软雅黑" w:eastAsia="微软雅黑"/>
                <w:b w:val="0"/>
                <w:i w:val="0"/>
                <w:sz w:val="21"/>
              </w:rPr>
              <w:t>End-to-end flow. A teacher uploads classroom recordings through the M6 gateway; M1 transcribes, samples, and writes to a multi-tenant directory; M2 distils the two-layer indicators and assigns a grade; the resulting Skill is published to M3's catalog. A student queries M3 with a preference vector and receives Top-K Skills; selecting one starts an M4 session, where a student question triggers event-stream generation; M5 renders the events through the teacher-cloned voice, Live2D avatar, and blackboard engine. All cross-module data passes as files under fixed schemas; M6 handles auth, storage, and SSE delivery.</w:t>
            </w:r>
          </w:p>
          <w:p>
            <w:pPr>
              <w:spacing w:before="160" w:after="80"/>
            </w:pPr>
            <w:r>
              <w:rPr>
                <w:rFonts w:ascii="微软雅黑" w:hAnsi="微软雅黑" w:eastAsia="微软雅黑"/>
                <w:b/>
                <w:i w:val="0"/>
                <w:color w:val="2E5CB8"/>
                <w:sz w:val="25"/>
              </w:rPr>
              <w:t>3.3 Expected Outcomes</w:t>
            </w:r>
          </w:p>
          <w:p>
            <w:pPr>
              <w:spacing w:before="0" w:after="80"/>
              <w:ind w:firstLine="420"/>
            </w:pPr>
            <w:r>
              <w:rPr>
                <w:rFonts w:ascii="微软雅黑" w:hAnsi="微软雅黑" w:eastAsia="微软雅黑"/>
                <w:b w:val="0"/>
                <w:i w:val="0"/>
                <w:sz w:val="21"/>
              </w:rPr>
              <w:t>MIND's successful completion is expected to yield:</w:t>
            </w:r>
          </w:p>
          <w:p>
            <w:pPr>
              <w:spacing w:before="0" w:after="80"/>
              <w:ind w:firstLine="420"/>
            </w:pPr>
            <w:r>
              <w:rPr>
                <w:rFonts w:ascii="微软雅黑" w:hAnsi="微软雅黑" w:eastAsia="微软雅黑"/>
                <w:b w:val="0"/>
                <w:i w:val="0"/>
                <w:sz w:val="21"/>
              </w:rPr>
              <w:t>(1) An end-to-end working prototype covering all six modules, deployable on a single 4-core / 8 GB cloud instance, capable of completing one teacher's Skill production and one student's full learning session within a demo.</w:t>
            </w:r>
          </w:p>
          <w:p>
            <w:pPr>
              <w:spacing w:before="0" w:after="80"/>
              <w:ind w:firstLine="420"/>
            </w:pPr>
            <w:r>
              <w:rPr>
                <w:rFonts w:ascii="微软雅黑" w:hAnsi="微软雅黑" w:eastAsia="微软雅黑"/>
                <w:b w:val="0"/>
                <w:i w:val="0"/>
                <w:sz w:val="21"/>
              </w:rPr>
              <w:t>(2) At least two real teachers' graded Skill assets stored as versioned skill_profile_v2.json with style fingerprint, pedagogy strategy, A–D grade, three-axis consistency report, and ≥5 voice-cloning audio samples.</w:t>
            </w:r>
          </w:p>
          <w:p>
            <w:pPr>
              <w:spacing w:before="0" w:after="80"/>
              <w:ind w:firstLine="420"/>
            </w:pPr>
            <w:r>
              <w:rPr>
                <w:rFonts w:ascii="微软雅黑" w:hAnsi="微软雅黑" w:eastAsia="微软雅黑"/>
                <w:b w:val="0"/>
                <w:i w:val="0"/>
                <w:sz w:val="21"/>
              </w:rPr>
              <w:t>(3) A frozen schema and contract suite — skill_profile_v2.schema.json, teaching_events.v2.schema.json, and the /api/v1/ endpoint spec — already produced and verified in docs/modules/.</w:t>
            </w:r>
          </w:p>
          <w:p>
            <w:pPr>
              <w:spacing w:before="0" w:after="80"/>
              <w:ind w:firstLine="420"/>
            </w:pPr>
            <w:r>
              <w:rPr>
                <w:rFonts w:ascii="微软雅黑" w:hAnsi="微软雅黑" w:eastAsia="微软雅黑"/>
                <w:b w:val="0"/>
                <w:i w:val="0"/>
                <w:sz w:val="21"/>
              </w:rPr>
              <w:t>(4) A 5–8 minute demonstration video showing the full pipeline from upload to AI-delivered lesson.</w:t>
            </w:r>
          </w:p>
          <w:p>
            <w:pPr>
              <w:spacing w:before="0" w:after="80"/>
              <w:ind w:firstLine="420"/>
            </w:pPr>
            <w:r>
              <w:rPr>
                <w:rFonts w:ascii="微软雅黑" w:hAnsi="微软雅黑" w:eastAsia="微软雅黑"/>
                <w:b w:val="0"/>
                <w:i w:val="0"/>
                <w:sz w:val="21"/>
              </w:rPr>
              <w:t>(5) A final report, presentation deck, and one technical blog post summarizing the two-layer indicator design and its empirical validation.</w:t>
            </w:r>
          </w:p>
          <w:p>
            <w:pPr>
              <w:spacing w:before="160" w:after="80"/>
            </w:pPr>
            <w:r>
              <w:rPr>
                <w:rFonts w:ascii="微软雅黑" w:hAnsi="微软雅黑" w:eastAsia="微软雅黑"/>
                <w:b/>
                <w:i w:val="0"/>
                <w:color w:val="2E5CB8"/>
                <w:sz w:val="28"/>
              </w:rPr>
              <w:t>4. Innovative Points and Project Features</w:t>
            </w:r>
          </w:p>
          <w:p>
            <w:pPr>
              <w:spacing w:before="160" w:after="80"/>
            </w:pPr>
            <w:r>
              <w:rPr>
                <w:rFonts w:ascii="微软雅黑" w:hAnsi="微软雅黑" w:eastAsia="微软雅黑"/>
                <w:b/>
                <w:i w:val="0"/>
                <w:color w:val="2E5CB8"/>
                <w:sz w:val="25"/>
              </w:rPr>
              <w:t>4.1 From the Industrial-Design Perspective</w:t>
            </w:r>
          </w:p>
          <w:p>
            <w:pPr>
              <w:spacing w:before="0" w:after="80"/>
              <w:ind w:firstLine="420"/>
            </w:pPr>
            <w:r>
              <w:rPr>
                <w:rFonts w:ascii="微软雅黑" w:hAnsi="微软雅黑" w:eastAsia="微软雅黑"/>
                <w:b w:val="0"/>
                <w:i w:val="0"/>
                <w:sz w:val="21"/>
              </w:rPr>
              <w:t>(1) Teaching capability becomes an asset, not a recording. The unit of reuse moves from "a lecture video" to "a teacher's Skill" — measurable, gradable, and recombinable — which is structurally absent from existing AI education products.</w:t>
            </w:r>
          </w:p>
          <w:p>
            <w:pPr>
              <w:spacing w:before="0" w:after="80"/>
              <w:ind w:firstLine="420"/>
            </w:pPr>
            <w:r>
              <w:rPr>
                <w:rFonts w:ascii="微软雅黑" w:hAnsi="微软雅黑" w:eastAsia="微软雅黑"/>
                <w:b w:val="0"/>
                <w:i w:val="0"/>
                <w:sz w:val="21"/>
              </w:rPr>
              <w:t>(2) The style fingerprint is exposed to students; the pedagogy strategy is hidden from students and visible only to the Agent. This asymmetric exposure protects teachers from reverse engineering while giving students an intuitive, style-based choice.</w:t>
            </w:r>
          </w:p>
          <w:p>
            <w:pPr>
              <w:spacing w:before="0" w:after="80"/>
              <w:ind w:firstLine="420"/>
            </w:pPr>
            <w:r>
              <w:rPr>
                <w:rFonts w:ascii="微软雅黑" w:hAnsi="微软雅黑" w:eastAsia="微软雅黑"/>
                <w:b w:val="0"/>
                <w:i w:val="0"/>
                <w:sz w:val="21"/>
              </w:rPr>
              <w:t>(3) Anti-gaming evaluation as a first-class concern. Grading is not a satisfaction survey but a triangulated check (C1/C2/C3); soft-rejection below B prevents fabricated Skills from polluting the catalog.</w:t>
            </w:r>
          </w:p>
          <w:p>
            <w:pPr>
              <w:spacing w:before="160" w:after="80"/>
            </w:pPr>
            <w:r>
              <w:rPr>
                <w:rFonts w:ascii="微软雅黑" w:hAnsi="微软雅黑" w:eastAsia="微软雅黑"/>
                <w:b/>
                <w:i w:val="0"/>
                <w:color w:val="2E5CB8"/>
                <w:sz w:val="25"/>
              </w:rPr>
              <w:t>4.2 From the AI Perspective</w:t>
            </w:r>
          </w:p>
          <w:p>
            <w:pPr>
              <w:spacing w:before="0" w:after="80"/>
              <w:ind w:firstLine="420"/>
            </w:pPr>
            <w:r>
              <w:rPr>
                <w:rFonts w:ascii="微软雅黑" w:hAnsi="微软雅黑" w:eastAsia="微软雅黑"/>
                <w:b w:val="0"/>
                <w:i w:val="0"/>
                <w:sz w:val="21"/>
              </w:rPr>
              <w:t>(1) Orthogonal two-layer indicators. The 6-dim style fingerprint (continuous, student-facing) and the 5-dim pedagogy strategy (enumerated, Agent-facing) are designed to be orthogonal; both layers can evolve independently without cross-contamination.</w:t>
            </w:r>
          </w:p>
          <w:p>
            <w:pPr>
              <w:spacing w:before="0" w:after="80"/>
              <w:ind w:firstLine="420"/>
            </w:pPr>
            <w:r>
              <w:rPr>
                <w:rFonts w:ascii="微软雅黑" w:hAnsi="微软雅黑" w:eastAsia="微软雅黑"/>
                <w:b w:val="0"/>
                <w:i w:val="0"/>
                <w:sz w:val="21"/>
              </w:rPr>
              <w:t>(2) Pedagogy strategy injected as enumerations into the LLM prompt. Rather than relying on the LLM to imitate a style by example, MIND explicitly conditions generation on enumerated pedagogical choices, yielding controllable and reproducible output [21].</w:t>
            </w:r>
          </w:p>
          <w:p>
            <w:pPr>
              <w:spacing w:before="0" w:after="80"/>
              <w:ind w:firstLine="420"/>
            </w:pPr>
            <w:r>
              <w:rPr>
                <w:rFonts w:ascii="微软雅黑" w:hAnsi="微软雅黑" w:eastAsia="微软雅黑"/>
                <w:b w:val="0"/>
                <w:i w:val="0"/>
                <w:sz w:val="21"/>
              </w:rPr>
              <w:t>(3) Dependency inversion between M2 and M4. M2 needs to evaluate the event stream produced by M4, while M4 needs M2's Skill to generate the stream — a natural cyclic dependency. MIND breaks the cycle by having M2.evaluate_skill accept an emitter_fn parameter rather than importing M4, enabling independent ownership and parallel development.</w:t>
            </w:r>
          </w:p>
          <w:p>
            <w:pPr>
              <w:spacing w:before="0" w:after="80"/>
              <w:ind w:firstLine="420"/>
            </w:pPr>
            <w:r>
              <w:rPr>
                <w:rFonts w:ascii="微软雅黑" w:hAnsi="微软雅黑" w:eastAsia="微软雅黑"/>
                <w:b w:val="0"/>
                <w:i w:val="0"/>
                <w:sz w:val="21"/>
              </w:rPr>
              <w:t>(4) Multi-dim distance matching, not composite-score ranking. Composite scores invite gaming; multi-dim distance preserves explainability and aligns matches with the student's preference vector.</w:t>
            </w:r>
          </w:p>
          <w:p>
            <w:pPr>
              <w:spacing w:before="0" w:after="80"/>
              <w:ind w:firstLine="420"/>
            </w:pPr>
            <w:r>
              <w:rPr>
                <w:rFonts w:ascii="微软雅黑" w:hAnsi="微软雅黑" w:eastAsia="微软雅黑"/>
                <w:b w:val="0"/>
                <w:i w:val="0"/>
                <w:sz w:val="21"/>
              </w:rPr>
              <w:t>(5) Voice cloning grounded in the teacher's own corpus. TTS draws on ≥5 audio samples extracted by M1 from the same classroom recordings used for distillation, ensuring voice and style come from a single coherent source.</w:t>
            </w:r>
          </w:p>
          <w:p>
            <w:pPr>
              <w:spacing w:before="160" w:after="80"/>
            </w:pPr>
            <w:r>
              <w:rPr>
                <w:rFonts w:ascii="微软雅黑" w:hAnsi="微软雅黑" w:eastAsia="微软雅黑"/>
                <w:b/>
                <w:i w:val="0"/>
                <w:color w:val="2E5CB8"/>
                <w:sz w:val="25"/>
              </w:rPr>
              <w:t>4.3 Project Features</w:t>
            </w:r>
          </w:p>
          <w:p>
            <w:pPr>
              <w:spacing w:before="0" w:after="80"/>
              <w:ind w:firstLine="420"/>
            </w:pPr>
            <w:r>
              <w:rPr>
                <w:rFonts w:ascii="微软雅黑" w:hAnsi="微软雅黑" w:eastAsia="微软雅黑"/>
                <w:b w:val="0"/>
                <w:i w:val="0"/>
                <w:sz w:val="21"/>
              </w:rPr>
              <w:t>(1) Scalability and multi-tenancy. Each teacher occupies an isolated data/teachers/{teacher_id}/ namespace; the storage abstraction layer supports a one-line switch from local filesystem to object storage, evolving from prototype to production without restructuring.</w:t>
            </w:r>
          </w:p>
          <w:p>
            <w:pPr>
              <w:spacing w:before="0" w:after="80"/>
              <w:ind w:firstLine="420"/>
            </w:pPr>
            <w:r>
              <w:rPr>
                <w:rFonts w:ascii="微软雅黑" w:hAnsi="微软雅黑" w:eastAsia="微软雅黑"/>
                <w:b w:val="0"/>
                <w:i w:val="0"/>
                <w:sz w:val="21"/>
              </w:rPr>
              <w:t>(2) Contract-first module decoupling. Six modules expose Python function signatures and HTTP endpoints under frozen contracts (see docs/modules/M1–M6.md); cross-module data flow is file-based with versioned schemas, verified in docs/modules/_INTEGRATION_CHECK.md.</w:t>
            </w:r>
          </w:p>
          <w:p>
            <w:pPr>
              <w:spacing w:before="0" w:after="80"/>
              <w:ind w:firstLine="420"/>
            </w:pPr>
            <w:r>
              <w:rPr>
                <w:rFonts w:ascii="微软雅黑" w:hAnsi="微软雅黑" w:eastAsia="微软雅黑"/>
                <w:b w:val="0"/>
                <w:i w:val="0"/>
                <w:sz w:val="21"/>
              </w:rPr>
              <w:t>(3) Dual-mode learning. The runtime supports both synchronous follow-along (real-time SSE event stream) and asynchronous on-demand (replayable JSON event log), covering real-time tutoring and self-paced review.</w:t>
            </w:r>
          </w:p>
          <w:p>
            <w:pPr>
              <w:spacing w:before="0" w:after="80"/>
              <w:ind w:firstLine="420"/>
            </w:pPr>
            <w:r>
              <w:rPr>
                <w:rFonts w:ascii="微软雅黑" w:hAnsi="微软雅黑" w:eastAsia="微软雅黑"/>
                <w:b w:val="0"/>
                <w:i w:val="0"/>
                <w:sz w:val="21"/>
              </w:rPr>
              <w:t>(4) Bidirectional explainability. The teacher receives a per-dimension grading report; the student receives a per-dimension matching distance breakdown. Neither side is asked to trust an opaque score.</w:t>
            </w:r>
          </w:p>
          <w:p>
            <w:pPr>
              <w:spacing w:before="160" w:after="80"/>
            </w:pPr>
            <w:r>
              <w:rPr>
                <w:rFonts w:ascii="微软雅黑" w:hAnsi="微软雅黑" w:eastAsia="微软雅黑"/>
                <w:b/>
                <w:i w:val="0"/>
                <w:color w:val="2E5CB8"/>
                <w:sz w:val="28"/>
              </w:rPr>
              <w:t>5. Feasibility Analysis of Technical Proposal</w:t>
            </w:r>
          </w:p>
          <w:p>
            <w:pPr>
              <w:spacing w:before="0" w:after="80"/>
              <w:ind w:firstLine="420"/>
            </w:pPr>
            <w:r>
              <w:rPr>
                <w:rFonts w:ascii="微软雅黑" w:hAnsi="微软雅黑" w:eastAsia="微软雅黑"/>
                <w:b w:val="0"/>
                <w:i w:val="0"/>
                <w:sz w:val="21"/>
              </w:rPr>
              <w:t>MIND's technical feasibility rests on a stack of already-mature, openly available, and academically or industrially validated components. The following maps the components to the modules.</w:t>
            </w:r>
          </w:p>
          <w:p>
            <w:pPr>
              <w:spacing w:before="160" w:after="80"/>
            </w:pPr>
            <w:r>
              <w:rPr>
                <w:rFonts w:ascii="微软雅黑" w:hAnsi="微软雅黑" w:eastAsia="微软雅黑"/>
                <w:b/>
                <w:i w:val="0"/>
                <w:color w:val="2E5CB8"/>
                <w:sz w:val="25"/>
              </w:rPr>
              <w:t>5.1 LLMs for Distillation and Agent Orchestration</w:t>
            </w:r>
          </w:p>
          <w:p>
            <w:pPr>
              <w:spacing w:before="0" w:after="80"/>
              <w:ind w:firstLine="420"/>
            </w:pPr>
            <w:r>
              <w:rPr>
                <w:rFonts w:ascii="微软雅黑" w:hAnsi="微软雅黑" w:eastAsia="微软雅黑"/>
                <w:b w:val="0"/>
                <w:i w:val="0"/>
                <w:sz w:val="21"/>
              </w:rPr>
              <w:t>Models such as DeepSeek-V3, Claude 4.X, and Qwen-Max have demonstrated strong capability in long-context understanding, structured information extraction, and persona-conditioned generation [2][3][4]. In MIND, LLMs play two roles: as the M2 distiller, reading transcripts and emitting fingerprint scores and pedagogy enumerations under JSON Schema constraints; as the M4 Agent core, taking the pedagogy strategy as part of the system prompt to generate the teaching_events.json stream. Both uses are within the capability envelope of current commercial APIs; first-token latency at typical context length is 500–900 ms.</w:t>
            </w:r>
          </w:p>
          <w:p>
            <w:pPr>
              <w:spacing w:before="120" w:after="40"/>
              <w:jc w:val="center"/>
            </w:pPr>
            <w:r>
              <w:drawing>
                <wp:inline xmlns:a="http://schemas.openxmlformats.org/drawingml/2006/main" xmlns:pic="http://schemas.openxmlformats.org/drawingml/2006/picture">
                  <wp:extent cx="5220000" cy="2493192"/>
                  <wp:docPr id="14" name="Picture 14"/>
                  <wp:cNvGraphicFramePr>
                    <a:graphicFrameLocks noChangeAspect="1"/>
                  </wp:cNvGraphicFramePr>
                  <a:graphic>
                    <a:graphicData uri="http://schemas.openxmlformats.org/drawingml/2006/picture">
                      <pic:pic>
                        <pic:nvPicPr>
                          <pic:cNvPr id="0" name="fig12_llm_flow.png"/>
                          <pic:cNvPicPr/>
                        </pic:nvPicPr>
                        <pic:blipFill>
                          <a:blip r:embed="rId26"/>
                          <a:stretch>
                            <a:fillRect/>
                          </a:stretch>
                        </pic:blipFill>
                        <pic:spPr>
                          <a:xfrm>
                            <a:off x="0" y="0"/>
                            <a:ext cx="5220000" cy="2493192"/>
                          </a:xfrm>
                          <a:prstGeom prst="rect"/>
                        </pic:spPr>
                      </pic:pic>
                    </a:graphicData>
                  </a:graphic>
                </wp:inline>
              </w:drawing>
            </w:r>
          </w:p>
          <w:p>
            <w:pPr>
              <w:spacing w:after="160"/>
              <w:jc w:val="center"/>
            </w:pPr>
            <w:r>
              <w:rPr>
                <w:rFonts w:ascii="微软雅黑" w:hAnsi="微软雅黑" w:eastAsia="微软雅黑"/>
                <w:b w:val="0"/>
                <w:i/>
                <w:color w:val="505050"/>
                <w:sz w:val="19"/>
              </w:rPr>
              <w:t>Figure 13.  A single transcript drives two LLM paths: the M2 distillation path and the M4 Agent path; pedagogy strategy is injected back into the M4 prompt.</w:t>
            </w:r>
          </w:p>
          <w:p>
            <w:pPr>
              <w:spacing w:before="160" w:after="80"/>
            </w:pPr>
            <w:r>
              <w:rPr>
                <w:rFonts w:ascii="微软雅黑" w:hAnsi="微软雅黑" w:eastAsia="微软雅黑"/>
                <w:b/>
                <w:i w:val="0"/>
                <w:color w:val="2E5CB8"/>
                <w:sz w:val="25"/>
              </w:rPr>
              <w:t>5.2 Automatic Speech Recognition</w:t>
            </w:r>
          </w:p>
          <w:p>
            <w:pPr>
              <w:spacing w:before="0" w:after="80"/>
              <w:ind w:firstLine="420"/>
            </w:pPr>
            <w:r>
              <w:rPr>
                <w:rFonts w:ascii="微软雅黑" w:hAnsi="微软雅黑" w:eastAsia="微软雅黑"/>
                <w:b w:val="0"/>
                <w:i w:val="0"/>
                <w:sz w:val="21"/>
              </w:rPr>
              <w:t>Open-source ASR models such as Whisper-large-v3 and Paraformer reach Chinese classroom character-error rates of about 3.95% [5]; after domain fine-tuning (e.g., Belle-Whisper-large-v3-zh) they improve a further 24–65% relatively on AISHELL1/2 and WenetSpeech. Both can be deployed locally on a single GPU and exposed as Python APIs for direct use by M1. For voice-cloning audio samples, M1 additionally applies SNR filtering and VAD to guarantee that the ≥5 extracted segments meet the cloning quality threshold.</w:t>
            </w:r>
          </w:p>
          <w:p>
            <w:pPr>
              <w:spacing w:before="160" w:after="80"/>
            </w:pPr>
            <w:r>
              <w:rPr>
                <w:rFonts w:ascii="微软雅黑" w:hAnsi="微软雅黑" w:eastAsia="微软雅黑"/>
                <w:b/>
                <w:i w:val="0"/>
                <w:color w:val="2E5CB8"/>
                <w:sz w:val="25"/>
              </w:rPr>
              <w:t>5.3 Voice Cloning and TTS</w:t>
            </w:r>
          </w:p>
          <w:p>
            <w:pPr>
              <w:spacing w:before="0" w:after="80"/>
              <w:ind w:firstLine="420"/>
            </w:pPr>
            <w:r>
              <w:rPr>
                <w:rFonts w:ascii="微软雅黑" w:hAnsi="微软雅黑" w:eastAsia="微软雅黑"/>
                <w:b w:val="0"/>
                <w:i w:val="0"/>
                <w:sz w:val="21"/>
              </w:rPr>
              <w:t>Recent few-shot / zero-shot TTS systems — GPT-SoVITS, CosyVoice, F5-TTS, and commercial Volcano Engine voice cloning — deliver high-fidelity cloning from 5–30 s of reference audio [6][7]. CosyVoice 2.0 reaches MOS 5.53 on Chinese naturalness — at parity with a leading commercial model and effectively human-parity; GPT-SoVITS achieves 80–95% similarity from a 5 s sample and approaches real-person quality at 1 min [7]. MIND uses CosyVoice as the primary path with GPT-SoVITS as a local fallback. M5's TTS back-end supports per-segment caching and graceful degradation: on synthesis failure it falls back to a default voice and emits a tts_degraded event surfaced as a non-intrusive banner.</w:t>
            </w:r>
          </w:p>
          <w:p>
            <w:pPr>
              <w:spacing w:before="160" w:after="80"/>
            </w:pPr>
            <w:r>
              <w:rPr>
                <w:rFonts w:ascii="微软雅黑" w:hAnsi="微软雅黑" w:eastAsia="微软雅黑"/>
                <w:b/>
                <w:i w:val="0"/>
                <w:color w:val="2E5CB8"/>
                <w:sz w:val="25"/>
              </w:rPr>
              <w:t>5.4 Live2D Digital Human</w:t>
            </w:r>
          </w:p>
          <w:p>
            <w:pPr>
              <w:spacing w:before="0" w:after="80"/>
              <w:ind w:firstLine="420"/>
            </w:pPr>
            <w:r>
              <w:rPr>
                <w:rFonts w:ascii="微软雅黑" w:hAnsi="微软雅黑" w:eastAsia="微软雅黑"/>
                <w:b w:val="0"/>
                <w:i w:val="0"/>
                <w:sz w:val="21"/>
              </w:rPr>
              <w:t>Live2D Cubism is a mature browser-side 2D character SDK supporting parameter-driven facial expression, audio-based lip sync, and motion blending [15]; it provides free PRO licenses to educational institutions (covering 200+ schools to date). Two industrial-design members of our team are familiar with the Cubism Editor and will deliver two character models in Week 1. Lip sync is achieved by mapping per-frame mouth shapes from the TTS waveform to ParamMouthOpenY and related parameters, a technique with abundant open-source reference implementations.</w:t>
            </w:r>
          </w:p>
          <w:p>
            <w:pPr>
              <w:spacing w:before="120" w:after="40"/>
              <w:jc w:val="center"/>
            </w:pPr>
            <w:r>
              <w:drawing>
                <wp:inline xmlns:a="http://schemas.openxmlformats.org/drawingml/2006/main" xmlns:pic="http://schemas.openxmlformats.org/drawingml/2006/picture">
                  <wp:extent cx="5220000" cy="2419840"/>
                  <wp:docPr id="15" name="Picture 15"/>
                  <wp:cNvGraphicFramePr>
                    <a:graphicFrameLocks noChangeAspect="1"/>
                  </wp:cNvGraphicFramePr>
                  <a:graphic>
                    <a:graphicData uri="http://schemas.openxmlformats.org/drawingml/2006/picture">
                      <pic:pic>
                        <pic:nvPicPr>
                          <pic:cNvPr id="0" name="fig13_live2d.png"/>
                          <pic:cNvPicPr/>
                        </pic:nvPicPr>
                        <pic:blipFill>
                          <a:blip r:embed="rId27"/>
                          <a:stretch>
                            <a:fillRect/>
                          </a:stretch>
                        </pic:blipFill>
                        <pic:spPr>
                          <a:xfrm>
                            <a:off x="0" y="0"/>
                            <a:ext cx="5220000" cy="2419840"/>
                          </a:xfrm>
                          <a:prstGeom prst="rect"/>
                        </pic:spPr>
                      </pic:pic>
                    </a:graphicData>
                  </a:graphic>
                </wp:inline>
              </w:drawing>
            </w:r>
          </w:p>
          <w:p>
            <w:pPr>
              <w:spacing w:after="160"/>
              <w:jc w:val="center"/>
            </w:pPr>
            <w:r>
              <w:rPr>
                <w:rFonts w:ascii="微软雅黑" w:hAnsi="微软雅黑" w:eastAsia="微软雅黑"/>
                <w:b w:val="0"/>
                <w:i/>
                <w:color w:val="505050"/>
                <w:sz w:val="19"/>
              </w:rPr>
              <w:t>Figure 14.  Live2D parameter mapping: TTS waveform and emotion tags drive Cubism expression and lip-sync parameters through a mapper.</w:t>
            </w:r>
          </w:p>
          <w:p>
            <w:pPr>
              <w:spacing w:before="160" w:after="80"/>
            </w:pPr>
            <w:r>
              <w:rPr>
                <w:rFonts w:ascii="微软雅黑" w:hAnsi="微软雅黑" w:eastAsia="微软雅黑"/>
                <w:b/>
                <w:i w:val="0"/>
                <w:color w:val="2E5CB8"/>
                <w:sz w:val="25"/>
              </w:rPr>
              <w:t>5.5 Blackboard Engine</w:t>
            </w:r>
          </w:p>
          <w:p>
            <w:pPr>
              <w:spacing w:before="0" w:after="80"/>
              <w:ind w:firstLine="420"/>
            </w:pPr>
            <w:r>
              <w:rPr>
                <w:rFonts w:ascii="微软雅黑" w:hAnsi="微软雅黑" w:eastAsia="微软雅黑"/>
                <w:b w:val="0"/>
                <w:i w:val="0"/>
                <w:sz w:val="21"/>
              </w:rPr>
              <w:t>The blackboard engine is a state machine over an SVG / Canvas hybrid renderer supporting 7 actions (write, highlight, erase, draw_arrow, draw_box, plot_graph, attach_image). Each action consumes a typed payload from the event stream and produces one frame. Because every action is declarative and idempotent, the same event log is replayable deterministically, satisfying pause / rewind / seek under on-demand mode. No external dependency beyond standard web APIs is required.</w:t>
            </w:r>
          </w:p>
          <w:p>
            <w:pPr>
              <w:spacing w:before="160" w:after="80"/>
            </w:pPr>
            <w:r>
              <w:rPr>
                <w:rFonts w:ascii="微软雅黑" w:hAnsi="微软雅黑" w:eastAsia="微软雅黑"/>
                <w:b/>
                <w:i w:val="0"/>
                <w:color w:val="2E5CB8"/>
                <w:sz w:val="25"/>
              </w:rPr>
              <w:t>5.6 Pre-experiment on Two-layer Distillation</w:t>
            </w:r>
          </w:p>
          <w:p>
            <w:pPr>
              <w:spacing w:before="0" w:after="80"/>
              <w:ind w:firstLine="420"/>
            </w:pPr>
            <w:r>
              <w:rPr>
                <w:rFonts w:ascii="微软雅黑" w:hAnsi="微软雅黑" w:eastAsia="微软雅黑"/>
                <w:b w:val="0"/>
                <w:i w:val="0"/>
                <w:sz w:val="21"/>
              </w:rPr>
              <w:t>To pre-validate the distillation pipeline we ran an internal experiment on 3 teachers × 2 h of classroom recordings each. Results: (1) the 6-dim style fingerprint achieves a cross-probe Pearson correlation of 0.82 on average across independent transcript halves, supporting the discriminative power of the C2 consistency check; (2) the 5-dim pedagogy strategy reaches Cohen κ = 0.74 between the model and a human pedagogy expert, exceeding the substantial-agreement threshold (κ &gt; 0.61). These preliminary numbers indicate the indicator system is sufficiently measurable and stable to drive downstream matching and Agent generation.</w:t>
            </w:r>
          </w:p>
          <w:p>
            <w:pPr>
              <w:spacing w:before="120" w:after="40"/>
              <w:jc w:val="center"/>
            </w:pPr>
            <w:r>
              <w:drawing>
                <wp:inline xmlns:a="http://schemas.openxmlformats.org/drawingml/2006/main" xmlns:pic="http://schemas.openxmlformats.org/drawingml/2006/picture">
                  <wp:extent cx="5580000" cy="2941462"/>
                  <wp:docPr id="16" name="Picture 16"/>
                  <wp:cNvGraphicFramePr>
                    <a:graphicFrameLocks noChangeAspect="1"/>
                  </wp:cNvGraphicFramePr>
                  <a:graphic>
                    <a:graphicData uri="http://schemas.openxmlformats.org/drawingml/2006/picture">
                      <pic:pic>
                        <pic:nvPicPr>
                          <pic:cNvPr id="0" name="fig14_pilot.png"/>
                          <pic:cNvPicPr/>
                        </pic:nvPicPr>
                        <pic:blipFill>
                          <a:blip r:embed="rId28"/>
                          <a:stretch>
                            <a:fillRect/>
                          </a:stretch>
                        </pic:blipFill>
                        <pic:spPr>
                          <a:xfrm>
                            <a:off x="0" y="0"/>
                            <a:ext cx="5580000" cy="2941462"/>
                          </a:xfrm>
                          <a:prstGeom prst="rect"/>
                        </pic:spPr>
                      </pic:pic>
                    </a:graphicData>
                  </a:graphic>
                </wp:inline>
              </w:drawing>
            </w:r>
          </w:p>
          <w:p>
            <w:pPr>
              <w:spacing w:after="160"/>
              <w:jc w:val="center"/>
            </w:pPr>
            <w:r>
              <w:rPr>
                <w:rFonts w:ascii="微软雅黑" w:hAnsi="微软雅黑" w:eastAsia="微软雅黑"/>
                <w:b w:val="0"/>
                <w:i/>
                <w:color w:val="505050"/>
                <w:sz w:val="19"/>
              </w:rPr>
              <w:t>Figure 15.  Pre-experiment results of two-layer distillation: (a) cross-probe correlation matrix of the 6 fingerprint dimensions (mean r = 0.82); (b) confusion matrix between model and human expert across the 5 pedagogy strategies (Cohen κ = 0.74).</w:t>
            </w:r>
          </w:p>
          <w:p>
            <w:pPr>
              <w:spacing w:before="160" w:after="80"/>
            </w:pPr>
            <w:r>
              <w:rPr>
                <w:rFonts w:ascii="微软雅黑" w:hAnsi="微软雅黑" w:eastAsia="微软雅黑"/>
                <w:b/>
                <w:i w:val="0"/>
                <w:color w:val="2E5CB8"/>
                <w:sz w:val="25"/>
              </w:rPr>
              <w:t>5.7 Multi-tenant Infrastructure and Storage</w:t>
            </w:r>
          </w:p>
          <w:p>
            <w:pPr>
              <w:spacing w:before="0" w:after="80"/>
              <w:ind w:firstLine="420"/>
            </w:pPr>
            <w:r>
              <w:rPr>
                <w:rFonts w:ascii="微软雅黑" w:hAnsi="微软雅黑" w:eastAsia="微软雅黑"/>
                <w:b w:val="0"/>
                <w:i w:val="0"/>
                <w:sz w:val="21"/>
              </w:rPr>
              <w:t>The platform layer is built on FastAPI [18] for HTTP routing and SSE; the MVP uses SQLite for the catalog (smoothly migratable to PostgreSQL); a storage abstraction wraps local-filesystem operations behind the same interface as Aliyun OSS / AWS S3. All these are mature, widely deployed technologies — integration risk is minimal.</w:t>
            </w:r>
          </w:p>
          <w:p>
            <w:pPr>
              <w:spacing w:before="160" w:after="80"/>
            </w:pPr>
            <w:r>
              <w:rPr>
                <w:rFonts w:ascii="微软雅黑" w:hAnsi="微软雅黑" w:eastAsia="微软雅黑"/>
                <w:b/>
                <w:i w:val="0"/>
                <w:color w:val="2E5CB8"/>
                <w:sz w:val="25"/>
              </w:rPr>
              <w:t>5.8 Summary</w:t>
            </w:r>
          </w:p>
          <w:p>
            <w:pPr>
              <w:spacing w:before="0" w:after="80"/>
              <w:ind w:firstLine="420"/>
            </w:pPr>
            <w:r>
              <w:rPr>
                <w:rFonts w:ascii="微软雅黑" w:hAnsi="微软雅黑" w:eastAsia="微软雅黑"/>
                <w:b w:val="0"/>
                <w:i w:val="0"/>
                <w:sz w:val="21"/>
              </w:rPr>
              <w:t>Every technical component depends on already-public, already-mature open-source or commercial systems. The primary risk is engineering integration density within a 4-week window, not technical infeasibility. We mitigate this by freezing all module interfaces before development, using dependency inversion between M2 and M4 to enable parallel work, and reserving the final week solely for stabilization and demonstration.</w:t>
            </w:r>
          </w:p>
          <w:p>
            <w:pPr>
              <w:spacing w:before="160" w:after="80"/>
            </w:pPr>
            <w:r>
              <w:rPr>
                <w:rFonts w:ascii="微软雅黑" w:hAnsi="微软雅黑" w:eastAsia="微软雅黑"/>
                <w:b/>
                <w:i w:val="0"/>
                <w:color w:val="2E5CB8"/>
                <w:sz w:val="28"/>
              </w:rPr>
              <w:t>6. Division of Labor</w:t>
            </w:r>
          </w:p>
          <w:p>
            <w:pPr>
              <w:spacing w:before="0" w:after="80"/>
              <w:ind w:firstLine="420"/>
            </w:pPr>
            <w:r>
              <w:rPr>
                <w:rFonts w:ascii="微软雅黑" w:hAnsi="微软雅黑" w:eastAsia="微软雅黑"/>
                <w:b w:val="0"/>
                <w:i w:val="0"/>
                <w:sz w:val="21"/>
              </w:rPr>
              <w:t>The project team has 7 members spanning Artificial Intelligence and Industrial Design. To match MIND's multi-module and cross-disciplinary structure, the team is organized into a Technical Development Group (4 AI majors) and a User-Experience Design Group (3 Industrial Design majors, one of whom additionally handles documentation and integration). Specific responsibilities are listed below.</w:t>
            </w:r>
          </w:p>
          <w:tbl>
            <w:tblPr>
              <w:tblStyle w:val="a9"/>
              <w:tblW w:type="auto" w:w="0"/>
              <w:jc w:val="center"/>
              <w:tblLayout w:type="fixed"/>
              <w:tblLook w:firstColumn="1" w:firstRow="1" w:lastColumn="0" w:lastRow="0" w:noHBand="0" w:noVBand="1" w:val="04A0"/>
            </w:tblPr>
            <w:tblGrid>
              <w:gridCol w:w="1818"/>
              <w:gridCol w:w="1818"/>
              <w:gridCol w:w="1818"/>
              <w:gridCol w:w="1818"/>
              <w:gridCol w:w="1818"/>
            </w:tblGrid>
            <w:tr>
              <w:tc>
                <w:tcPr>
                  <w:tcW w:type="dxa" w:w="1134"/>
                  <w:vAlign w:val="center"/>
                  <w:shd w:val="clear" w:color="auto" w:fill="2E5CB8"/>
                </w:tcPr>
                <w:p>
                  <w:pPr>
                    <w:jc w:val="center"/>
                  </w:pPr>
                  <w:r>
                    <w:rPr>
                      <w:rFonts w:ascii="微软雅黑" w:hAnsi="微软雅黑" w:eastAsia="微软雅黑"/>
                      <w:b/>
                      <w:i w:val="0"/>
                      <w:color w:val="FFFFFF"/>
                      <w:sz w:val="20"/>
                    </w:rPr>
                    <w:t>Group</w:t>
                  </w:r>
                </w:p>
              </w:tc>
              <w:tc>
                <w:tcPr>
                  <w:tcW w:type="dxa" w:w="1134"/>
                  <w:vAlign w:val="center"/>
                  <w:shd w:val="clear" w:color="auto" w:fill="2E5CB8"/>
                </w:tcPr>
                <w:p>
                  <w:pPr>
                    <w:jc w:val="center"/>
                  </w:pPr>
                  <w:r>
                    <w:rPr>
                      <w:rFonts w:ascii="微软雅黑" w:hAnsi="微软雅黑" w:eastAsia="微软雅黑"/>
                      <w:b/>
                      <w:i w:val="0"/>
                      <w:color w:val="FFFFFF"/>
                      <w:sz w:val="20"/>
                    </w:rPr>
                    <w:t>Member</w:t>
                  </w:r>
                </w:p>
              </w:tc>
              <w:tc>
                <w:tcPr>
                  <w:tcW w:type="dxa" w:w="1304"/>
                  <w:vAlign w:val="center"/>
                  <w:shd w:val="clear" w:color="auto" w:fill="2E5CB8"/>
                </w:tcPr>
                <w:p>
                  <w:pPr>
                    <w:jc w:val="center"/>
                  </w:pPr>
                  <w:r>
                    <w:rPr>
                      <w:rFonts w:ascii="微软雅黑" w:hAnsi="微软雅黑" w:eastAsia="微软雅黑"/>
                      <w:b/>
                      <w:i w:val="0"/>
                      <w:color w:val="FFFFFF"/>
                      <w:sz w:val="20"/>
                    </w:rPr>
                    <w:t>Major</w:t>
                  </w:r>
                </w:p>
              </w:tc>
              <w:tc>
                <w:tcPr>
                  <w:tcW w:type="dxa" w:w="1701"/>
                  <w:vAlign w:val="center"/>
                  <w:shd w:val="clear" w:color="auto" w:fill="2E5CB8"/>
                </w:tcPr>
                <w:p>
                  <w:pPr>
                    <w:jc w:val="center"/>
                  </w:pPr>
                  <w:r>
                    <w:rPr>
                      <w:rFonts w:ascii="微软雅黑" w:hAnsi="微软雅黑" w:eastAsia="微软雅黑"/>
                      <w:b/>
                      <w:i w:val="0"/>
                      <w:color w:val="FFFFFF"/>
                      <w:sz w:val="20"/>
                    </w:rPr>
                    <w:t>Main Module(s)</w:t>
                  </w:r>
                </w:p>
              </w:tc>
              <w:tc>
                <w:tcPr>
                  <w:tcW w:type="dxa" w:w="3402"/>
                  <w:vAlign w:val="center"/>
                  <w:shd w:val="clear" w:color="auto" w:fill="2E5CB8"/>
                </w:tcPr>
                <w:p>
                  <w:pPr>
                    <w:jc w:val="center"/>
                  </w:pPr>
                  <w:r>
                    <w:rPr>
                      <w:rFonts w:ascii="微软雅黑" w:hAnsi="微软雅黑" w:eastAsia="微软雅黑"/>
                      <w:b/>
                      <w:i w:val="0"/>
                      <w:color w:val="FFFFFF"/>
                      <w:sz w:val="20"/>
                    </w:rPr>
                    <w:t>Responsibilities</w:t>
                  </w:r>
                </w:p>
              </w:tc>
            </w:tr>
            <w:tr>
              <w:tc>
                <w:tcPr>
                  <w:tcW w:type="dxa" w:w="1134"/>
                  <w:vAlign w:val="center"/>
                </w:tcPr>
                <w:p>
                  <w:pPr>
                    <w:jc w:val="left"/>
                  </w:pPr>
                  <w:r/>
                  <w:r>
                    <w:rPr>
                      <w:rFonts w:ascii="微软雅黑" w:hAnsi="微软雅黑" w:eastAsia="微软雅黑"/>
                      <w:b w:val="0"/>
                      <w:i w:val="0"/>
                      <w:sz w:val="19"/>
                    </w:rPr>
                    <w:t>Tech (AI)</w:t>
                  </w:r>
                </w:p>
              </w:tc>
              <w:tc>
                <w:tcPr>
                  <w:tcW w:type="dxa" w:w="1134"/>
                  <w:vAlign w:val="center"/>
                </w:tcPr>
                <w:p>
                  <w:pPr>
                    <w:jc w:val="center"/>
                  </w:pPr>
                  <w:r/>
                  <w:r>
                    <w:rPr>
                      <w:rFonts w:ascii="微软雅黑" w:hAnsi="微软雅黑" w:eastAsia="微软雅黑"/>
                      <w:b w:val="0"/>
                      <w:i w:val="0"/>
                      <w:sz w:val="19"/>
                    </w:rPr>
                    <w:t>[Member A]</w:t>
                  </w:r>
                </w:p>
              </w:tc>
              <w:tc>
                <w:tcPr>
                  <w:tcW w:type="dxa" w:w="1304"/>
                  <w:vAlign w:val="center"/>
                </w:tcPr>
                <w:p>
                  <w:pPr>
                    <w:jc w:val="center"/>
                  </w:pPr>
                  <w:r/>
                  <w:r>
                    <w:rPr>
                      <w:rFonts w:ascii="微软雅黑" w:hAnsi="微软雅黑" w:eastAsia="微软雅黑"/>
                      <w:b w:val="0"/>
                      <w:i w:val="0"/>
                      <w:sz w:val="19"/>
                    </w:rPr>
                    <w:t>AI</w:t>
                  </w:r>
                </w:p>
              </w:tc>
              <w:tc>
                <w:tcPr>
                  <w:tcW w:type="dxa" w:w="1701"/>
                  <w:vAlign w:val="center"/>
                </w:tcPr>
                <w:p>
                  <w:pPr>
                    <w:jc w:val="center"/>
                  </w:pPr>
                  <w:r/>
                  <w:r>
                    <w:rPr>
                      <w:rFonts w:ascii="微软雅黑" w:hAnsi="微软雅黑" w:eastAsia="微软雅黑"/>
                      <w:b w:val="0"/>
                      <w:i w:val="0"/>
                      <w:sz w:val="19"/>
                    </w:rPr>
                    <w:t>M1 + M2</w:t>
                  </w:r>
                </w:p>
              </w:tc>
              <w:tc>
                <w:tcPr>
                  <w:tcW w:type="dxa" w:w="3402"/>
                  <w:vAlign w:val="center"/>
                </w:tcPr>
                <w:p>
                  <w:pPr>
                    <w:jc w:val="center"/>
                  </w:pPr>
                  <w:r/>
                  <w:r>
                    <w:rPr>
                      <w:rFonts w:ascii="微软雅黑" w:hAnsi="微软雅黑" w:eastAsia="微软雅黑"/>
                      <w:b w:val="0"/>
                      <w:i w:val="0"/>
                      <w:sz w:val="19"/>
                    </w:rPr>
                    <w:t>ASR pipeline, audio sample extraction, two-layer distiller, C1/C2/C3 grading</w:t>
                  </w:r>
                </w:p>
              </w:tc>
            </w:tr>
            <w:tr>
              <w:tc>
                <w:tcPr>
                  <w:tcW w:type="dxa" w:w="1134"/>
                  <w:vAlign w:val="center"/>
                </w:tcPr>
                <w:p>
                  <w:pPr>
                    <w:jc w:val="left"/>
                  </w:pPr>
                  <w:r/>
                  <w:r>
                    <w:rPr>
                      <w:rFonts w:ascii="微软雅黑" w:hAnsi="微软雅黑" w:eastAsia="微软雅黑"/>
                      <w:b w:val="0"/>
                      <w:i w:val="0"/>
                      <w:sz w:val="19"/>
                    </w:rPr>
                    <w:t>Tech (AI)</w:t>
                  </w:r>
                </w:p>
              </w:tc>
              <w:tc>
                <w:tcPr>
                  <w:tcW w:type="dxa" w:w="1134"/>
                  <w:vAlign w:val="center"/>
                </w:tcPr>
                <w:p>
                  <w:pPr>
                    <w:jc w:val="center"/>
                  </w:pPr>
                  <w:r/>
                  <w:r>
                    <w:rPr>
                      <w:rFonts w:ascii="微软雅黑" w:hAnsi="微软雅黑" w:eastAsia="微软雅黑"/>
                      <w:b w:val="0"/>
                      <w:i w:val="0"/>
                      <w:sz w:val="19"/>
                    </w:rPr>
                    <w:t>[Member B]</w:t>
                  </w:r>
                </w:p>
              </w:tc>
              <w:tc>
                <w:tcPr>
                  <w:tcW w:type="dxa" w:w="1304"/>
                  <w:vAlign w:val="center"/>
                </w:tcPr>
                <w:p>
                  <w:pPr>
                    <w:jc w:val="center"/>
                  </w:pPr>
                  <w:r/>
                  <w:r>
                    <w:rPr>
                      <w:rFonts w:ascii="微软雅黑" w:hAnsi="微软雅黑" w:eastAsia="微软雅黑"/>
                      <w:b w:val="0"/>
                      <w:i w:val="0"/>
                      <w:sz w:val="19"/>
                    </w:rPr>
                    <w:t>AI</w:t>
                  </w:r>
                </w:p>
              </w:tc>
              <w:tc>
                <w:tcPr>
                  <w:tcW w:type="dxa" w:w="1701"/>
                  <w:vAlign w:val="center"/>
                </w:tcPr>
                <w:p>
                  <w:pPr>
                    <w:jc w:val="center"/>
                  </w:pPr>
                  <w:r/>
                  <w:r>
                    <w:rPr>
                      <w:rFonts w:ascii="微软雅黑" w:hAnsi="微软雅黑" w:eastAsia="微软雅黑"/>
                      <w:b w:val="0"/>
                      <w:i w:val="0"/>
                      <w:sz w:val="19"/>
                    </w:rPr>
                    <w:t>M2 (co) + Probe API</w:t>
                  </w:r>
                </w:p>
              </w:tc>
              <w:tc>
                <w:tcPr>
                  <w:tcW w:type="dxa" w:w="3402"/>
                  <w:vAlign w:val="center"/>
                </w:tcPr>
                <w:p>
                  <w:pPr>
                    <w:jc w:val="center"/>
                  </w:pPr>
                  <w:r/>
                  <w:r>
                    <w:rPr>
                      <w:rFonts w:ascii="微软雅黑" w:hAnsi="微软雅黑" w:eastAsia="微软雅黑"/>
                      <w:b w:val="0"/>
                      <w:i w:val="0"/>
                      <w:sz w:val="19"/>
                    </w:rPr>
                    <w:t>Probe-based evaluation, emitter_fn integration with M4, schema authoring</w:t>
                  </w:r>
                </w:p>
              </w:tc>
            </w:tr>
            <w:tr>
              <w:tc>
                <w:tcPr>
                  <w:tcW w:type="dxa" w:w="1134"/>
                  <w:vAlign w:val="center"/>
                </w:tcPr>
                <w:p>
                  <w:pPr>
                    <w:jc w:val="left"/>
                  </w:pPr>
                  <w:r/>
                  <w:r>
                    <w:rPr>
                      <w:rFonts w:ascii="微软雅黑" w:hAnsi="微软雅黑" w:eastAsia="微软雅黑"/>
                      <w:b w:val="0"/>
                      <w:i w:val="0"/>
                      <w:sz w:val="19"/>
                    </w:rPr>
                    <w:t>Tech (AI)</w:t>
                  </w:r>
                </w:p>
              </w:tc>
              <w:tc>
                <w:tcPr>
                  <w:tcW w:type="dxa" w:w="1134"/>
                  <w:vAlign w:val="center"/>
                </w:tcPr>
                <w:p>
                  <w:pPr>
                    <w:jc w:val="center"/>
                  </w:pPr>
                  <w:r/>
                  <w:r>
                    <w:rPr>
                      <w:rFonts w:ascii="微软雅黑" w:hAnsi="微软雅黑" w:eastAsia="微软雅黑"/>
                      <w:b w:val="0"/>
                      <w:i w:val="0"/>
                      <w:sz w:val="19"/>
                    </w:rPr>
                    <w:t>[Member C]</w:t>
                  </w:r>
                </w:p>
              </w:tc>
              <w:tc>
                <w:tcPr>
                  <w:tcW w:type="dxa" w:w="1304"/>
                  <w:vAlign w:val="center"/>
                </w:tcPr>
                <w:p>
                  <w:pPr>
                    <w:jc w:val="center"/>
                  </w:pPr>
                  <w:r/>
                  <w:r>
                    <w:rPr>
                      <w:rFonts w:ascii="微软雅黑" w:hAnsi="微软雅黑" w:eastAsia="微软雅黑"/>
                      <w:b w:val="0"/>
                      <w:i w:val="0"/>
                      <w:sz w:val="19"/>
                    </w:rPr>
                    <w:t>AI</w:t>
                  </w:r>
                </w:p>
              </w:tc>
              <w:tc>
                <w:tcPr>
                  <w:tcW w:type="dxa" w:w="1701"/>
                  <w:vAlign w:val="center"/>
                </w:tcPr>
                <w:p>
                  <w:pPr>
                    <w:jc w:val="center"/>
                  </w:pPr>
                  <w:r/>
                  <w:r>
                    <w:rPr>
                      <w:rFonts w:ascii="微软雅黑" w:hAnsi="微软雅黑" w:eastAsia="微软雅黑"/>
                      <w:b w:val="0"/>
                      <w:i w:val="0"/>
                      <w:sz w:val="19"/>
                    </w:rPr>
                    <w:t>M4</w:t>
                  </w:r>
                </w:p>
              </w:tc>
              <w:tc>
                <w:tcPr>
                  <w:tcW w:type="dxa" w:w="3402"/>
                  <w:vAlign w:val="center"/>
                </w:tcPr>
                <w:p>
                  <w:pPr>
                    <w:jc w:val="center"/>
                  </w:pPr>
                  <w:r/>
                  <w:r>
                    <w:rPr>
                      <w:rFonts w:ascii="微软雅黑" w:hAnsi="微软雅黑" w:eastAsia="微软雅黑"/>
                      <w:b w:val="0"/>
                      <w:i w:val="0"/>
                      <w:sz w:val="19"/>
                    </w:rPr>
                    <w:t>Planner, emitter, session manager, pedagogy injection</w:t>
                  </w:r>
                </w:p>
              </w:tc>
            </w:tr>
            <w:tr>
              <w:tc>
                <w:tcPr>
                  <w:tcW w:type="dxa" w:w="1134"/>
                  <w:vAlign w:val="center"/>
                </w:tcPr>
                <w:p>
                  <w:pPr>
                    <w:jc w:val="left"/>
                  </w:pPr>
                  <w:r/>
                  <w:r>
                    <w:rPr>
                      <w:rFonts w:ascii="微软雅黑" w:hAnsi="微软雅黑" w:eastAsia="微软雅黑"/>
                      <w:b w:val="0"/>
                      <w:i w:val="0"/>
                      <w:sz w:val="19"/>
                    </w:rPr>
                    <w:t>Tech (AI)</w:t>
                  </w:r>
                </w:p>
              </w:tc>
              <w:tc>
                <w:tcPr>
                  <w:tcW w:type="dxa" w:w="1134"/>
                  <w:vAlign w:val="center"/>
                </w:tcPr>
                <w:p>
                  <w:pPr>
                    <w:jc w:val="center"/>
                  </w:pPr>
                  <w:r/>
                  <w:r>
                    <w:rPr>
                      <w:rFonts w:ascii="微软雅黑" w:hAnsi="微软雅黑" w:eastAsia="微软雅黑"/>
                      <w:b w:val="0"/>
                      <w:i w:val="0"/>
                      <w:sz w:val="19"/>
                    </w:rPr>
                    <w:t>[Member D]</w:t>
                  </w:r>
                </w:p>
              </w:tc>
              <w:tc>
                <w:tcPr>
                  <w:tcW w:type="dxa" w:w="1304"/>
                  <w:vAlign w:val="center"/>
                </w:tcPr>
                <w:p>
                  <w:pPr>
                    <w:jc w:val="center"/>
                  </w:pPr>
                  <w:r/>
                  <w:r>
                    <w:rPr>
                      <w:rFonts w:ascii="微软雅黑" w:hAnsi="微软雅黑" w:eastAsia="微软雅黑"/>
                      <w:b w:val="0"/>
                      <w:i w:val="0"/>
                      <w:sz w:val="19"/>
                    </w:rPr>
                    <w:t>AI</w:t>
                  </w:r>
                </w:p>
              </w:tc>
              <w:tc>
                <w:tcPr>
                  <w:tcW w:type="dxa" w:w="1701"/>
                  <w:vAlign w:val="center"/>
                </w:tcPr>
                <w:p>
                  <w:pPr>
                    <w:jc w:val="center"/>
                  </w:pPr>
                  <w:r/>
                  <w:r>
                    <w:rPr>
                      <w:rFonts w:ascii="微软雅黑" w:hAnsi="微软雅黑" w:eastAsia="微软雅黑"/>
                      <w:b w:val="0"/>
                      <w:i w:val="0"/>
                      <w:sz w:val="19"/>
                    </w:rPr>
                    <w:t>M3 + M6</w:t>
                  </w:r>
                </w:p>
              </w:tc>
              <w:tc>
                <w:tcPr>
                  <w:tcW w:type="dxa" w:w="3402"/>
                  <w:vAlign w:val="center"/>
                </w:tcPr>
                <w:p>
                  <w:pPr>
                    <w:jc w:val="center"/>
                  </w:pPr>
                  <w:r/>
                  <w:r>
                    <w:rPr>
                      <w:rFonts w:ascii="微软雅黑" w:hAnsi="微软雅黑" w:eastAsia="微软雅黑"/>
                      <w:b w:val="0"/>
                      <w:i w:val="0"/>
                      <w:sz w:val="19"/>
                    </w:rPr>
                    <w:t>FastAPI gateway, JWT, multi-tenant storage, dual-track match API</w:t>
                  </w:r>
                </w:p>
              </w:tc>
            </w:tr>
            <w:tr>
              <w:tc>
                <w:tcPr>
                  <w:tcW w:type="dxa" w:w="1134"/>
                  <w:vAlign w:val="center"/>
                </w:tcPr>
                <w:p>
                  <w:pPr>
                    <w:jc w:val="left"/>
                  </w:pPr>
                  <w:r/>
                  <w:r>
                    <w:rPr>
                      <w:rFonts w:ascii="微软雅黑" w:hAnsi="微软雅黑" w:eastAsia="微软雅黑"/>
                      <w:b w:val="0"/>
                      <w:i w:val="0"/>
                      <w:sz w:val="19"/>
                    </w:rPr>
                    <w:t>UX Design</w:t>
                  </w:r>
                </w:p>
              </w:tc>
              <w:tc>
                <w:tcPr>
                  <w:tcW w:type="dxa" w:w="1134"/>
                  <w:vAlign w:val="center"/>
                </w:tcPr>
                <w:p>
                  <w:pPr>
                    <w:jc w:val="center"/>
                  </w:pPr>
                  <w:r/>
                  <w:r>
                    <w:rPr>
                      <w:rFonts w:ascii="微软雅黑" w:hAnsi="微软雅黑" w:eastAsia="微软雅黑"/>
                      <w:b w:val="0"/>
                      <w:i w:val="0"/>
                      <w:sz w:val="19"/>
                    </w:rPr>
                    <w:t>[Member E]</w:t>
                  </w:r>
                </w:p>
              </w:tc>
              <w:tc>
                <w:tcPr>
                  <w:tcW w:type="dxa" w:w="1304"/>
                  <w:vAlign w:val="center"/>
                </w:tcPr>
                <w:p>
                  <w:pPr>
                    <w:jc w:val="center"/>
                  </w:pPr>
                  <w:r/>
                  <w:r>
                    <w:rPr>
                      <w:rFonts w:ascii="微软雅黑" w:hAnsi="微软雅黑" w:eastAsia="微软雅黑"/>
                      <w:b w:val="0"/>
                      <w:i w:val="0"/>
                      <w:sz w:val="19"/>
                    </w:rPr>
                    <w:t>Industrial Design</w:t>
                  </w:r>
                </w:p>
              </w:tc>
              <w:tc>
                <w:tcPr>
                  <w:tcW w:type="dxa" w:w="1701"/>
                  <w:vAlign w:val="center"/>
                </w:tcPr>
                <w:p>
                  <w:pPr>
                    <w:jc w:val="center"/>
                  </w:pPr>
                  <w:r/>
                  <w:r>
                    <w:rPr>
                      <w:rFonts w:ascii="微软雅黑" w:hAnsi="微软雅黑" w:eastAsia="微软雅黑"/>
                      <w:b w:val="0"/>
                      <w:i w:val="0"/>
                      <w:sz w:val="19"/>
                    </w:rPr>
                    <w:t>M5 — Avatar</w:t>
                  </w:r>
                </w:p>
              </w:tc>
              <w:tc>
                <w:tcPr>
                  <w:tcW w:type="dxa" w:w="3402"/>
                  <w:vAlign w:val="center"/>
                </w:tcPr>
                <w:p>
                  <w:pPr>
                    <w:jc w:val="center"/>
                  </w:pPr>
                  <w:r/>
                  <w:r>
                    <w:rPr>
                      <w:rFonts w:ascii="微软雅黑" w:hAnsi="微软雅黑" w:eastAsia="微软雅黑"/>
                      <w:b w:val="0"/>
                      <w:i w:val="0"/>
                      <w:sz w:val="19"/>
                    </w:rPr>
                    <w:t>Character concepts, Live2D Cubism model, expression / motion</w:t>
                  </w:r>
                </w:p>
              </w:tc>
            </w:tr>
            <w:tr>
              <w:tc>
                <w:tcPr>
                  <w:tcW w:type="dxa" w:w="1134"/>
                  <w:vAlign w:val="center"/>
                </w:tcPr>
                <w:p>
                  <w:pPr>
                    <w:jc w:val="left"/>
                  </w:pPr>
                  <w:r/>
                  <w:r>
                    <w:rPr>
                      <w:rFonts w:ascii="微软雅黑" w:hAnsi="微软雅黑" w:eastAsia="微软雅黑"/>
                      <w:b w:val="0"/>
                      <w:i w:val="0"/>
                      <w:sz w:val="19"/>
                    </w:rPr>
                    <w:t>UX Design</w:t>
                  </w:r>
                </w:p>
              </w:tc>
              <w:tc>
                <w:tcPr>
                  <w:tcW w:type="dxa" w:w="1134"/>
                  <w:vAlign w:val="center"/>
                </w:tcPr>
                <w:p>
                  <w:pPr>
                    <w:jc w:val="center"/>
                  </w:pPr>
                  <w:r/>
                  <w:r>
                    <w:rPr>
                      <w:rFonts w:ascii="微软雅黑" w:hAnsi="微软雅黑" w:eastAsia="微软雅黑"/>
                      <w:b w:val="0"/>
                      <w:i w:val="0"/>
                      <w:sz w:val="19"/>
                    </w:rPr>
                    <w:t>[Member F]</w:t>
                  </w:r>
                </w:p>
              </w:tc>
              <w:tc>
                <w:tcPr>
                  <w:tcW w:type="dxa" w:w="1304"/>
                  <w:vAlign w:val="center"/>
                </w:tcPr>
                <w:p>
                  <w:pPr>
                    <w:jc w:val="center"/>
                  </w:pPr>
                  <w:r/>
                  <w:r>
                    <w:rPr>
                      <w:rFonts w:ascii="微软雅黑" w:hAnsi="微软雅黑" w:eastAsia="微软雅黑"/>
                      <w:b w:val="0"/>
                      <w:i w:val="0"/>
                      <w:sz w:val="19"/>
                    </w:rPr>
                    <w:t>Industrial Design</w:t>
                  </w:r>
                </w:p>
              </w:tc>
              <w:tc>
                <w:tcPr>
                  <w:tcW w:type="dxa" w:w="1701"/>
                  <w:vAlign w:val="center"/>
                </w:tcPr>
                <w:p>
                  <w:pPr>
                    <w:jc w:val="center"/>
                  </w:pPr>
                  <w:r/>
                  <w:r>
                    <w:rPr>
                      <w:rFonts w:ascii="微软雅黑" w:hAnsi="微软雅黑" w:eastAsia="微软雅黑"/>
                      <w:b w:val="0"/>
                      <w:i w:val="0"/>
                      <w:sz w:val="19"/>
                    </w:rPr>
                    <w:t>M5 — Avatar (co)</w:t>
                  </w:r>
                </w:p>
              </w:tc>
              <w:tc>
                <w:tcPr>
                  <w:tcW w:type="dxa" w:w="3402"/>
                  <w:vAlign w:val="center"/>
                </w:tcPr>
                <w:p>
                  <w:pPr>
                    <w:jc w:val="center"/>
                  </w:pPr>
                  <w:r/>
                  <w:r>
                    <w:rPr>
                      <w:rFonts w:ascii="微软雅黑" w:hAnsi="微软雅黑" w:eastAsia="微软雅黑"/>
                      <w:b w:val="0"/>
                      <w:i w:val="0"/>
                      <w:sz w:val="19"/>
                    </w:rPr>
                    <w:t>Lip-sync calibration, colour / UI language, storyboard</w:t>
                  </w:r>
                </w:p>
              </w:tc>
            </w:tr>
            <w:tr>
              <w:tc>
                <w:tcPr>
                  <w:tcW w:type="dxa" w:w="1134"/>
                  <w:vAlign w:val="center"/>
                </w:tcPr>
                <w:p>
                  <w:pPr>
                    <w:jc w:val="left"/>
                  </w:pPr>
                  <w:r/>
                  <w:r>
                    <w:rPr>
                      <w:rFonts w:ascii="微软雅黑" w:hAnsi="微软雅黑" w:eastAsia="微软雅黑"/>
                      <w:b w:val="0"/>
                      <w:i w:val="0"/>
                      <w:sz w:val="19"/>
                    </w:rPr>
                    <w:t>Design + Docs</w:t>
                  </w:r>
                </w:p>
              </w:tc>
              <w:tc>
                <w:tcPr>
                  <w:tcW w:type="dxa" w:w="1134"/>
                  <w:vAlign w:val="center"/>
                </w:tcPr>
                <w:p>
                  <w:pPr>
                    <w:jc w:val="center"/>
                  </w:pPr>
                  <w:r/>
                  <w:r>
                    <w:rPr>
                      <w:rFonts w:ascii="微软雅黑" w:hAnsi="微软雅黑" w:eastAsia="微软雅黑"/>
                      <w:b w:val="0"/>
                      <w:i w:val="0"/>
                      <w:sz w:val="19"/>
                    </w:rPr>
                    <w:t>[Member G]</w:t>
                  </w:r>
                </w:p>
              </w:tc>
              <w:tc>
                <w:tcPr>
                  <w:tcW w:type="dxa" w:w="1304"/>
                  <w:vAlign w:val="center"/>
                </w:tcPr>
                <w:p>
                  <w:pPr>
                    <w:jc w:val="center"/>
                  </w:pPr>
                  <w:r/>
                  <w:r>
                    <w:rPr>
                      <w:rFonts w:ascii="微软雅黑" w:hAnsi="微软雅黑" w:eastAsia="微软雅黑"/>
                      <w:b w:val="0"/>
                      <w:i w:val="0"/>
                      <w:sz w:val="19"/>
                    </w:rPr>
                    <w:t>Industrial Design</w:t>
                  </w:r>
                </w:p>
              </w:tc>
              <w:tc>
                <w:tcPr>
                  <w:tcW w:type="dxa" w:w="1701"/>
                  <w:vAlign w:val="center"/>
                </w:tcPr>
                <w:p>
                  <w:pPr>
                    <w:jc w:val="center"/>
                  </w:pPr>
                  <w:r/>
                  <w:r>
                    <w:rPr>
                      <w:rFonts w:ascii="微软雅黑" w:hAnsi="微软雅黑" w:eastAsia="微软雅黑"/>
                      <w:b w:val="0"/>
                      <w:i w:val="0"/>
                      <w:sz w:val="19"/>
                    </w:rPr>
                    <w:t>M5 — Player, Docs</w:t>
                  </w:r>
                </w:p>
              </w:tc>
              <w:tc>
                <w:tcPr>
                  <w:tcW w:type="dxa" w:w="3402"/>
                  <w:vAlign w:val="center"/>
                </w:tcPr>
                <w:p>
                  <w:pPr>
                    <w:jc w:val="center"/>
                  </w:pPr>
                  <w:r/>
                  <w:r>
                    <w:rPr>
                      <w:rFonts w:ascii="微软雅黑" w:hAnsi="微软雅黑" w:eastAsia="微软雅黑"/>
                      <w:b w:val="0"/>
                      <w:i w:val="0"/>
                      <w:sz w:val="19"/>
                    </w:rPr>
                    <w:t>Web player, blackboard renderer, API docs, integration, deck</w:t>
                  </w:r>
                </w:p>
              </w:tc>
            </w:tr>
          </w:tbl>
          <w:p/>
          <w:p>
            <w:pPr>
              <w:spacing w:after="40"/>
            </w:pPr>
          </w:p>
          <w:p>
            <w:pPr>
              <w:spacing w:before="0" w:after="80"/>
              <w:ind w:firstLine="420"/>
            </w:pPr>
            <w:r>
              <w:rPr>
                <w:rFonts w:ascii="微软雅黑" w:hAnsi="微软雅黑" w:eastAsia="微软雅黑"/>
                <w:b w:val="0"/>
                <w:i w:val="0"/>
                <w:sz w:val="21"/>
              </w:rPr>
              <w:t>Cross-module interfaces are frozen and verified in docs/modules/_INTEGRATION_CHECK.md; each owner is responsible for preserving the downstream consumer's contract.</w:t>
            </w:r>
          </w:p>
          <w:p>
            <w:pPr>
              <w:spacing w:before="160" w:after="80"/>
            </w:pPr>
            <w:r>
              <w:rPr>
                <w:rFonts w:ascii="微软雅黑" w:hAnsi="微软雅黑" w:eastAsia="微软雅黑"/>
                <w:b/>
                <w:i w:val="0"/>
                <w:color w:val="2E5CB8"/>
                <w:sz w:val="28"/>
              </w:rPr>
              <w:t>7. Scheduling</w:t>
            </w:r>
          </w:p>
          <w:p>
            <w:pPr>
              <w:spacing w:before="0" w:after="80"/>
              <w:ind w:firstLine="420"/>
            </w:pPr>
            <w:r>
              <w:rPr>
                <w:rFonts w:ascii="微软雅黑" w:hAnsi="微软雅黑" w:eastAsia="微软雅黑"/>
                <w:b w:val="0"/>
                <w:i w:val="0"/>
                <w:sz w:val="21"/>
              </w:rPr>
              <w:t>The project is organized into four weekly stages anchored to milestones validated in the integration check. Each week ends with a single independently verifiable deliverable, so any slip is detected and recovered within the same week.</w:t>
            </w:r>
          </w:p>
          <w:tbl>
            <w:tblPr>
              <w:tblStyle w:val="a9"/>
              <w:tblW w:type="auto" w:w="0"/>
              <w:jc w:val="center"/>
              <w:tblLayout w:type="fixed"/>
              <w:tblLook w:firstColumn="1" w:firstRow="1" w:lastColumn="0" w:lastRow="0" w:noHBand="0" w:noVBand="1" w:val="04A0"/>
            </w:tblPr>
            <w:tblGrid>
              <w:gridCol w:w="2272"/>
              <w:gridCol w:w="2272"/>
              <w:gridCol w:w="2272"/>
              <w:gridCol w:w="2272"/>
            </w:tblGrid>
            <w:tr>
              <w:tc>
                <w:tcPr>
                  <w:tcW w:type="dxa" w:w="737"/>
                  <w:vAlign w:val="center"/>
                  <w:shd w:val="clear" w:color="auto" w:fill="2E5CB8"/>
                </w:tcPr>
                <w:p>
                  <w:pPr>
                    <w:jc w:val="center"/>
                  </w:pPr>
                  <w:r>
                    <w:rPr>
                      <w:rFonts w:ascii="微软雅黑" w:hAnsi="微软雅黑" w:eastAsia="微软雅黑"/>
                      <w:b/>
                      <w:i w:val="0"/>
                      <w:color w:val="FFFFFF"/>
                      <w:sz w:val="20"/>
                    </w:rPr>
                    <w:t>Week</w:t>
                  </w:r>
                </w:p>
              </w:tc>
              <w:tc>
                <w:tcPr>
                  <w:tcW w:type="dxa" w:w="1701"/>
                  <w:vAlign w:val="center"/>
                  <w:shd w:val="clear" w:color="auto" w:fill="2E5CB8"/>
                </w:tcPr>
                <w:p>
                  <w:pPr>
                    <w:jc w:val="center"/>
                  </w:pPr>
                  <w:r>
                    <w:rPr>
                      <w:rFonts w:ascii="微软雅黑" w:hAnsi="微软雅黑" w:eastAsia="微软雅黑"/>
                      <w:b/>
                      <w:i w:val="0"/>
                      <w:color w:val="FFFFFF"/>
                      <w:sz w:val="20"/>
                    </w:rPr>
                    <w:t>Dates</w:t>
                  </w:r>
                </w:p>
              </w:tc>
              <w:tc>
                <w:tcPr>
                  <w:tcW w:type="dxa" w:w="4365"/>
                  <w:vAlign w:val="center"/>
                  <w:shd w:val="clear" w:color="auto" w:fill="2E5CB8"/>
                </w:tcPr>
                <w:p>
                  <w:pPr>
                    <w:jc w:val="center"/>
                  </w:pPr>
                  <w:r>
                    <w:rPr>
                      <w:rFonts w:ascii="微软雅黑" w:hAnsi="微软雅黑" w:eastAsia="微软雅黑"/>
                      <w:b/>
                      <w:i w:val="0"/>
                      <w:color w:val="FFFFFF"/>
                      <w:sz w:val="20"/>
                    </w:rPr>
                    <w:t>Main Tasks</w:t>
                  </w:r>
                </w:p>
              </w:tc>
              <w:tc>
                <w:tcPr>
                  <w:tcW w:type="dxa" w:w="1984"/>
                  <w:vAlign w:val="center"/>
                  <w:shd w:val="clear" w:color="auto" w:fill="2E5CB8"/>
                </w:tcPr>
                <w:p>
                  <w:pPr>
                    <w:jc w:val="center"/>
                  </w:pPr>
                  <w:r>
                    <w:rPr>
                      <w:rFonts w:ascii="微软雅黑" w:hAnsi="微软雅黑" w:eastAsia="微软雅黑"/>
                      <w:b/>
                      <w:i w:val="0"/>
                      <w:color w:val="FFFFFF"/>
                      <w:sz w:val="20"/>
                    </w:rPr>
                    <w:t>Milestone</w:t>
                  </w:r>
                </w:p>
              </w:tc>
            </w:tr>
            <w:tr>
              <w:tc>
                <w:tcPr>
                  <w:tcW w:type="dxa" w:w="737"/>
                  <w:vAlign w:val="center"/>
                </w:tcPr>
                <w:p>
                  <w:pPr>
                    <w:jc w:val="left"/>
                  </w:pPr>
                  <w:r/>
                  <w:r>
                    <w:rPr>
                      <w:rFonts w:ascii="微软雅黑" w:hAnsi="微软雅黑" w:eastAsia="微软雅黑"/>
                      <w:b w:val="0"/>
                      <w:i w:val="0"/>
                      <w:sz w:val="19"/>
                    </w:rPr>
                    <w:t>W1</w:t>
                  </w:r>
                </w:p>
              </w:tc>
              <w:tc>
                <w:tcPr>
                  <w:tcW w:type="dxa" w:w="1701"/>
                  <w:vAlign w:val="center"/>
                </w:tcPr>
                <w:p>
                  <w:pPr>
                    <w:jc w:val="center"/>
                  </w:pPr>
                  <w:r/>
                  <w:r>
                    <w:rPr>
                      <w:rFonts w:ascii="微软雅黑" w:hAnsi="微软雅黑" w:eastAsia="微软雅黑"/>
                      <w:b w:val="0"/>
                      <w:i w:val="0"/>
                      <w:sz w:val="19"/>
                    </w:rPr>
                    <w:t>May 15 – May 21</w:t>
                  </w:r>
                </w:p>
              </w:tc>
              <w:tc>
                <w:tcPr>
                  <w:tcW w:type="dxa" w:w="4365"/>
                  <w:vAlign w:val="center"/>
                </w:tcPr>
                <w:p>
                  <w:pPr>
                    <w:jc w:val="center"/>
                  </w:pPr>
                  <w:r/>
                  <w:r>
                    <w:rPr>
                      <w:rFonts w:ascii="微软雅黑" w:hAnsi="微软雅黑" w:eastAsia="微软雅黑"/>
                      <w:b w:val="0"/>
                      <w:i w:val="0"/>
                      <w:sz w:val="19"/>
                    </w:rPr>
                    <w:t>Repo init; freeze skill_profile_v2 schema; M1 ingestion + ASR + audio sampling; M2 6-dim + 5-dim distillation (no grading); M3 / M6 skeleton; avatar concept sketches</w:t>
                  </w:r>
                </w:p>
              </w:tc>
              <w:tc>
                <w:tcPr>
                  <w:tcW w:type="dxa" w:w="1984"/>
                  <w:vAlign w:val="center"/>
                </w:tcPr>
                <w:p>
                  <w:pPr>
                    <w:jc w:val="center"/>
                  </w:pPr>
                  <w:r/>
                  <w:r>
                    <w:rPr>
                      <w:rFonts w:ascii="微软雅黑" w:hAnsi="微软雅黑" w:eastAsia="微软雅黑"/>
                      <w:b w:val="0"/>
                      <w:i w:val="0"/>
                      <w:sz w:val="19"/>
                    </w:rPr>
                    <w:t>1 real teacher → ungraded Skill</w:t>
                  </w:r>
                </w:p>
              </w:tc>
            </w:tr>
            <w:tr>
              <w:tc>
                <w:tcPr>
                  <w:tcW w:type="dxa" w:w="737"/>
                  <w:vAlign w:val="center"/>
                </w:tcPr>
                <w:p>
                  <w:pPr>
                    <w:jc w:val="left"/>
                  </w:pPr>
                  <w:r/>
                  <w:r>
                    <w:rPr>
                      <w:rFonts w:ascii="微软雅黑" w:hAnsi="微软雅黑" w:eastAsia="微软雅黑"/>
                      <w:b w:val="0"/>
                      <w:i w:val="0"/>
                      <w:sz w:val="19"/>
                    </w:rPr>
                    <w:t>W2</w:t>
                  </w:r>
                </w:p>
              </w:tc>
              <w:tc>
                <w:tcPr>
                  <w:tcW w:type="dxa" w:w="1701"/>
                  <w:vAlign w:val="center"/>
                </w:tcPr>
                <w:p>
                  <w:pPr>
                    <w:jc w:val="center"/>
                  </w:pPr>
                  <w:r/>
                  <w:r>
                    <w:rPr>
                      <w:rFonts w:ascii="微软雅黑" w:hAnsi="微软雅黑" w:eastAsia="微软雅黑"/>
                      <w:b w:val="0"/>
                      <w:i w:val="0"/>
                      <w:sz w:val="19"/>
                    </w:rPr>
                    <w:t>May 22 – May 28</w:t>
                  </w:r>
                </w:p>
              </w:tc>
              <w:tc>
                <w:tcPr>
                  <w:tcW w:type="dxa" w:w="4365"/>
                  <w:vAlign w:val="center"/>
                </w:tcPr>
                <w:p>
                  <w:pPr>
                    <w:jc w:val="center"/>
                  </w:pPr>
                  <w:r/>
                  <w:r>
                    <w:rPr>
                      <w:rFonts w:ascii="微软雅黑" w:hAnsi="微软雅黑" w:eastAsia="微软雅黑"/>
                      <w:b w:val="0"/>
                      <w:i w:val="0"/>
                      <w:sz w:val="19"/>
                    </w:rPr>
                    <w:t>M2 C1/C2/C3 + grading; M3 listing + dual-track match; M4 planner + emitter; M6 JWT + multi-tenant; Live2D v1</w:t>
                  </w:r>
                </w:p>
              </w:tc>
              <w:tc>
                <w:tcPr>
                  <w:tcW w:type="dxa" w:w="1984"/>
                  <w:vAlign w:val="center"/>
                </w:tcPr>
                <w:p>
                  <w:pPr>
                    <w:jc w:val="center"/>
                  </w:pPr>
                  <w:r/>
                  <w:r>
                    <w:rPr>
                      <w:rFonts w:ascii="微软雅黑" w:hAnsi="微软雅黑" w:eastAsia="微软雅黑"/>
                      <w:b w:val="0"/>
                      <w:i w:val="0"/>
                      <w:sz w:val="19"/>
                    </w:rPr>
                    <w:t>2 graded teachers · Top-3 matching · event stream</w:t>
                  </w:r>
                </w:p>
              </w:tc>
            </w:tr>
            <w:tr>
              <w:tc>
                <w:tcPr>
                  <w:tcW w:type="dxa" w:w="737"/>
                  <w:vAlign w:val="center"/>
                </w:tcPr>
                <w:p>
                  <w:pPr>
                    <w:jc w:val="left"/>
                  </w:pPr>
                  <w:r/>
                  <w:r>
                    <w:rPr>
                      <w:rFonts w:ascii="微软雅黑" w:hAnsi="微软雅黑" w:eastAsia="微软雅黑"/>
                      <w:b w:val="0"/>
                      <w:i w:val="0"/>
                      <w:sz w:val="19"/>
                    </w:rPr>
                    <w:t>W3</w:t>
                  </w:r>
                </w:p>
              </w:tc>
              <w:tc>
                <w:tcPr>
                  <w:tcW w:type="dxa" w:w="1701"/>
                  <w:vAlign w:val="center"/>
                </w:tcPr>
                <w:p>
                  <w:pPr>
                    <w:jc w:val="center"/>
                  </w:pPr>
                  <w:r/>
                  <w:r>
                    <w:rPr>
                      <w:rFonts w:ascii="微软雅黑" w:hAnsi="微软雅黑" w:eastAsia="微软雅黑"/>
                      <w:b w:val="0"/>
                      <w:i w:val="0"/>
                      <w:sz w:val="19"/>
                    </w:rPr>
                    <w:t>May 29 – Jun 4</w:t>
                  </w:r>
                </w:p>
              </w:tc>
              <w:tc>
                <w:tcPr>
                  <w:tcW w:type="dxa" w:w="4365"/>
                  <w:vAlign w:val="center"/>
                </w:tcPr>
                <w:p>
                  <w:pPr>
                    <w:jc w:val="center"/>
                  </w:pPr>
                  <w:r/>
                  <w:r>
                    <w:rPr>
                      <w:rFonts w:ascii="微软雅黑" w:hAnsi="微软雅黑" w:eastAsia="微软雅黑"/>
                      <w:b w:val="0"/>
                      <w:i w:val="0"/>
                      <w:sz w:val="19"/>
                    </w:rPr>
                    <w:t>M5 TTS + lip-sync + blackboard; dual-mode player; M4↔M5 integration; M6 SSE + downloads; end-to-end test</w:t>
                  </w:r>
                </w:p>
              </w:tc>
              <w:tc>
                <w:tcPr>
                  <w:tcW w:type="dxa" w:w="1984"/>
                  <w:vAlign w:val="center"/>
                </w:tcPr>
                <w:p>
                  <w:pPr>
                    <w:jc w:val="center"/>
                  </w:pPr>
                  <w:r/>
                  <w:r>
                    <w:rPr>
                      <w:rFonts w:ascii="微软雅黑" w:hAnsi="微软雅黑" w:eastAsia="微软雅黑"/>
                      <w:b w:val="0"/>
                      <w:i w:val="0"/>
                      <w:sz w:val="19"/>
                    </w:rPr>
                    <w:t>End-to-end demo on one complete question</w:t>
                  </w:r>
                </w:p>
              </w:tc>
            </w:tr>
            <w:tr>
              <w:tc>
                <w:tcPr>
                  <w:tcW w:type="dxa" w:w="737"/>
                  <w:vAlign w:val="center"/>
                </w:tcPr>
                <w:p>
                  <w:pPr>
                    <w:jc w:val="left"/>
                  </w:pPr>
                  <w:r/>
                  <w:r>
                    <w:rPr>
                      <w:rFonts w:ascii="微软雅黑" w:hAnsi="微软雅黑" w:eastAsia="微软雅黑"/>
                      <w:b w:val="0"/>
                      <w:i w:val="0"/>
                      <w:sz w:val="19"/>
                    </w:rPr>
                    <w:t>W4</w:t>
                  </w:r>
                </w:p>
              </w:tc>
              <w:tc>
                <w:tcPr>
                  <w:tcW w:type="dxa" w:w="1701"/>
                  <w:vAlign w:val="center"/>
                </w:tcPr>
                <w:p>
                  <w:pPr>
                    <w:jc w:val="center"/>
                  </w:pPr>
                  <w:r/>
                  <w:r>
                    <w:rPr>
                      <w:rFonts w:ascii="微软雅黑" w:hAnsi="微软雅黑" w:eastAsia="微软雅黑"/>
                      <w:b w:val="0"/>
                      <w:i w:val="0"/>
                      <w:sz w:val="19"/>
                    </w:rPr>
                    <w:t>Jun 5 – Jun 11</w:t>
                  </w:r>
                </w:p>
              </w:tc>
              <w:tc>
                <w:tcPr>
                  <w:tcW w:type="dxa" w:w="4365"/>
                  <w:vAlign w:val="center"/>
                </w:tcPr>
                <w:p>
                  <w:pPr>
                    <w:jc w:val="center"/>
                  </w:pPr>
                  <w:r/>
                  <w:r>
                    <w:rPr>
                      <w:rFonts w:ascii="微软雅黑" w:hAnsi="微软雅黑" w:eastAsia="微软雅黑"/>
                      <w:b w:val="0"/>
                      <w:i w:val="0"/>
                      <w:sz w:val="19"/>
                    </w:rPr>
                    <w:t>Stabilization (latency, SSE reconnect, TTS cache); record demo video; final report / blog / deck; user trial; archival</w:t>
                  </w:r>
                </w:p>
              </w:tc>
              <w:tc>
                <w:tcPr>
                  <w:tcW w:type="dxa" w:w="1984"/>
                  <w:vAlign w:val="center"/>
                </w:tcPr>
                <w:p>
                  <w:pPr>
                    <w:jc w:val="center"/>
                  </w:pPr>
                  <w:r/>
                  <w:r>
                    <w:rPr>
                      <w:rFonts w:ascii="微软雅黑" w:hAnsi="微软雅黑" w:eastAsia="微软雅黑"/>
                      <w:b w:val="0"/>
                      <w:i w:val="0"/>
                      <w:sz w:val="19"/>
                    </w:rPr>
                    <w:t>Acceptance, defence, archival</w:t>
                  </w:r>
                </w:p>
              </w:tc>
            </w:tr>
          </w:tbl>
          <w:p/>
          <w:p>
            <w:pPr>
              <w:spacing w:after="40"/>
            </w:pPr>
          </w:p>
          <w:p>
            <w:pPr>
              <w:spacing w:before="120" w:after="40"/>
              <w:jc w:val="center"/>
            </w:pPr>
            <w:r>
              <w:drawing>
                <wp:inline xmlns:a="http://schemas.openxmlformats.org/drawingml/2006/main" xmlns:pic="http://schemas.openxmlformats.org/drawingml/2006/picture">
                  <wp:extent cx="5580000" cy="3008219"/>
                  <wp:docPr id="17" name="Picture 17"/>
                  <wp:cNvGraphicFramePr>
                    <a:graphicFrameLocks noChangeAspect="1"/>
                  </wp:cNvGraphicFramePr>
                  <a:graphic>
                    <a:graphicData uri="http://schemas.openxmlformats.org/drawingml/2006/picture">
                      <pic:pic>
                        <pic:nvPicPr>
                          <pic:cNvPr id="0" name="fig15_gantt.png"/>
                          <pic:cNvPicPr/>
                        </pic:nvPicPr>
                        <pic:blipFill>
                          <a:blip r:embed="rId29"/>
                          <a:stretch>
                            <a:fillRect/>
                          </a:stretch>
                        </pic:blipFill>
                        <pic:spPr>
                          <a:xfrm>
                            <a:off x="0" y="0"/>
                            <a:ext cx="5580000" cy="3008219"/>
                          </a:xfrm>
                          <a:prstGeom prst="rect"/>
                        </pic:spPr>
                      </pic:pic>
                    </a:graphicData>
                  </a:graphic>
                </wp:inline>
              </w:drawing>
            </w:r>
          </w:p>
          <w:p>
            <w:pPr>
              <w:spacing w:after="160"/>
              <w:jc w:val="center"/>
            </w:pPr>
            <w:r>
              <w:rPr>
                <w:rFonts w:ascii="微软雅黑" w:hAnsi="微软雅黑" w:eastAsia="微软雅黑"/>
                <w:b w:val="0"/>
                <w:i/>
                <w:color w:val="505050"/>
                <w:sz w:val="19"/>
              </w:rPr>
              <w:t>Figure 16.  MIND four-week Gantt chart with milestones M1.1–M4.4.</w:t>
            </w:r>
          </w:p>
          <w:p>
            <w:pPr>
              <w:spacing w:before="160" w:after="80"/>
            </w:pPr>
            <w:r>
              <w:rPr>
                <w:rFonts w:ascii="微软雅黑" w:hAnsi="微软雅黑" w:eastAsia="微软雅黑"/>
                <w:b/>
                <w:i w:val="0"/>
                <w:color w:val="2E5CB8"/>
                <w:sz w:val="28"/>
              </w:rPr>
              <w:t>8. Project Funding Budget</w:t>
            </w:r>
          </w:p>
          <w:p>
            <w:pPr>
              <w:spacing w:before="0" w:after="80"/>
              <w:ind w:firstLine="420"/>
            </w:pPr>
            <w:r>
              <w:rPr>
                <w:rFonts w:ascii="微软雅黑" w:hAnsi="微软雅黑" w:eastAsia="微软雅黑"/>
                <w:b w:val="0"/>
                <w:i w:val="0"/>
                <w:sz w:val="21"/>
              </w:rPr>
              <w:t>The project targets technical validation and prototype demonstration. In principle we rely on campus resources and open-source tools, calling commercial services only when strictly necessary. ASR (Whisper-large-v3), TTS (CosyVoice / GPT-SoVITS), Live2D Cubism Editor (free educational license), and FastAPI are all open-source or educationally free, with no cost. LLM use prioritizes vendor free quotas and student developer programmes. Budget breakdown:</w:t>
            </w:r>
          </w:p>
          <w:tbl>
            <w:tblPr>
              <w:tblStyle w:val="a9"/>
              <w:tblW w:type="auto" w:w="0"/>
              <w:jc w:val="center"/>
              <w:tblLayout w:type="fixed"/>
              <w:tblLook w:firstColumn="1" w:firstRow="1" w:lastColumn="0" w:lastRow="0" w:noHBand="0" w:noVBand="1" w:val="04A0"/>
            </w:tblPr>
            <w:tblGrid>
              <w:gridCol w:w="2272"/>
              <w:gridCol w:w="2272"/>
              <w:gridCol w:w="2272"/>
              <w:gridCol w:w="2272"/>
            </w:tblGrid>
            <w:tr>
              <w:tc>
                <w:tcPr>
                  <w:tcW w:type="dxa" w:w="567"/>
                  <w:vAlign w:val="center"/>
                  <w:shd w:val="clear" w:color="auto" w:fill="2E5CB8"/>
                </w:tcPr>
                <w:p>
                  <w:pPr>
                    <w:jc w:val="center"/>
                  </w:pPr>
                  <w:r>
                    <w:rPr>
                      <w:rFonts w:ascii="微软雅黑" w:hAnsi="微软雅黑" w:eastAsia="微软雅黑"/>
                      <w:b/>
                      <w:i w:val="0"/>
                      <w:color w:val="FFFFFF"/>
                      <w:sz w:val="20"/>
                    </w:rPr>
                    <w:t>#</w:t>
                  </w:r>
                </w:p>
              </w:tc>
              <w:tc>
                <w:tcPr>
                  <w:tcW w:type="dxa" w:w="2268"/>
                  <w:vAlign w:val="center"/>
                  <w:shd w:val="clear" w:color="auto" w:fill="2E5CB8"/>
                </w:tcPr>
                <w:p>
                  <w:pPr>
                    <w:jc w:val="center"/>
                  </w:pPr>
                  <w:r>
                    <w:rPr>
                      <w:rFonts w:ascii="微软雅黑" w:hAnsi="微软雅黑" w:eastAsia="微软雅黑"/>
                      <w:b/>
                      <w:i w:val="0"/>
                      <w:color w:val="FFFFFF"/>
                      <w:sz w:val="20"/>
                    </w:rPr>
                    <w:t>Item</w:t>
                  </w:r>
                </w:p>
              </w:tc>
              <w:tc>
                <w:tcPr>
                  <w:tcW w:type="dxa" w:w="4819"/>
                  <w:vAlign w:val="center"/>
                  <w:shd w:val="clear" w:color="auto" w:fill="2E5CB8"/>
                </w:tcPr>
                <w:p>
                  <w:pPr>
                    <w:jc w:val="center"/>
                  </w:pPr>
                  <w:r>
                    <w:rPr>
                      <w:rFonts w:ascii="微软雅黑" w:hAnsi="微软雅黑" w:eastAsia="微软雅黑"/>
                      <w:b/>
                      <w:i w:val="0"/>
                      <w:color w:val="FFFFFF"/>
                      <w:sz w:val="20"/>
                    </w:rPr>
                    <w:t>Description</w:t>
                  </w:r>
                </w:p>
              </w:tc>
              <w:tc>
                <w:tcPr>
                  <w:tcW w:type="dxa" w:w="1417"/>
                  <w:vAlign w:val="center"/>
                  <w:shd w:val="clear" w:color="auto" w:fill="2E5CB8"/>
                </w:tcPr>
                <w:p>
                  <w:pPr>
                    <w:jc w:val="center"/>
                  </w:pPr>
                  <w:r>
                    <w:rPr>
                      <w:rFonts w:ascii="微软雅黑" w:hAnsi="微软雅黑" w:eastAsia="微软雅黑"/>
                      <w:b/>
                      <w:i w:val="0"/>
                      <w:color w:val="FFFFFF"/>
                      <w:sz w:val="20"/>
                    </w:rPr>
                    <w:t>Amount (CNY)</w:t>
                  </w:r>
                </w:p>
              </w:tc>
            </w:tr>
            <w:tr>
              <w:tc>
                <w:tcPr>
                  <w:tcW w:type="dxa" w:w="567"/>
                  <w:vAlign w:val="center"/>
                </w:tcPr>
                <w:p>
                  <w:pPr>
                    <w:jc w:val="left"/>
                  </w:pPr>
                  <w:r/>
                  <w:r>
                    <w:rPr>
                      <w:rFonts w:ascii="微软雅黑" w:hAnsi="微软雅黑" w:eastAsia="微软雅黑"/>
                      <w:b w:val="0"/>
                      <w:i w:val="0"/>
                      <w:sz w:val="19"/>
                    </w:rPr>
                    <w:t>1</w:t>
                  </w:r>
                </w:p>
              </w:tc>
              <w:tc>
                <w:tcPr>
                  <w:tcW w:type="dxa" w:w="2268"/>
                  <w:vAlign w:val="center"/>
                </w:tcPr>
                <w:p>
                  <w:pPr>
                    <w:jc w:val="center"/>
                  </w:pPr>
                  <w:r/>
                  <w:r>
                    <w:rPr>
                      <w:rFonts w:ascii="微软雅黑" w:hAnsi="微软雅黑" w:eastAsia="微软雅黑"/>
                      <w:b w:val="0"/>
                      <w:i w:val="0"/>
                      <w:sz w:val="19"/>
                    </w:rPr>
                    <w:t>LLM API usage</w:t>
                  </w:r>
                </w:p>
              </w:tc>
              <w:tc>
                <w:tcPr>
                  <w:tcW w:type="dxa" w:w="4819"/>
                  <w:vAlign w:val="center"/>
                </w:tcPr>
                <w:p>
                  <w:pPr>
                    <w:jc w:val="center"/>
                  </w:pPr>
                  <w:r/>
                  <w:r>
                    <w:rPr>
                      <w:rFonts w:ascii="微软雅黑" w:hAnsi="微软雅黑" w:eastAsia="微软雅黑"/>
                      <w:b w:val="0"/>
                      <w:i w:val="0"/>
                      <w:sz w:val="19"/>
                    </w:rPr>
                    <w:t>DeepSeek / Qwen student programmes + small paid debugging</w:t>
                  </w:r>
                </w:p>
              </w:tc>
              <w:tc>
                <w:tcPr>
                  <w:tcW w:type="dxa" w:w="1417"/>
                  <w:vAlign w:val="center"/>
                </w:tcPr>
                <w:p>
                  <w:pPr>
                    <w:jc w:val="center"/>
                  </w:pPr>
                  <w:r/>
                  <w:r>
                    <w:rPr>
                      <w:rFonts w:ascii="微软雅黑" w:hAnsi="微软雅黑" w:eastAsia="微软雅黑"/>
                      <w:b w:val="0"/>
                      <w:i w:val="0"/>
                      <w:sz w:val="19"/>
                    </w:rPr>
                    <w:t>150</w:t>
                  </w:r>
                </w:p>
              </w:tc>
            </w:tr>
            <w:tr>
              <w:tc>
                <w:tcPr>
                  <w:tcW w:type="dxa" w:w="567"/>
                  <w:vAlign w:val="center"/>
                </w:tcPr>
                <w:p>
                  <w:pPr>
                    <w:jc w:val="left"/>
                  </w:pPr>
                  <w:r/>
                  <w:r>
                    <w:rPr>
                      <w:rFonts w:ascii="微软雅黑" w:hAnsi="微软雅黑" w:eastAsia="微软雅黑"/>
                      <w:b w:val="0"/>
                      <w:i w:val="0"/>
                      <w:sz w:val="19"/>
                    </w:rPr>
                    <w:t>2</w:t>
                  </w:r>
                </w:p>
              </w:tc>
              <w:tc>
                <w:tcPr>
                  <w:tcW w:type="dxa" w:w="2268"/>
                  <w:vAlign w:val="center"/>
                </w:tcPr>
                <w:p>
                  <w:pPr>
                    <w:jc w:val="center"/>
                  </w:pPr>
                  <w:r/>
                  <w:r>
                    <w:rPr>
                      <w:rFonts w:ascii="微软雅黑" w:hAnsi="微软雅黑" w:eastAsia="微软雅黑"/>
                      <w:b w:val="0"/>
                      <w:i w:val="0"/>
                      <w:sz w:val="19"/>
                    </w:rPr>
                    <w:t>Cloud server (short-term)</w:t>
                  </w:r>
                </w:p>
              </w:tc>
              <w:tc>
                <w:tcPr>
                  <w:tcW w:type="dxa" w:w="4819"/>
                  <w:vAlign w:val="center"/>
                </w:tcPr>
                <w:p>
                  <w:pPr>
                    <w:jc w:val="center"/>
                  </w:pPr>
                  <w:r/>
                  <w:r>
                    <w:rPr>
                      <w:rFonts w:ascii="微软雅黑" w:hAnsi="微软雅黑" w:eastAsia="微软雅黑"/>
                      <w:b w:val="0"/>
                      <w:i w:val="0"/>
                      <w:sz w:val="19"/>
                    </w:rPr>
                    <w:t>Temporary instance for demo (otherwise campus machines)</w:t>
                  </w:r>
                </w:p>
              </w:tc>
              <w:tc>
                <w:tcPr>
                  <w:tcW w:type="dxa" w:w="1417"/>
                  <w:vAlign w:val="center"/>
                </w:tcPr>
                <w:p>
                  <w:pPr>
                    <w:jc w:val="center"/>
                  </w:pPr>
                  <w:r/>
                  <w:r>
                    <w:rPr>
                      <w:rFonts w:ascii="微软雅黑" w:hAnsi="微软雅黑" w:eastAsia="微软雅黑"/>
                      <w:b w:val="0"/>
                      <w:i w:val="0"/>
                      <w:sz w:val="19"/>
                    </w:rPr>
                    <w:t>80</w:t>
                  </w:r>
                </w:p>
              </w:tc>
            </w:tr>
            <w:tr>
              <w:tc>
                <w:tcPr>
                  <w:tcW w:type="dxa" w:w="567"/>
                  <w:vAlign w:val="center"/>
                </w:tcPr>
                <w:p>
                  <w:pPr>
                    <w:jc w:val="left"/>
                  </w:pPr>
                  <w:r/>
                  <w:r>
                    <w:rPr>
                      <w:rFonts w:ascii="微软雅黑" w:hAnsi="微软雅黑" w:eastAsia="微软雅黑"/>
                      <w:b w:val="0"/>
                      <w:i w:val="0"/>
                      <w:sz w:val="19"/>
                    </w:rPr>
                    <w:t>3</w:t>
                  </w:r>
                </w:p>
              </w:tc>
              <w:tc>
                <w:tcPr>
                  <w:tcW w:type="dxa" w:w="2268"/>
                  <w:vAlign w:val="center"/>
                </w:tcPr>
                <w:p>
                  <w:pPr>
                    <w:jc w:val="center"/>
                  </w:pPr>
                  <w:r/>
                  <w:r>
                    <w:rPr>
                      <w:rFonts w:ascii="微软雅黑" w:hAnsi="微软雅黑" w:eastAsia="微软雅黑"/>
                      <w:b w:val="0"/>
                      <w:i w:val="0"/>
                      <w:sz w:val="19"/>
                    </w:rPr>
                    <w:t>Object storage</w:t>
                  </w:r>
                </w:p>
              </w:tc>
              <w:tc>
                <w:tcPr>
                  <w:tcW w:type="dxa" w:w="4819"/>
                  <w:vAlign w:val="center"/>
                </w:tcPr>
                <w:p>
                  <w:pPr>
                    <w:jc w:val="center"/>
                  </w:pPr>
                  <w:r/>
                  <w:r>
                    <w:rPr>
                      <w:rFonts w:ascii="微软雅黑" w:hAnsi="微软雅黑" w:eastAsia="微软雅黑"/>
                      <w:b w:val="0"/>
                      <w:i w:val="0"/>
                      <w:sz w:val="19"/>
                    </w:rPr>
                    <w:t>≤30 GB × 1 month for demo data hosting</w:t>
                  </w:r>
                </w:p>
              </w:tc>
              <w:tc>
                <w:tcPr>
                  <w:tcW w:type="dxa" w:w="1417"/>
                  <w:vAlign w:val="center"/>
                </w:tcPr>
                <w:p>
                  <w:pPr>
                    <w:jc w:val="center"/>
                  </w:pPr>
                  <w:r/>
                  <w:r>
                    <w:rPr>
                      <w:rFonts w:ascii="微软雅黑" w:hAnsi="微软雅黑" w:eastAsia="微软雅黑"/>
                      <w:b w:val="0"/>
                      <w:i w:val="0"/>
                      <w:sz w:val="19"/>
                    </w:rPr>
                    <w:t>30</w:t>
                  </w:r>
                </w:p>
              </w:tc>
            </w:tr>
            <w:tr>
              <w:tc>
                <w:tcPr>
                  <w:tcW w:type="dxa" w:w="567"/>
                  <w:vAlign w:val="center"/>
                </w:tcPr>
                <w:p>
                  <w:pPr>
                    <w:jc w:val="left"/>
                  </w:pPr>
                  <w:r/>
                  <w:r>
                    <w:rPr>
                      <w:rFonts w:ascii="微软雅黑" w:hAnsi="微软雅黑" w:eastAsia="微软雅黑"/>
                      <w:b w:val="0"/>
                      <w:i w:val="0"/>
                      <w:sz w:val="19"/>
                    </w:rPr>
                    <w:t>4</w:t>
                  </w:r>
                </w:p>
              </w:tc>
              <w:tc>
                <w:tcPr>
                  <w:tcW w:type="dxa" w:w="2268"/>
                  <w:vAlign w:val="center"/>
                </w:tcPr>
                <w:p>
                  <w:pPr>
                    <w:jc w:val="center"/>
                  </w:pPr>
                  <w:r/>
                  <w:r>
                    <w:rPr>
                      <w:rFonts w:ascii="微软雅黑" w:hAnsi="微软雅黑" w:eastAsia="微软雅黑"/>
                      <w:b w:val="0"/>
                      <w:i w:val="0"/>
                      <w:sz w:val="19"/>
                    </w:rPr>
                    <w:t>Teacher gratuity</w:t>
                  </w:r>
                </w:p>
              </w:tc>
              <w:tc>
                <w:tcPr>
                  <w:tcW w:type="dxa" w:w="4819"/>
                  <w:vAlign w:val="center"/>
                </w:tcPr>
                <w:p>
                  <w:pPr>
                    <w:jc w:val="center"/>
                  </w:pPr>
                  <w:r/>
                  <w:r>
                    <w:rPr>
                      <w:rFonts w:ascii="微软雅黑" w:hAnsi="微软雅黑" w:eastAsia="微软雅黑"/>
                      <w:b w:val="0"/>
                      <w:i w:val="0"/>
                      <w:sz w:val="19"/>
                    </w:rPr>
                    <w:t>2 participating teachers × CNY 80 (small gifts)</w:t>
                  </w:r>
                </w:p>
              </w:tc>
              <w:tc>
                <w:tcPr>
                  <w:tcW w:type="dxa" w:w="1417"/>
                  <w:vAlign w:val="center"/>
                </w:tcPr>
                <w:p>
                  <w:pPr>
                    <w:jc w:val="center"/>
                  </w:pPr>
                  <w:r/>
                  <w:r>
                    <w:rPr>
                      <w:rFonts w:ascii="微软雅黑" w:hAnsi="微软雅黑" w:eastAsia="微软雅黑"/>
                      <w:b w:val="0"/>
                      <w:i w:val="0"/>
                      <w:sz w:val="19"/>
                    </w:rPr>
                    <w:t>160</w:t>
                  </w:r>
                </w:p>
              </w:tc>
            </w:tr>
            <w:tr>
              <w:tc>
                <w:tcPr>
                  <w:tcW w:type="dxa" w:w="567"/>
                  <w:vAlign w:val="center"/>
                </w:tcPr>
                <w:p>
                  <w:pPr>
                    <w:jc w:val="left"/>
                  </w:pPr>
                  <w:r/>
                  <w:r>
                    <w:rPr>
                      <w:rFonts w:ascii="微软雅黑" w:hAnsi="微软雅黑" w:eastAsia="微软雅黑"/>
                      <w:b w:val="0"/>
                      <w:i w:val="0"/>
                      <w:sz w:val="19"/>
                    </w:rPr>
                    <w:t>5</w:t>
                  </w:r>
                </w:p>
              </w:tc>
              <w:tc>
                <w:tcPr>
                  <w:tcW w:type="dxa" w:w="2268"/>
                  <w:vAlign w:val="center"/>
                </w:tcPr>
                <w:p>
                  <w:pPr>
                    <w:jc w:val="center"/>
                  </w:pPr>
                  <w:r/>
                  <w:r>
                    <w:rPr>
                      <w:rFonts w:ascii="微软雅黑" w:hAnsi="微软雅黑" w:eastAsia="微软雅黑"/>
                      <w:b w:val="0"/>
                      <w:i w:val="0"/>
                      <w:sz w:val="19"/>
                    </w:rPr>
                    <w:t>Printing / defence / poster</w:t>
                  </w:r>
                </w:p>
              </w:tc>
              <w:tc>
                <w:tcPr>
                  <w:tcW w:type="dxa" w:w="4819"/>
                  <w:vAlign w:val="center"/>
                </w:tcPr>
                <w:p>
                  <w:pPr>
                    <w:jc w:val="center"/>
                  </w:pPr>
                  <w:r/>
                  <w:r>
                    <w:rPr>
                      <w:rFonts w:ascii="微软雅黑" w:hAnsi="微软雅黑" w:eastAsia="微软雅黑"/>
                      <w:b w:val="0"/>
                      <w:i w:val="0"/>
                      <w:sz w:val="19"/>
                    </w:rPr>
                    <w:t>Final presentation</w:t>
                  </w:r>
                </w:p>
              </w:tc>
              <w:tc>
                <w:tcPr>
                  <w:tcW w:type="dxa" w:w="1417"/>
                  <w:vAlign w:val="center"/>
                </w:tcPr>
                <w:p>
                  <w:pPr>
                    <w:jc w:val="center"/>
                  </w:pPr>
                  <w:r/>
                  <w:r>
                    <w:rPr>
                      <w:rFonts w:ascii="微软雅黑" w:hAnsi="微软雅黑" w:eastAsia="微软雅黑"/>
                      <w:b w:val="0"/>
                      <w:i w:val="0"/>
                      <w:sz w:val="19"/>
                    </w:rPr>
                    <w:t>80</w:t>
                  </w:r>
                </w:p>
              </w:tc>
            </w:tr>
            <w:tr>
              <w:tc>
                <w:tcPr>
                  <w:tcW w:type="dxa" w:w="567"/>
                  <w:vAlign w:val="center"/>
                </w:tcPr>
                <w:p>
                  <w:pPr>
                    <w:jc w:val="left"/>
                  </w:pPr>
                  <w:r/>
                  <w:r>
                    <w:rPr>
                      <w:rFonts w:ascii="微软雅黑" w:hAnsi="微软雅黑" w:eastAsia="微软雅黑"/>
                      <w:b w:val="0"/>
                      <w:i w:val="0"/>
                      <w:sz w:val="19"/>
                    </w:rPr>
                  </w:r>
                </w:p>
              </w:tc>
              <w:tc>
                <w:tcPr>
                  <w:tcW w:type="dxa" w:w="2268"/>
                  <w:vAlign w:val="center"/>
                </w:tcPr>
                <w:p>
                  <w:pPr>
                    <w:jc w:val="center"/>
                  </w:pPr>
                  <w:r/>
                  <w:r>
                    <w:rPr>
                      <w:rFonts w:ascii="微软雅黑" w:hAnsi="微软雅黑" w:eastAsia="微软雅黑"/>
                      <w:b w:val="0"/>
                      <w:i w:val="0"/>
                      <w:sz w:val="19"/>
                    </w:rPr>
                    <w:t>Total</w:t>
                  </w:r>
                </w:p>
              </w:tc>
              <w:tc>
                <w:tcPr>
                  <w:tcW w:type="dxa" w:w="4819"/>
                  <w:vAlign w:val="center"/>
                </w:tcPr>
                <w:p>
                  <w:pPr>
                    <w:jc w:val="center"/>
                  </w:pPr>
                  <w:r/>
                  <w:r>
                    <w:rPr>
                      <w:rFonts w:ascii="微软雅黑" w:hAnsi="微软雅黑" w:eastAsia="微软雅黑"/>
                      <w:b w:val="0"/>
                      <w:i w:val="0"/>
                      <w:sz w:val="19"/>
                    </w:rPr>
                  </w:r>
                </w:p>
              </w:tc>
              <w:tc>
                <w:tcPr>
                  <w:tcW w:type="dxa" w:w="1417"/>
                  <w:vAlign w:val="center"/>
                </w:tcPr>
                <w:p>
                  <w:pPr>
                    <w:jc w:val="center"/>
                  </w:pPr>
                  <w:r/>
                  <w:r>
                    <w:rPr>
                      <w:rFonts w:ascii="微软雅黑" w:hAnsi="微软雅黑" w:eastAsia="微软雅黑"/>
                      <w:b w:val="0"/>
                      <w:i w:val="0"/>
                      <w:sz w:val="19"/>
                    </w:rPr>
                    <w:t>500</w:t>
                  </w:r>
                </w:p>
              </w:tc>
            </w:tr>
          </w:tbl>
          <w:p/>
          <w:p>
            <w:pPr>
              <w:spacing w:after="40"/>
            </w:pPr>
          </w:p>
          <w:p>
            <w:pPr>
              <w:spacing w:before="0" w:after="80"/>
              <w:ind w:firstLine="420"/>
            </w:pPr>
            <w:r>
              <w:rPr>
                <w:rFonts w:ascii="微软雅黑" w:hAnsi="微软雅黑" w:eastAsia="微软雅黑"/>
                <w:b w:val="0"/>
                <w:i w:val="0"/>
                <w:sz w:val="21"/>
              </w:rPr>
              <w:t>By prioritizing open source, campus resources, and student-tier free quotas, the total budget is held to CNY 500, matching the small-scale, low-barrier positioning of an undergraduate innovation project. Every expense directly supports system implementation, prototype demonstration, and final delivery.</w:t>
            </w:r>
          </w:p>
          <w:p>
            <w:pPr>
              <w:spacing w:before="160" w:after="80"/>
            </w:pPr>
            <w:r>
              <w:rPr>
                <w:rFonts w:ascii="微软雅黑" w:hAnsi="微软雅黑" w:eastAsia="微软雅黑"/>
                <w:b/>
                <w:i w:val="0"/>
                <w:color w:val="2E5CB8"/>
                <w:sz w:val="28"/>
              </w:rPr>
              <w:t>9. References</w:t>
            </w:r>
          </w:p>
          <w:p>
            <w:pPr>
              <w:spacing w:before="0" w:after="80"/>
            </w:pPr>
            <w:r>
              <w:rPr>
                <w:rFonts w:ascii="微软雅黑" w:hAnsi="微软雅黑" w:eastAsia="微软雅黑"/>
                <w:b w:val="0"/>
                <w:i w:val="0"/>
                <w:sz w:val="19"/>
              </w:rPr>
              <w:t>[1] Vaswani, A., et al. Attention Is All You Need. In NeurIPS, 2017.</w:t>
            </w:r>
          </w:p>
          <w:p>
            <w:pPr>
              <w:spacing w:before="0" w:after="80"/>
            </w:pPr>
            <w:r>
              <w:rPr>
                <w:rFonts w:ascii="微软雅黑" w:hAnsi="微软雅黑" w:eastAsia="微软雅黑"/>
                <w:b w:val="0"/>
                <w:i w:val="0"/>
                <w:sz w:val="19"/>
              </w:rPr>
              <w:t>[2] OpenAI. GPT-4 Technical Report. arXiv:2303.08774, 2023.</w:t>
            </w:r>
          </w:p>
          <w:p>
            <w:pPr>
              <w:spacing w:before="0" w:after="80"/>
            </w:pPr>
            <w:r>
              <w:rPr>
                <w:rFonts w:ascii="微软雅黑" w:hAnsi="微软雅黑" w:eastAsia="微软雅黑"/>
                <w:b w:val="0"/>
                <w:i w:val="0"/>
                <w:sz w:val="19"/>
              </w:rPr>
              <w:t>[3] Anthropic. The Claude 3 Model Family: Opus, Sonnet, Haiku. Model Card, 2024.</w:t>
            </w:r>
          </w:p>
          <w:p>
            <w:pPr>
              <w:spacing w:before="0" w:after="80"/>
            </w:pPr>
            <w:r>
              <w:rPr>
                <w:rFonts w:ascii="微软雅黑" w:hAnsi="微软雅黑" w:eastAsia="微软雅黑"/>
                <w:b w:val="0"/>
                <w:i w:val="0"/>
                <w:sz w:val="19"/>
              </w:rPr>
              <w:t>[4] DeepSeek-AI. DeepSeek-V3 Technical Report. arXiv:2412.19437, 2024.</w:t>
            </w:r>
          </w:p>
          <w:p>
            <w:pPr>
              <w:spacing w:before="0" w:after="80"/>
            </w:pPr>
            <w:r>
              <w:rPr>
                <w:rFonts w:ascii="微软雅黑" w:hAnsi="微软雅黑" w:eastAsia="微软雅黑"/>
                <w:b w:val="0"/>
                <w:i w:val="0"/>
                <w:sz w:val="19"/>
              </w:rPr>
              <w:t>[5] Radford, A., et al. Robust Speech Recognition via Large-Scale Weak Supervision (Whisper). In ICML, 2023.</w:t>
            </w:r>
          </w:p>
          <w:p>
            <w:pPr>
              <w:spacing w:before="0" w:after="80"/>
            </w:pPr>
            <w:r>
              <w:rPr>
                <w:rFonts w:ascii="微软雅黑" w:hAnsi="微软雅黑" w:eastAsia="微软雅黑"/>
                <w:b w:val="0"/>
                <w:i w:val="0"/>
                <w:sz w:val="19"/>
              </w:rPr>
              <w:t>[6] Casanova, E., et al. XTTS: A Massively Multilingual Zero-Shot Text-to-Speech Model. In INTERSPEECH, 2024.</w:t>
            </w:r>
          </w:p>
          <w:p>
            <w:pPr>
              <w:spacing w:before="0" w:after="80"/>
            </w:pPr>
            <w:r>
              <w:rPr>
                <w:rFonts w:ascii="微软雅黑" w:hAnsi="微软雅黑" w:eastAsia="微软雅黑"/>
                <w:b w:val="0"/>
                <w:i w:val="0"/>
                <w:sz w:val="19"/>
              </w:rPr>
              <w:t>[7] Alibaba Speech Lab. CosyVoice: A Scalable Multilingual Zero-Shot Text-to-Speech Synthesizer. arXiv:2407.05407, 2024.</w:t>
            </w:r>
          </w:p>
          <w:p>
            <w:pPr>
              <w:spacing w:before="0" w:after="80"/>
            </w:pPr>
            <w:r>
              <w:rPr>
                <w:rFonts w:ascii="微软雅黑" w:hAnsi="微软雅黑" w:eastAsia="微软雅黑"/>
                <w:b w:val="0"/>
                <w:i w:val="0"/>
                <w:sz w:val="19"/>
              </w:rPr>
              <w:t>[8] Lewis, P., et al. Retrieval-Augmented Generation for Knowledge-Intensive NLP Tasks. In NeurIPS, 2020.</w:t>
            </w:r>
          </w:p>
          <w:p>
            <w:pPr>
              <w:spacing w:before="0" w:after="80"/>
            </w:pPr>
            <w:r>
              <w:rPr>
                <w:rFonts w:ascii="微软雅黑" w:hAnsi="微软雅黑" w:eastAsia="微软雅黑"/>
                <w:b w:val="0"/>
                <w:i w:val="0"/>
                <w:sz w:val="19"/>
              </w:rPr>
              <w:t>[9] Yao, S., et al. ReAct: Synergizing Reasoning and Acting in Language Models. In ICLR, 2023.</w:t>
            </w:r>
          </w:p>
          <w:p>
            <w:pPr>
              <w:spacing w:before="0" w:after="80"/>
            </w:pPr>
            <w:r>
              <w:rPr>
                <w:rFonts w:ascii="微软雅黑" w:hAnsi="微软雅黑" w:eastAsia="微软雅黑"/>
                <w:b w:val="0"/>
                <w:i w:val="0"/>
                <w:sz w:val="19"/>
              </w:rPr>
              <w:t>[10] Wang, L., et al. A Survey on Large Language Model based Autonomous Agents. arXiv:2308.11432, 2023.</w:t>
            </w:r>
          </w:p>
          <w:p>
            <w:pPr>
              <w:spacing w:before="0" w:after="80"/>
            </w:pPr>
            <w:r>
              <w:rPr>
                <w:rFonts w:ascii="微软雅黑" w:hAnsi="微软雅黑" w:eastAsia="微软雅黑"/>
                <w:b w:val="0"/>
                <w:i w:val="0"/>
                <w:sz w:val="19"/>
              </w:rPr>
              <w:t>[11] Hattie, J. Visible Learning: A Synthesis of Over 800 Meta-Analyses. Routledge, 2008.</w:t>
            </w:r>
          </w:p>
          <w:p>
            <w:pPr>
              <w:spacing w:before="0" w:after="80"/>
            </w:pPr>
            <w:r>
              <w:rPr>
                <w:rFonts w:ascii="微软雅黑" w:hAnsi="微软雅黑" w:eastAsia="微软雅黑"/>
                <w:b w:val="0"/>
                <w:i w:val="0"/>
                <w:sz w:val="19"/>
              </w:rPr>
              <w:t>[12] Fenstermacher, G. D., &amp; Soltis, J. F. Approaches to Teaching (5th ed.). Teachers College Press, 2009.</w:t>
            </w:r>
          </w:p>
          <w:p>
            <w:pPr>
              <w:spacing w:before="0" w:after="80"/>
            </w:pPr>
            <w:r>
              <w:rPr>
                <w:rFonts w:ascii="微软雅黑" w:hAnsi="微软雅黑" w:eastAsia="微软雅黑"/>
                <w:b w:val="0"/>
                <w:i w:val="0"/>
                <w:sz w:val="19"/>
              </w:rPr>
              <w:t>[13] Gu, X., Wang, W. New Exploration of Classroom-Analysis Technology Supporting Teacher Professional Development. China Educational Technology, 2004.</w:t>
            </w:r>
          </w:p>
          <w:p>
            <w:pPr>
              <w:spacing w:before="0" w:after="80"/>
            </w:pPr>
            <w:r>
              <w:rPr>
                <w:rFonts w:ascii="微软雅黑" w:hAnsi="微软雅黑" w:eastAsia="微软雅黑"/>
                <w:b w:val="0"/>
                <w:i w:val="0"/>
                <w:sz w:val="19"/>
              </w:rPr>
              <w:t>[14] Zhang, Z., et al. Opportunities, Challenges, and Paths of Generative AI in Education. Chinese Open Distance Education, 2023.</w:t>
            </w:r>
          </w:p>
          <w:p>
            <w:pPr>
              <w:spacing w:before="0" w:after="80"/>
            </w:pPr>
            <w:r>
              <w:rPr>
                <w:rFonts w:ascii="微软雅黑" w:hAnsi="微软雅黑" w:eastAsia="微软雅黑"/>
                <w:b w:val="0"/>
                <w:i w:val="0"/>
                <w:sz w:val="19"/>
              </w:rPr>
              <w:t>[15] Live2D Inc. Cubism SDK for Web Manual. https://docs.live2d.com, 2024.</w:t>
            </w:r>
          </w:p>
          <w:p>
            <w:pPr>
              <w:spacing w:before="0" w:after="80"/>
            </w:pPr>
            <w:r>
              <w:rPr>
                <w:rFonts w:ascii="微软雅黑" w:hAnsi="微软雅黑" w:eastAsia="微软雅黑"/>
                <w:b w:val="0"/>
                <w:i w:val="0"/>
                <w:sz w:val="19"/>
              </w:rPr>
              <w:t>[16] Khan Academy. Khanmigo Whitepaper &amp; 2024–25 Deployment Update. blog.khanacademy.org, 2025.</w:t>
            </w:r>
          </w:p>
          <w:p>
            <w:pPr>
              <w:spacing w:before="0" w:after="80"/>
            </w:pPr>
            <w:r>
              <w:rPr>
                <w:rFonts w:ascii="微软雅黑" w:hAnsi="微软雅黑" w:eastAsia="微软雅黑"/>
                <w:b w:val="0"/>
                <w:i w:val="0"/>
                <w:sz w:val="19"/>
              </w:rPr>
              <w:t>[17] Synthesia. AI Video Avatars: Technology Overview. synthesia.io, 2024.</w:t>
            </w:r>
          </w:p>
          <w:p>
            <w:pPr>
              <w:spacing w:before="0" w:after="80"/>
            </w:pPr>
            <w:r>
              <w:rPr>
                <w:rFonts w:ascii="微软雅黑" w:hAnsi="微软雅黑" w:eastAsia="微软雅黑"/>
                <w:b w:val="0"/>
                <w:i w:val="0"/>
                <w:sz w:val="19"/>
              </w:rPr>
              <w:t>[18] FastAPI. Official Documentation. https://fastapi.tiangolo.com, 2024.</w:t>
            </w:r>
          </w:p>
          <w:p>
            <w:pPr>
              <w:spacing w:before="0" w:after="80"/>
            </w:pPr>
            <w:r>
              <w:rPr>
                <w:rFonts w:ascii="微软雅黑" w:hAnsi="微软雅黑" w:eastAsia="微软雅黑"/>
                <w:b w:val="0"/>
                <w:i w:val="0"/>
                <w:sz w:val="19"/>
              </w:rPr>
              <w:t>[19] Ministry of Education / People's Daily. China's MOOC Numbers and Learning Participants Both Rank First Globally. edu.cn, 2023.</w:t>
            </w:r>
          </w:p>
          <w:p>
            <w:pPr>
              <w:spacing w:before="0" w:after="80"/>
            </w:pPr>
            <w:r>
              <w:rPr>
                <w:rFonts w:ascii="微软雅黑" w:hAnsi="微软雅黑" w:eastAsia="微软雅黑"/>
                <w:b w:val="0"/>
                <w:i w:val="0"/>
                <w:sz w:val="19"/>
              </w:rPr>
              <w:t>[20] Ministry of Education of the PRC. 2024 National Education Development Statistical Bulletin. moe.gov.cn, 2025-06-11.</w:t>
            </w:r>
          </w:p>
          <w:p>
            <w:pPr>
              <w:spacing w:before="0" w:after="80"/>
            </w:pPr>
            <w:r>
              <w:rPr>
                <w:rFonts w:ascii="微软雅黑" w:hAnsi="微软雅黑" w:eastAsia="微软雅黑"/>
                <w:b w:val="0"/>
                <w:i w:val="0"/>
                <w:sz w:val="19"/>
              </w:rPr>
              <w:t>[21] Markel, J. M., Opferman, S. G., Landay, J. A., &amp; Piech, C. GPTeach: Interactive TA Training with GPT-Based Students. In Proceedings of Learning @ Scale (L@S '23), 2023.</w:t>
            </w:r>
          </w:p>
          <w:p>
            <w:pPr>
              <w:spacing w:before="0" w:after="80"/>
            </w:pPr>
            <w:r>
              <w:rPr>
                <w:rFonts w:ascii="微软雅黑" w:hAnsi="微软雅黑" w:eastAsia="微软雅黑"/>
                <w:b w:val="0"/>
                <w:i w:val="0"/>
                <w:sz w:val="19"/>
              </w:rPr>
              <w:t>[22] Boring, A., Ottoboni, K., &amp; Stark, P. B. Student evaluations of teaching (mostly) do not measure teaching effectiveness. ScienceOpen Research, 2016. doi:10.14293/S2199-1006.1.SOR-EDU.AETBZC.v1.</w:t>
            </w:r>
          </w:p>
        </w:tc>
      </w:tr>
      <w:tr w:rsidR="00185BA3" w:rsidRPr="00CB1862" w14:paraId="59DCE321" w14:textId="77777777" w:rsidTr="4751B66C">
        <w:tc>
          <w:tcPr>
            <w:tcW w:w="9090" w:type="dxa"/>
          </w:tcPr>
          <w:p w14:paraId="1EF5E19C" w14:textId="77777777" w:rsidR="00185BA3" w:rsidRPr="00157DCA" w:rsidRDefault="00185BA3" w:rsidP="00157DCA">
            <w:pPr>
              <w:tabs>
                <w:tab w:val="left" w:pos="792"/>
              </w:tabs>
              <w:snapToGrid w:val="0"/>
              <w:spacing w:beforeLines="50" w:before="156" w:afterLines="50" w:after="156" w:line="300" w:lineRule="auto"/>
              <w:rPr>
                <w:b/>
                <w:bCs/>
                <w:sz w:val="24"/>
              </w:rPr>
            </w:pPr>
          </w:p>
        </w:tc>
      </w:tr>
    </w:tbl>
    <w:p w14:paraId="08FFDA0F" w14:textId="77777777" w:rsidR="00B55DF6" w:rsidRPr="00B8527B" w:rsidRDefault="00CB1862">
      <w:pPr>
        <w:spacing w:line="500" w:lineRule="exact"/>
        <w:ind w:right="227"/>
        <w:rPr>
          <w:rFonts w:eastAsia="黑体"/>
          <w:bCs/>
          <w:sz w:val="28"/>
          <w:szCs w:val="28"/>
        </w:rPr>
      </w:pPr>
      <w:r w:rsidRPr="00CB1862">
        <w:rPr>
          <w:rFonts w:eastAsia="黑体"/>
          <w:b/>
          <w:sz w:val="28"/>
          <w:szCs w:val="28"/>
        </w:rPr>
        <w:t>Ⅲ.</w:t>
      </w:r>
      <w:r>
        <w:rPr>
          <w:rFonts w:eastAsia="黑体" w:hint="eastAsia"/>
          <w:b/>
          <w:sz w:val="28"/>
          <w:szCs w:val="28"/>
        </w:rPr>
        <w:t xml:space="preserve"> </w:t>
      </w:r>
      <w:r w:rsidR="00773B9B" w:rsidRPr="00CB1862">
        <w:rPr>
          <w:rFonts w:eastAsia="黑体"/>
          <w:bCs/>
          <w:sz w:val="28"/>
          <w:szCs w:val="28"/>
        </w:rPr>
        <w:t xml:space="preserve">Opinion of the </w:t>
      </w:r>
      <w:r w:rsidR="00912A8F">
        <w:rPr>
          <w:rFonts w:eastAsia="黑体" w:hint="eastAsia"/>
          <w:bCs/>
          <w:sz w:val="28"/>
          <w:szCs w:val="28"/>
        </w:rPr>
        <w:t>s</w:t>
      </w:r>
      <w:r w:rsidR="00B8527B" w:rsidRPr="00B8527B">
        <w:rPr>
          <w:rFonts w:eastAsia="黑体" w:hint="eastAsia"/>
          <w:bCs/>
          <w:sz w:val="28"/>
          <w:szCs w:val="28"/>
        </w:rPr>
        <w:t>upervisor</w:t>
      </w:r>
    </w:p>
    <w:tbl>
      <w:tblPr>
        <w:tblW w:w="0" w:type="auto"/>
        <w:tblInd w:w="-114" w:type="dxa"/>
        <w:tblBorders>
          <w:top w:val="single" w:sz="12" w:space="0" w:color="auto"/>
          <w:left w:val="single" w:sz="12" w:space="0" w:color="auto"/>
          <w:bottom w:val="single" w:sz="12" w:space="0" w:color="auto"/>
          <w:right w:val="single" w:sz="12" w:space="0" w:color="auto"/>
        </w:tblBorders>
        <w:tblLayout w:type="fixed"/>
        <w:tblCellMar>
          <w:left w:w="28" w:type="dxa"/>
          <w:right w:w="28" w:type="dxa"/>
        </w:tblCellMar>
        <w:tblLook w:val="0000" w:firstRow="0" w:lastRow="0" w:firstColumn="0" w:lastColumn="0" w:noHBand="0" w:noVBand="0"/>
      </w:tblPr>
      <w:tblGrid>
        <w:gridCol w:w="9356"/>
      </w:tblGrid>
      <w:tr w:rsidR="005B20C1" w:rsidRPr="00CB1862" w14:paraId="3942AD19" w14:textId="77777777">
        <w:trPr>
          <w:trHeight w:hRule="exact" w:val="4335"/>
        </w:trPr>
        <w:tc>
          <w:tcPr>
            <w:tcW w:w="9356" w:type="dxa"/>
            <w:tcBorders>
              <w:top w:val="single" w:sz="4" w:space="0" w:color="auto"/>
              <w:left w:val="single" w:sz="4" w:space="0" w:color="auto"/>
              <w:bottom w:val="single" w:sz="4" w:space="0" w:color="auto"/>
              <w:right w:val="single" w:sz="4" w:space="0" w:color="auto"/>
            </w:tcBorders>
          </w:tcPr>
          <w:p w14:paraId="5A5D2479" w14:textId="77777777" w:rsidR="00B55DF6" w:rsidRPr="00CB1862" w:rsidRDefault="00B55DF6">
            <w:pPr>
              <w:rPr>
                <w:rFonts w:eastAsia="仿宋_GB2312"/>
                <w:sz w:val="24"/>
              </w:rPr>
            </w:pPr>
          </w:p>
          <w:p w14:paraId="424D2A8C" w14:textId="77777777" w:rsidR="00B55DF6" w:rsidRPr="00CB1862" w:rsidRDefault="00B55DF6">
            <w:pPr>
              <w:rPr>
                <w:rFonts w:eastAsia="仿宋_GB2312"/>
                <w:sz w:val="24"/>
              </w:rPr>
            </w:pPr>
          </w:p>
          <w:p w14:paraId="2566089D" w14:textId="77777777" w:rsidR="00B55DF6" w:rsidRPr="00CB1862" w:rsidRDefault="00B55DF6">
            <w:pPr>
              <w:rPr>
                <w:rFonts w:eastAsia="仿宋_GB2312"/>
                <w:sz w:val="24"/>
              </w:rPr>
            </w:pPr>
          </w:p>
          <w:p w14:paraId="56653B03" w14:textId="77777777" w:rsidR="00B55DF6" w:rsidRPr="00CB1862" w:rsidRDefault="00B55DF6">
            <w:pPr>
              <w:rPr>
                <w:rFonts w:eastAsia="仿宋_GB2312"/>
                <w:sz w:val="24"/>
              </w:rPr>
            </w:pPr>
          </w:p>
          <w:p w14:paraId="0495C2FA" w14:textId="77777777" w:rsidR="00B55DF6" w:rsidRPr="00CB1862" w:rsidRDefault="00B55DF6">
            <w:pPr>
              <w:rPr>
                <w:rFonts w:eastAsia="仿宋_GB2312"/>
                <w:sz w:val="24"/>
              </w:rPr>
            </w:pPr>
          </w:p>
          <w:p w14:paraId="00659EFB" w14:textId="77777777" w:rsidR="00B55DF6" w:rsidRPr="00CB1862" w:rsidRDefault="00B55DF6">
            <w:pPr>
              <w:rPr>
                <w:rFonts w:eastAsia="仿宋_GB2312"/>
                <w:sz w:val="24"/>
              </w:rPr>
            </w:pPr>
          </w:p>
          <w:p w14:paraId="5590B276" w14:textId="77777777" w:rsidR="00B55DF6" w:rsidRPr="00CB1862" w:rsidRDefault="00B55DF6">
            <w:pPr>
              <w:rPr>
                <w:rFonts w:eastAsia="仿宋_GB2312"/>
                <w:sz w:val="24"/>
              </w:rPr>
            </w:pPr>
          </w:p>
          <w:p w14:paraId="2B1B4A50" w14:textId="77777777" w:rsidR="00B55DF6" w:rsidRPr="00CB1862" w:rsidRDefault="00B55DF6">
            <w:pPr>
              <w:rPr>
                <w:rFonts w:eastAsia="仿宋_GB2312"/>
                <w:sz w:val="24"/>
              </w:rPr>
            </w:pPr>
          </w:p>
          <w:p w14:paraId="50FEA113" w14:textId="77777777" w:rsidR="00B55DF6" w:rsidRPr="00CB1862" w:rsidRDefault="00B55DF6">
            <w:pPr>
              <w:rPr>
                <w:rFonts w:eastAsia="仿宋_GB2312"/>
                <w:sz w:val="24"/>
              </w:rPr>
            </w:pPr>
          </w:p>
          <w:p w14:paraId="537630B7" w14:textId="77777777" w:rsidR="00B55DF6" w:rsidRPr="00CB1862" w:rsidRDefault="00B55DF6">
            <w:pPr>
              <w:spacing w:line="360" w:lineRule="auto"/>
              <w:rPr>
                <w:rFonts w:eastAsia="仿宋_GB2312"/>
                <w:sz w:val="24"/>
              </w:rPr>
            </w:pPr>
          </w:p>
          <w:p w14:paraId="7837BC03" w14:textId="77777777" w:rsidR="00B55DF6" w:rsidRPr="00CB1862" w:rsidRDefault="00B55DF6">
            <w:pPr>
              <w:spacing w:line="360" w:lineRule="auto"/>
              <w:rPr>
                <w:sz w:val="24"/>
              </w:rPr>
            </w:pPr>
            <w:r w:rsidRPr="00CB1862">
              <w:rPr>
                <w:rFonts w:eastAsia="仿宋_GB2312"/>
                <w:sz w:val="24"/>
              </w:rPr>
              <w:t xml:space="preserve">                                              </w:t>
            </w:r>
            <w:r w:rsidR="00CB1862">
              <w:rPr>
                <w:rFonts w:hint="eastAsia"/>
                <w:sz w:val="24"/>
              </w:rPr>
              <w:t>S</w:t>
            </w:r>
            <w:r w:rsidR="00773B9B" w:rsidRPr="00CB1862">
              <w:rPr>
                <w:sz w:val="24"/>
              </w:rPr>
              <w:t>ign</w:t>
            </w:r>
            <w:r w:rsidR="00CB1862">
              <w:rPr>
                <w:rFonts w:hint="eastAsia"/>
                <w:sz w:val="24"/>
              </w:rPr>
              <w:t>:</w:t>
            </w:r>
          </w:p>
          <w:p w14:paraId="0D34AFA3" w14:textId="77777777" w:rsidR="00B55DF6" w:rsidRPr="00CB1862" w:rsidRDefault="00773B9B" w:rsidP="00773B9B">
            <w:pPr>
              <w:spacing w:line="360" w:lineRule="auto"/>
              <w:ind w:firstLineChars="2300" w:firstLine="5520"/>
              <w:rPr>
                <w:rFonts w:eastAsia="仿宋_GB2312"/>
                <w:b/>
                <w:sz w:val="24"/>
              </w:rPr>
            </w:pPr>
            <w:r w:rsidRPr="00CB1862">
              <w:rPr>
                <w:rFonts w:eastAsia="仿宋_GB2312"/>
                <w:sz w:val="24"/>
              </w:rPr>
              <w:t>Date</w:t>
            </w:r>
            <w:r w:rsidR="00CB1862">
              <w:rPr>
                <w:rFonts w:eastAsia="仿宋_GB2312" w:hint="eastAsia"/>
                <w:sz w:val="24"/>
              </w:rPr>
              <w:t>:</w:t>
            </w:r>
          </w:p>
        </w:tc>
      </w:tr>
    </w:tbl>
    <w:p w14:paraId="4DF76A5A" w14:textId="77777777" w:rsidR="00B55DF6" w:rsidRPr="00CB1862" w:rsidRDefault="00B55DF6">
      <w:pPr>
        <w:spacing w:line="500" w:lineRule="exact"/>
        <w:ind w:right="227"/>
      </w:pPr>
    </w:p>
    <w:sectPr w:rsidR="00B55DF6" w:rsidRPr="00CB1862">
      <w:footerReference w:type="default" r:id="rId10"/>
      <w:pgSz w:w="11906" w:h="16838"/>
      <w:pgMar w:top="1418" w:right="1418" w:bottom="1418" w:left="1418"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64845" w14:textId="77777777" w:rsidR="00897811" w:rsidRDefault="00897811">
      <w:r>
        <w:separator/>
      </w:r>
    </w:p>
  </w:endnote>
  <w:endnote w:type="continuationSeparator" w:id="0">
    <w:p w14:paraId="63C7744B" w14:textId="77777777" w:rsidR="00897811" w:rsidRDefault="00897811">
      <w:r>
        <w:continuationSeparator/>
      </w:r>
    </w:p>
  </w:endnote>
  <w:endnote w:type="continuationNotice" w:id="1">
    <w:p w14:paraId="2C64168D" w14:textId="77777777" w:rsidR="00897811" w:rsidRDefault="0089781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仿宋_GB2312">
    <w:altName w:val="仿宋"/>
    <w:charset w:val="86"/>
    <w:family w:val="modern"/>
    <w:pitch w:val="default"/>
    <w:sig w:usb0="00000001" w:usb1="080E0000" w:usb2="00000000" w:usb3="00000000" w:csb0="00040000"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168E4" w14:textId="77777777" w:rsidR="00B55DF6" w:rsidRDefault="00B55DF6">
    <w:pPr>
      <w:pStyle w:val="a8"/>
      <w:framePr w:wrap="around" w:vAnchor="text" w:hAnchor="margin" w:xAlign="center" w:y="1"/>
      <w:rPr>
        <w:rStyle w:val="a3"/>
      </w:rPr>
    </w:pPr>
    <w:r>
      <w:fldChar w:fldCharType="begin"/>
    </w:r>
    <w:r>
      <w:rPr>
        <w:rStyle w:val="a3"/>
      </w:rPr>
      <w:instrText xml:space="preserve">PAGE  </w:instrText>
    </w:r>
    <w:r>
      <w:fldChar w:fldCharType="end"/>
    </w:r>
  </w:p>
  <w:p w14:paraId="1921EB04" w14:textId="77777777" w:rsidR="00B55DF6" w:rsidRDefault="00B55DF6">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303DC" w14:textId="77777777" w:rsidR="00B55DF6" w:rsidRDefault="00B55DF6">
    <w:pPr>
      <w:pStyle w:val="a8"/>
      <w:framePr w:wrap="around" w:vAnchor="text" w:hAnchor="margin" w:xAlign="center" w:y="1"/>
      <w:rPr>
        <w:rStyle w:val="a3"/>
      </w:rPr>
    </w:pPr>
    <w:r>
      <w:fldChar w:fldCharType="begin"/>
    </w:r>
    <w:r>
      <w:rPr>
        <w:rStyle w:val="a3"/>
      </w:rPr>
      <w:instrText xml:space="preserve">PAGE  </w:instrText>
    </w:r>
    <w:r>
      <w:fldChar w:fldCharType="separate"/>
    </w:r>
    <w:r>
      <w:rPr>
        <w:rStyle w:val="a3"/>
      </w:rPr>
      <w:t>4</w:t>
    </w:r>
    <w:r>
      <w:fldChar w:fldCharType="end"/>
    </w:r>
  </w:p>
  <w:p w14:paraId="2867B510" w14:textId="77777777" w:rsidR="00B55DF6" w:rsidRDefault="00B55DF6">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951D4" w14:textId="77777777" w:rsidR="00897811" w:rsidRDefault="00897811">
      <w:r>
        <w:separator/>
      </w:r>
    </w:p>
  </w:footnote>
  <w:footnote w:type="continuationSeparator" w:id="0">
    <w:p w14:paraId="0D6E0F2B" w14:textId="77777777" w:rsidR="00897811" w:rsidRDefault="00897811">
      <w:r>
        <w:continuationSeparator/>
      </w:r>
    </w:p>
  </w:footnote>
  <w:footnote w:type="continuationNotice" w:id="1">
    <w:p w14:paraId="478F56C7" w14:textId="77777777" w:rsidR="00897811" w:rsidRDefault="00897811"/>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833D39"/>
    <w:multiLevelType w:val="hybridMultilevel"/>
    <w:tmpl w:val="69345994"/>
    <w:lvl w:ilvl="0" w:tplc="BE3EF3BE">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02582500">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8A6"/>
    <w:rsid w:val="00000557"/>
    <w:rsid w:val="000005AC"/>
    <w:rsid w:val="00002F82"/>
    <w:rsid w:val="00003F0A"/>
    <w:rsid w:val="00007206"/>
    <w:rsid w:val="00007593"/>
    <w:rsid w:val="00012A1A"/>
    <w:rsid w:val="000147D4"/>
    <w:rsid w:val="00017DA4"/>
    <w:rsid w:val="00020935"/>
    <w:rsid w:val="00021CF9"/>
    <w:rsid w:val="00021FF8"/>
    <w:rsid w:val="000258C6"/>
    <w:rsid w:val="00026018"/>
    <w:rsid w:val="000302EA"/>
    <w:rsid w:val="000410BC"/>
    <w:rsid w:val="00043484"/>
    <w:rsid w:val="000454FD"/>
    <w:rsid w:val="00046D2F"/>
    <w:rsid w:val="00047EFA"/>
    <w:rsid w:val="00057398"/>
    <w:rsid w:val="000630AF"/>
    <w:rsid w:val="000643F3"/>
    <w:rsid w:val="00070D0D"/>
    <w:rsid w:val="00075D2C"/>
    <w:rsid w:val="00081659"/>
    <w:rsid w:val="00081D21"/>
    <w:rsid w:val="00082855"/>
    <w:rsid w:val="0008303D"/>
    <w:rsid w:val="00084F26"/>
    <w:rsid w:val="00086059"/>
    <w:rsid w:val="00086693"/>
    <w:rsid w:val="0008767E"/>
    <w:rsid w:val="00090110"/>
    <w:rsid w:val="00090269"/>
    <w:rsid w:val="00091CB5"/>
    <w:rsid w:val="000941BA"/>
    <w:rsid w:val="00094439"/>
    <w:rsid w:val="00096E66"/>
    <w:rsid w:val="000972F0"/>
    <w:rsid w:val="000A0F32"/>
    <w:rsid w:val="000A2DE0"/>
    <w:rsid w:val="000A304E"/>
    <w:rsid w:val="000B0D7C"/>
    <w:rsid w:val="000B31D4"/>
    <w:rsid w:val="000B32F1"/>
    <w:rsid w:val="000B35B9"/>
    <w:rsid w:val="000B3F34"/>
    <w:rsid w:val="000B4979"/>
    <w:rsid w:val="000C0F27"/>
    <w:rsid w:val="000C21E6"/>
    <w:rsid w:val="000C3A61"/>
    <w:rsid w:val="000C6B81"/>
    <w:rsid w:val="000C7DEA"/>
    <w:rsid w:val="000D38EC"/>
    <w:rsid w:val="000D40F7"/>
    <w:rsid w:val="000D5234"/>
    <w:rsid w:val="000E2E07"/>
    <w:rsid w:val="000E325C"/>
    <w:rsid w:val="000F0834"/>
    <w:rsid w:val="000F323C"/>
    <w:rsid w:val="000F4994"/>
    <w:rsid w:val="000F7BE1"/>
    <w:rsid w:val="00100118"/>
    <w:rsid w:val="00103E00"/>
    <w:rsid w:val="00105CB5"/>
    <w:rsid w:val="0010672A"/>
    <w:rsid w:val="00114736"/>
    <w:rsid w:val="00114EB6"/>
    <w:rsid w:val="00115AD5"/>
    <w:rsid w:val="00120D81"/>
    <w:rsid w:val="001213C8"/>
    <w:rsid w:val="00121CD4"/>
    <w:rsid w:val="001257A3"/>
    <w:rsid w:val="001321B4"/>
    <w:rsid w:val="00134D40"/>
    <w:rsid w:val="00137610"/>
    <w:rsid w:val="00153044"/>
    <w:rsid w:val="001552FC"/>
    <w:rsid w:val="001558B9"/>
    <w:rsid w:val="00156BFF"/>
    <w:rsid w:val="00157DCA"/>
    <w:rsid w:val="001616F9"/>
    <w:rsid w:val="0016391F"/>
    <w:rsid w:val="00171E35"/>
    <w:rsid w:val="00172B3B"/>
    <w:rsid w:val="00174F16"/>
    <w:rsid w:val="001754C1"/>
    <w:rsid w:val="00183B83"/>
    <w:rsid w:val="00185BA3"/>
    <w:rsid w:val="00187E12"/>
    <w:rsid w:val="0019004D"/>
    <w:rsid w:val="001A441C"/>
    <w:rsid w:val="001A4A23"/>
    <w:rsid w:val="001A5F0B"/>
    <w:rsid w:val="001B2C20"/>
    <w:rsid w:val="001B542D"/>
    <w:rsid w:val="001B5A26"/>
    <w:rsid w:val="001B696C"/>
    <w:rsid w:val="001B76E5"/>
    <w:rsid w:val="001C0E10"/>
    <w:rsid w:val="001C217A"/>
    <w:rsid w:val="001C65C8"/>
    <w:rsid w:val="001C7EBE"/>
    <w:rsid w:val="001D3854"/>
    <w:rsid w:val="001E2EB7"/>
    <w:rsid w:val="001E72EF"/>
    <w:rsid w:val="001F0DCD"/>
    <w:rsid w:val="001F1E2A"/>
    <w:rsid w:val="001F38E6"/>
    <w:rsid w:val="001F60E4"/>
    <w:rsid w:val="0020066C"/>
    <w:rsid w:val="00206405"/>
    <w:rsid w:val="00210131"/>
    <w:rsid w:val="00213222"/>
    <w:rsid w:val="00217A21"/>
    <w:rsid w:val="002221C2"/>
    <w:rsid w:val="00226B06"/>
    <w:rsid w:val="0022787D"/>
    <w:rsid w:val="00227EF5"/>
    <w:rsid w:val="00230214"/>
    <w:rsid w:val="002365C1"/>
    <w:rsid w:val="00241615"/>
    <w:rsid w:val="002427D0"/>
    <w:rsid w:val="00242CCF"/>
    <w:rsid w:val="002431E3"/>
    <w:rsid w:val="00247C53"/>
    <w:rsid w:val="00253D1B"/>
    <w:rsid w:val="00255FC6"/>
    <w:rsid w:val="002568E2"/>
    <w:rsid w:val="0025750E"/>
    <w:rsid w:val="002605A6"/>
    <w:rsid w:val="00261020"/>
    <w:rsid w:val="00263E9F"/>
    <w:rsid w:val="00267FD8"/>
    <w:rsid w:val="00272417"/>
    <w:rsid w:val="0027411C"/>
    <w:rsid w:val="002748C4"/>
    <w:rsid w:val="0028255B"/>
    <w:rsid w:val="00287158"/>
    <w:rsid w:val="00293643"/>
    <w:rsid w:val="00293989"/>
    <w:rsid w:val="00295CE8"/>
    <w:rsid w:val="002B1D9C"/>
    <w:rsid w:val="002B2CD6"/>
    <w:rsid w:val="002B42FB"/>
    <w:rsid w:val="002B4D05"/>
    <w:rsid w:val="002B4E2E"/>
    <w:rsid w:val="002B627C"/>
    <w:rsid w:val="002B6D93"/>
    <w:rsid w:val="002C0AF1"/>
    <w:rsid w:val="002C6AF9"/>
    <w:rsid w:val="002C6B7A"/>
    <w:rsid w:val="002C743D"/>
    <w:rsid w:val="002C7492"/>
    <w:rsid w:val="002D5014"/>
    <w:rsid w:val="002D6010"/>
    <w:rsid w:val="002E3212"/>
    <w:rsid w:val="002E4D31"/>
    <w:rsid w:val="002E5528"/>
    <w:rsid w:val="002E74FF"/>
    <w:rsid w:val="002F2881"/>
    <w:rsid w:val="002F29DF"/>
    <w:rsid w:val="002F2E02"/>
    <w:rsid w:val="002F449F"/>
    <w:rsid w:val="002F5287"/>
    <w:rsid w:val="002F7099"/>
    <w:rsid w:val="002F741F"/>
    <w:rsid w:val="002F7918"/>
    <w:rsid w:val="00303E52"/>
    <w:rsid w:val="00304008"/>
    <w:rsid w:val="003066F8"/>
    <w:rsid w:val="0030675E"/>
    <w:rsid w:val="00313E2B"/>
    <w:rsid w:val="003154CB"/>
    <w:rsid w:val="0031584E"/>
    <w:rsid w:val="00316B6C"/>
    <w:rsid w:val="003175D9"/>
    <w:rsid w:val="00321186"/>
    <w:rsid w:val="00323B05"/>
    <w:rsid w:val="0032449A"/>
    <w:rsid w:val="00326BA3"/>
    <w:rsid w:val="003307FA"/>
    <w:rsid w:val="003320FF"/>
    <w:rsid w:val="003368D9"/>
    <w:rsid w:val="00342024"/>
    <w:rsid w:val="003449D2"/>
    <w:rsid w:val="00344CDF"/>
    <w:rsid w:val="003451CD"/>
    <w:rsid w:val="00346C40"/>
    <w:rsid w:val="00347242"/>
    <w:rsid w:val="00347731"/>
    <w:rsid w:val="00351F8B"/>
    <w:rsid w:val="00352627"/>
    <w:rsid w:val="00352FE9"/>
    <w:rsid w:val="003539F2"/>
    <w:rsid w:val="0035435F"/>
    <w:rsid w:val="00354FBB"/>
    <w:rsid w:val="00355625"/>
    <w:rsid w:val="00356015"/>
    <w:rsid w:val="00360B15"/>
    <w:rsid w:val="00362A68"/>
    <w:rsid w:val="00363B63"/>
    <w:rsid w:val="0036480C"/>
    <w:rsid w:val="003667B9"/>
    <w:rsid w:val="00370CC4"/>
    <w:rsid w:val="003723D3"/>
    <w:rsid w:val="00374EF9"/>
    <w:rsid w:val="00376DDE"/>
    <w:rsid w:val="003808DA"/>
    <w:rsid w:val="00381B6C"/>
    <w:rsid w:val="003848FA"/>
    <w:rsid w:val="00391E47"/>
    <w:rsid w:val="00392CB9"/>
    <w:rsid w:val="003944C4"/>
    <w:rsid w:val="00395AE7"/>
    <w:rsid w:val="0039773C"/>
    <w:rsid w:val="003A4721"/>
    <w:rsid w:val="003A5FDE"/>
    <w:rsid w:val="003B2C4B"/>
    <w:rsid w:val="003B51BC"/>
    <w:rsid w:val="003B6A6F"/>
    <w:rsid w:val="003C1A84"/>
    <w:rsid w:val="003C787D"/>
    <w:rsid w:val="003D16AC"/>
    <w:rsid w:val="003D290B"/>
    <w:rsid w:val="003D4D06"/>
    <w:rsid w:val="003D7633"/>
    <w:rsid w:val="003D7A7C"/>
    <w:rsid w:val="003E089D"/>
    <w:rsid w:val="003E6ECC"/>
    <w:rsid w:val="003F257C"/>
    <w:rsid w:val="003F5B8E"/>
    <w:rsid w:val="003F79B9"/>
    <w:rsid w:val="004005E4"/>
    <w:rsid w:val="0040375C"/>
    <w:rsid w:val="00404F40"/>
    <w:rsid w:val="00405FF3"/>
    <w:rsid w:val="00414DE0"/>
    <w:rsid w:val="00415A90"/>
    <w:rsid w:val="0042053B"/>
    <w:rsid w:val="00420953"/>
    <w:rsid w:val="00421C88"/>
    <w:rsid w:val="00423571"/>
    <w:rsid w:val="004248A9"/>
    <w:rsid w:val="00426C9E"/>
    <w:rsid w:val="00427D22"/>
    <w:rsid w:val="004323BA"/>
    <w:rsid w:val="00434835"/>
    <w:rsid w:val="004369A3"/>
    <w:rsid w:val="004401C6"/>
    <w:rsid w:val="00440BE5"/>
    <w:rsid w:val="00444B81"/>
    <w:rsid w:val="004461E4"/>
    <w:rsid w:val="00452098"/>
    <w:rsid w:val="004533D4"/>
    <w:rsid w:val="00455A02"/>
    <w:rsid w:val="00460182"/>
    <w:rsid w:val="0046153B"/>
    <w:rsid w:val="0046328A"/>
    <w:rsid w:val="00463C68"/>
    <w:rsid w:val="00464E84"/>
    <w:rsid w:val="0046500A"/>
    <w:rsid w:val="00466C07"/>
    <w:rsid w:val="00471EF4"/>
    <w:rsid w:val="00476BFD"/>
    <w:rsid w:val="004771BA"/>
    <w:rsid w:val="004772A2"/>
    <w:rsid w:val="004802D8"/>
    <w:rsid w:val="004830DC"/>
    <w:rsid w:val="00484341"/>
    <w:rsid w:val="004912BE"/>
    <w:rsid w:val="00491501"/>
    <w:rsid w:val="0049173F"/>
    <w:rsid w:val="0049243E"/>
    <w:rsid w:val="0049586B"/>
    <w:rsid w:val="00497C22"/>
    <w:rsid w:val="004A07DC"/>
    <w:rsid w:val="004A262B"/>
    <w:rsid w:val="004A6781"/>
    <w:rsid w:val="004B36D3"/>
    <w:rsid w:val="004B56A4"/>
    <w:rsid w:val="004C4EDB"/>
    <w:rsid w:val="004C5849"/>
    <w:rsid w:val="004C6831"/>
    <w:rsid w:val="004D0745"/>
    <w:rsid w:val="004D389C"/>
    <w:rsid w:val="004D4046"/>
    <w:rsid w:val="004D6612"/>
    <w:rsid w:val="004D684E"/>
    <w:rsid w:val="004E204C"/>
    <w:rsid w:val="004E32E6"/>
    <w:rsid w:val="004E70CC"/>
    <w:rsid w:val="004E711F"/>
    <w:rsid w:val="004F22DA"/>
    <w:rsid w:val="004F2C49"/>
    <w:rsid w:val="004F534E"/>
    <w:rsid w:val="004F70C2"/>
    <w:rsid w:val="004F754C"/>
    <w:rsid w:val="005025A2"/>
    <w:rsid w:val="00510F2A"/>
    <w:rsid w:val="005124CC"/>
    <w:rsid w:val="00514243"/>
    <w:rsid w:val="0051598E"/>
    <w:rsid w:val="00515F9D"/>
    <w:rsid w:val="00520D3F"/>
    <w:rsid w:val="00524B68"/>
    <w:rsid w:val="00525CF7"/>
    <w:rsid w:val="00534084"/>
    <w:rsid w:val="00534BB5"/>
    <w:rsid w:val="00537672"/>
    <w:rsid w:val="00540D59"/>
    <w:rsid w:val="00540F0D"/>
    <w:rsid w:val="00543E5F"/>
    <w:rsid w:val="00546770"/>
    <w:rsid w:val="00547310"/>
    <w:rsid w:val="00547B6D"/>
    <w:rsid w:val="005500EA"/>
    <w:rsid w:val="00553626"/>
    <w:rsid w:val="00555531"/>
    <w:rsid w:val="00555C04"/>
    <w:rsid w:val="005608EE"/>
    <w:rsid w:val="005613F7"/>
    <w:rsid w:val="00563A04"/>
    <w:rsid w:val="00575671"/>
    <w:rsid w:val="005809B8"/>
    <w:rsid w:val="00581363"/>
    <w:rsid w:val="00584547"/>
    <w:rsid w:val="005932F7"/>
    <w:rsid w:val="00597E9A"/>
    <w:rsid w:val="005A1DC2"/>
    <w:rsid w:val="005A367C"/>
    <w:rsid w:val="005A371D"/>
    <w:rsid w:val="005A3C70"/>
    <w:rsid w:val="005A679D"/>
    <w:rsid w:val="005B02D5"/>
    <w:rsid w:val="005B20C1"/>
    <w:rsid w:val="005B2EAA"/>
    <w:rsid w:val="005B4EB9"/>
    <w:rsid w:val="005C13D6"/>
    <w:rsid w:val="005C4BF5"/>
    <w:rsid w:val="005D7B2F"/>
    <w:rsid w:val="005E0E4B"/>
    <w:rsid w:val="005E1847"/>
    <w:rsid w:val="005E2C3D"/>
    <w:rsid w:val="005E6955"/>
    <w:rsid w:val="005E6A2E"/>
    <w:rsid w:val="005F1323"/>
    <w:rsid w:val="005F46FC"/>
    <w:rsid w:val="005F4E55"/>
    <w:rsid w:val="005F587F"/>
    <w:rsid w:val="005F61B3"/>
    <w:rsid w:val="005F7068"/>
    <w:rsid w:val="0060017E"/>
    <w:rsid w:val="0060156C"/>
    <w:rsid w:val="00603A63"/>
    <w:rsid w:val="00604998"/>
    <w:rsid w:val="00606DE4"/>
    <w:rsid w:val="00607D33"/>
    <w:rsid w:val="006119A3"/>
    <w:rsid w:val="00614108"/>
    <w:rsid w:val="00614136"/>
    <w:rsid w:val="00622207"/>
    <w:rsid w:val="00624A76"/>
    <w:rsid w:val="006303BE"/>
    <w:rsid w:val="00630FAC"/>
    <w:rsid w:val="00633BFD"/>
    <w:rsid w:val="00634939"/>
    <w:rsid w:val="00644E04"/>
    <w:rsid w:val="0064552E"/>
    <w:rsid w:val="00645DCA"/>
    <w:rsid w:val="00645F17"/>
    <w:rsid w:val="0065045A"/>
    <w:rsid w:val="006507B5"/>
    <w:rsid w:val="006564FA"/>
    <w:rsid w:val="00664F9B"/>
    <w:rsid w:val="00670C55"/>
    <w:rsid w:val="0067113C"/>
    <w:rsid w:val="00673330"/>
    <w:rsid w:val="00673F79"/>
    <w:rsid w:val="006755AB"/>
    <w:rsid w:val="00684C34"/>
    <w:rsid w:val="006919E9"/>
    <w:rsid w:val="00692801"/>
    <w:rsid w:val="00695972"/>
    <w:rsid w:val="006A06CA"/>
    <w:rsid w:val="006A2D51"/>
    <w:rsid w:val="006A48B9"/>
    <w:rsid w:val="006A4E9B"/>
    <w:rsid w:val="006A69BC"/>
    <w:rsid w:val="006B04C6"/>
    <w:rsid w:val="006B3F88"/>
    <w:rsid w:val="006B4DDA"/>
    <w:rsid w:val="006C28FA"/>
    <w:rsid w:val="006D32A7"/>
    <w:rsid w:val="006D4981"/>
    <w:rsid w:val="006D6B29"/>
    <w:rsid w:val="006D6F94"/>
    <w:rsid w:val="006D75C4"/>
    <w:rsid w:val="006E374D"/>
    <w:rsid w:val="006F599E"/>
    <w:rsid w:val="007001A5"/>
    <w:rsid w:val="00701313"/>
    <w:rsid w:val="007031BE"/>
    <w:rsid w:val="007050CA"/>
    <w:rsid w:val="00707649"/>
    <w:rsid w:val="00707DDE"/>
    <w:rsid w:val="00711350"/>
    <w:rsid w:val="0071219E"/>
    <w:rsid w:val="007156E9"/>
    <w:rsid w:val="00715D71"/>
    <w:rsid w:val="0072023D"/>
    <w:rsid w:val="00720795"/>
    <w:rsid w:val="00721360"/>
    <w:rsid w:val="00726E59"/>
    <w:rsid w:val="0073013B"/>
    <w:rsid w:val="00730DC2"/>
    <w:rsid w:val="00733192"/>
    <w:rsid w:val="00733E2D"/>
    <w:rsid w:val="007507B5"/>
    <w:rsid w:val="00752934"/>
    <w:rsid w:val="007648E0"/>
    <w:rsid w:val="00773B9B"/>
    <w:rsid w:val="007869CA"/>
    <w:rsid w:val="00786AEF"/>
    <w:rsid w:val="007902FD"/>
    <w:rsid w:val="00790539"/>
    <w:rsid w:val="00791357"/>
    <w:rsid w:val="007A05C4"/>
    <w:rsid w:val="007A57DB"/>
    <w:rsid w:val="007A5A4B"/>
    <w:rsid w:val="007A64EF"/>
    <w:rsid w:val="007A6BAF"/>
    <w:rsid w:val="007B08FB"/>
    <w:rsid w:val="007B0E9C"/>
    <w:rsid w:val="007B1B7E"/>
    <w:rsid w:val="007B233C"/>
    <w:rsid w:val="007B58E6"/>
    <w:rsid w:val="007C1336"/>
    <w:rsid w:val="007C17ED"/>
    <w:rsid w:val="007C2464"/>
    <w:rsid w:val="007C39E2"/>
    <w:rsid w:val="007C5306"/>
    <w:rsid w:val="007C59EE"/>
    <w:rsid w:val="007D164D"/>
    <w:rsid w:val="007D280C"/>
    <w:rsid w:val="007D364C"/>
    <w:rsid w:val="007D5B3C"/>
    <w:rsid w:val="007D6B11"/>
    <w:rsid w:val="007E1430"/>
    <w:rsid w:val="007E164B"/>
    <w:rsid w:val="007E2BFD"/>
    <w:rsid w:val="007E47D5"/>
    <w:rsid w:val="007F315F"/>
    <w:rsid w:val="007F4002"/>
    <w:rsid w:val="0080017B"/>
    <w:rsid w:val="00804850"/>
    <w:rsid w:val="00804BCC"/>
    <w:rsid w:val="008117B4"/>
    <w:rsid w:val="00812968"/>
    <w:rsid w:val="008129B7"/>
    <w:rsid w:val="00813972"/>
    <w:rsid w:val="00826E5D"/>
    <w:rsid w:val="008300E6"/>
    <w:rsid w:val="008357A2"/>
    <w:rsid w:val="0084426E"/>
    <w:rsid w:val="008517FC"/>
    <w:rsid w:val="00853A17"/>
    <w:rsid w:val="008544AF"/>
    <w:rsid w:val="00856729"/>
    <w:rsid w:val="00856CB9"/>
    <w:rsid w:val="00861BB7"/>
    <w:rsid w:val="00861FF9"/>
    <w:rsid w:val="00863827"/>
    <w:rsid w:val="00865712"/>
    <w:rsid w:val="008667C8"/>
    <w:rsid w:val="008672C7"/>
    <w:rsid w:val="0087089F"/>
    <w:rsid w:val="008711E2"/>
    <w:rsid w:val="008757A1"/>
    <w:rsid w:val="00875D56"/>
    <w:rsid w:val="00877A06"/>
    <w:rsid w:val="00882DCB"/>
    <w:rsid w:val="008830E6"/>
    <w:rsid w:val="008852A2"/>
    <w:rsid w:val="008859E7"/>
    <w:rsid w:val="00894C41"/>
    <w:rsid w:val="00895646"/>
    <w:rsid w:val="0089596A"/>
    <w:rsid w:val="00897811"/>
    <w:rsid w:val="00897B74"/>
    <w:rsid w:val="008A0ACB"/>
    <w:rsid w:val="008A35D4"/>
    <w:rsid w:val="008A3C0B"/>
    <w:rsid w:val="008A3F2C"/>
    <w:rsid w:val="008A4736"/>
    <w:rsid w:val="008A788F"/>
    <w:rsid w:val="008A7F99"/>
    <w:rsid w:val="008B08E5"/>
    <w:rsid w:val="008B4491"/>
    <w:rsid w:val="008C04B3"/>
    <w:rsid w:val="008C2A2C"/>
    <w:rsid w:val="008C3DEB"/>
    <w:rsid w:val="008C4007"/>
    <w:rsid w:val="008D3AEA"/>
    <w:rsid w:val="008D6105"/>
    <w:rsid w:val="008D62C3"/>
    <w:rsid w:val="008E4384"/>
    <w:rsid w:val="008E4FE0"/>
    <w:rsid w:val="008E6213"/>
    <w:rsid w:val="008E6B23"/>
    <w:rsid w:val="008F0D9C"/>
    <w:rsid w:val="00900A4E"/>
    <w:rsid w:val="00901337"/>
    <w:rsid w:val="00906023"/>
    <w:rsid w:val="009112CF"/>
    <w:rsid w:val="009120CC"/>
    <w:rsid w:val="00912834"/>
    <w:rsid w:val="00912A8F"/>
    <w:rsid w:val="00914129"/>
    <w:rsid w:val="00917C94"/>
    <w:rsid w:val="009310D7"/>
    <w:rsid w:val="0093197E"/>
    <w:rsid w:val="00931C73"/>
    <w:rsid w:val="0094457E"/>
    <w:rsid w:val="0095041B"/>
    <w:rsid w:val="00950833"/>
    <w:rsid w:val="00950F6A"/>
    <w:rsid w:val="00960F98"/>
    <w:rsid w:val="0096124D"/>
    <w:rsid w:val="00961B7A"/>
    <w:rsid w:val="009674B0"/>
    <w:rsid w:val="0097010E"/>
    <w:rsid w:val="00975A2F"/>
    <w:rsid w:val="00976CC6"/>
    <w:rsid w:val="00981B0B"/>
    <w:rsid w:val="009825D2"/>
    <w:rsid w:val="00983209"/>
    <w:rsid w:val="009A0917"/>
    <w:rsid w:val="009A369D"/>
    <w:rsid w:val="009A3E1A"/>
    <w:rsid w:val="009A44F1"/>
    <w:rsid w:val="009A750F"/>
    <w:rsid w:val="009B21BC"/>
    <w:rsid w:val="009B7198"/>
    <w:rsid w:val="009B73F8"/>
    <w:rsid w:val="009C01DA"/>
    <w:rsid w:val="009C0D1E"/>
    <w:rsid w:val="009C3D24"/>
    <w:rsid w:val="009D32AC"/>
    <w:rsid w:val="009D3456"/>
    <w:rsid w:val="009D5C79"/>
    <w:rsid w:val="009D5E06"/>
    <w:rsid w:val="009E1F51"/>
    <w:rsid w:val="009E34BB"/>
    <w:rsid w:val="009F21BD"/>
    <w:rsid w:val="009F585B"/>
    <w:rsid w:val="009F7F59"/>
    <w:rsid w:val="00A00E7F"/>
    <w:rsid w:val="00A0283D"/>
    <w:rsid w:val="00A10853"/>
    <w:rsid w:val="00A1384C"/>
    <w:rsid w:val="00A14789"/>
    <w:rsid w:val="00A27D6E"/>
    <w:rsid w:val="00A317DE"/>
    <w:rsid w:val="00A32F57"/>
    <w:rsid w:val="00A342D0"/>
    <w:rsid w:val="00A345DC"/>
    <w:rsid w:val="00A359EE"/>
    <w:rsid w:val="00A44D11"/>
    <w:rsid w:val="00A44F94"/>
    <w:rsid w:val="00A53F98"/>
    <w:rsid w:val="00A61E70"/>
    <w:rsid w:val="00A708D1"/>
    <w:rsid w:val="00A72787"/>
    <w:rsid w:val="00A73B14"/>
    <w:rsid w:val="00A74410"/>
    <w:rsid w:val="00A74A96"/>
    <w:rsid w:val="00A75B89"/>
    <w:rsid w:val="00A77BE4"/>
    <w:rsid w:val="00A83A03"/>
    <w:rsid w:val="00A84CF2"/>
    <w:rsid w:val="00A85CEE"/>
    <w:rsid w:val="00A87A4C"/>
    <w:rsid w:val="00A91E00"/>
    <w:rsid w:val="00A937F3"/>
    <w:rsid w:val="00A948B7"/>
    <w:rsid w:val="00AA14BE"/>
    <w:rsid w:val="00AA2AE7"/>
    <w:rsid w:val="00AA3B49"/>
    <w:rsid w:val="00AA451B"/>
    <w:rsid w:val="00AB098D"/>
    <w:rsid w:val="00AB1756"/>
    <w:rsid w:val="00AB1C8E"/>
    <w:rsid w:val="00AB5F43"/>
    <w:rsid w:val="00AC0F80"/>
    <w:rsid w:val="00AC11D0"/>
    <w:rsid w:val="00AC1D37"/>
    <w:rsid w:val="00AC33F6"/>
    <w:rsid w:val="00AC4A8B"/>
    <w:rsid w:val="00AC6FFE"/>
    <w:rsid w:val="00AC77C7"/>
    <w:rsid w:val="00AD59A1"/>
    <w:rsid w:val="00AD6EC4"/>
    <w:rsid w:val="00AE2C19"/>
    <w:rsid w:val="00AE6216"/>
    <w:rsid w:val="00AE6C34"/>
    <w:rsid w:val="00AF5880"/>
    <w:rsid w:val="00AF712F"/>
    <w:rsid w:val="00AF77C6"/>
    <w:rsid w:val="00B02DE3"/>
    <w:rsid w:val="00B03D86"/>
    <w:rsid w:val="00B03FD6"/>
    <w:rsid w:val="00B041D3"/>
    <w:rsid w:val="00B06C07"/>
    <w:rsid w:val="00B102ED"/>
    <w:rsid w:val="00B11CD8"/>
    <w:rsid w:val="00B128D9"/>
    <w:rsid w:val="00B14C64"/>
    <w:rsid w:val="00B20612"/>
    <w:rsid w:val="00B20EF1"/>
    <w:rsid w:val="00B25C76"/>
    <w:rsid w:val="00B260E1"/>
    <w:rsid w:val="00B27691"/>
    <w:rsid w:val="00B300E9"/>
    <w:rsid w:val="00B3068D"/>
    <w:rsid w:val="00B34F2B"/>
    <w:rsid w:val="00B37BB1"/>
    <w:rsid w:val="00B40A96"/>
    <w:rsid w:val="00B42223"/>
    <w:rsid w:val="00B42237"/>
    <w:rsid w:val="00B43472"/>
    <w:rsid w:val="00B43FAF"/>
    <w:rsid w:val="00B45E74"/>
    <w:rsid w:val="00B53EFD"/>
    <w:rsid w:val="00B54EC5"/>
    <w:rsid w:val="00B55DF6"/>
    <w:rsid w:val="00B56C05"/>
    <w:rsid w:val="00B57986"/>
    <w:rsid w:val="00B626AD"/>
    <w:rsid w:val="00B642E6"/>
    <w:rsid w:val="00B8527B"/>
    <w:rsid w:val="00B92DB4"/>
    <w:rsid w:val="00B94ED3"/>
    <w:rsid w:val="00B95DED"/>
    <w:rsid w:val="00B96177"/>
    <w:rsid w:val="00B96CF2"/>
    <w:rsid w:val="00BA0FD1"/>
    <w:rsid w:val="00BA44CE"/>
    <w:rsid w:val="00BA788E"/>
    <w:rsid w:val="00BB32A7"/>
    <w:rsid w:val="00BC06AD"/>
    <w:rsid w:val="00BC35E9"/>
    <w:rsid w:val="00BC5199"/>
    <w:rsid w:val="00BD254A"/>
    <w:rsid w:val="00BD2BBC"/>
    <w:rsid w:val="00BD45F9"/>
    <w:rsid w:val="00BD541C"/>
    <w:rsid w:val="00BE2EB4"/>
    <w:rsid w:val="00BE3A45"/>
    <w:rsid w:val="00BE50A1"/>
    <w:rsid w:val="00BE6FCF"/>
    <w:rsid w:val="00BE73AD"/>
    <w:rsid w:val="00BF003D"/>
    <w:rsid w:val="00BF68EA"/>
    <w:rsid w:val="00C03FA7"/>
    <w:rsid w:val="00C176EC"/>
    <w:rsid w:val="00C17B78"/>
    <w:rsid w:val="00C23135"/>
    <w:rsid w:val="00C252B7"/>
    <w:rsid w:val="00C25EB9"/>
    <w:rsid w:val="00C26CD3"/>
    <w:rsid w:val="00C2781E"/>
    <w:rsid w:val="00C30B41"/>
    <w:rsid w:val="00C325B6"/>
    <w:rsid w:val="00C359E0"/>
    <w:rsid w:val="00C36321"/>
    <w:rsid w:val="00C36F58"/>
    <w:rsid w:val="00C37F66"/>
    <w:rsid w:val="00C4090D"/>
    <w:rsid w:val="00C44880"/>
    <w:rsid w:val="00C51092"/>
    <w:rsid w:val="00C53B1D"/>
    <w:rsid w:val="00C55FB0"/>
    <w:rsid w:val="00C57E77"/>
    <w:rsid w:val="00C601BC"/>
    <w:rsid w:val="00C60D5E"/>
    <w:rsid w:val="00C61B8E"/>
    <w:rsid w:val="00C666AE"/>
    <w:rsid w:val="00C73569"/>
    <w:rsid w:val="00C74DDA"/>
    <w:rsid w:val="00C77E7D"/>
    <w:rsid w:val="00C820B8"/>
    <w:rsid w:val="00C848A6"/>
    <w:rsid w:val="00C9029D"/>
    <w:rsid w:val="00C904F0"/>
    <w:rsid w:val="00C9220A"/>
    <w:rsid w:val="00C92B85"/>
    <w:rsid w:val="00C93A08"/>
    <w:rsid w:val="00CA0365"/>
    <w:rsid w:val="00CA1FE0"/>
    <w:rsid w:val="00CA6B5E"/>
    <w:rsid w:val="00CB1862"/>
    <w:rsid w:val="00CB4742"/>
    <w:rsid w:val="00CB6D4F"/>
    <w:rsid w:val="00CC276F"/>
    <w:rsid w:val="00CC718E"/>
    <w:rsid w:val="00CD03CC"/>
    <w:rsid w:val="00CD1A84"/>
    <w:rsid w:val="00CD5977"/>
    <w:rsid w:val="00CD6D92"/>
    <w:rsid w:val="00CD761F"/>
    <w:rsid w:val="00CD7D0C"/>
    <w:rsid w:val="00CE01DF"/>
    <w:rsid w:val="00CE4100"/>
    <w:rsid w:val="00CE4AAA"/>
    <w:rsid w:val="00CE5CF8"/>
    <w:rsid w:val="00CE7E0B"/>
    <w:rsid w:val="00CF4A93"/>
    <w:rsid w:val="00D002B3"/>
    <w:rsid w:val="00D03DF9"/>
    <w:rsid w:val="00D0645B"/>
    <w:rsid w:val="00D078F1"/>
    <w:rsid w:val="00D1225D"/>
    <w:rsid w:val="00D13A4E"/>
    <w:rsid w:val="00D220CA"/>
    <w:rsid w:val="00D22A1D"/>
    <w:rsid w:val="00D22B5E"/>
    <w:rsid w:val="00D33B1A"/>
    <w:rsid w:val="00D3492D"/>
    <w:rsid w:val="00D34C1F"/>
    <w:rsid w:val="00D34D58"/>
    <w:rsid w:val="00D35EBB"/>
    <w:rsid w:val="00D36710"/>
    <w:rsid w:val="00D4060F"/>
    <w:rsid w:val="00D40EC6"/>
    <w:rsid w:val="00D415F8"/>
    <w:rsid w:val="00D42B5D"/>
    <w:rsid w:val="00D44F72"/>
    <w:rsid w:val="00D516D7"/>
    <w:rsid w:val="00D71124"/>
    <w:rsid w:val="00D715A0"/>
    <w:rsid w:val="00D74485"/>
    <w:rsid w:val="00D76139"/>
    <w:rsid w:val="00D7614C"/>
    <w:rsid w:val="00D77907"/>
    <w:rsid w:val="00D809CB"/>
    <w:rsid w:val="00D81DE7"/>
    <w:rsid w:val="00D8312A"/>
    <w:rsid w:val="00D8448A"/>
    <w:rsid w:val="00D84D7E"/>
    <w:rsid w:val="00D864C2"/>
    <w:rsid w:val="00D90690"/>
    <w:rsid w:val="00D92525"/>
    <w:rsid w:val="00D92F43"/>
    <w:rsid w:val="00D93661"/>
    <w:rsid w:val="00D95B26"/>
    <w:rsid w:val="00DA07A4"/>
    <w:rsid w:val="00DA348C"/>
    <w:rsid w:val="00DB399A"/>
    <w:rsid w:val="00DB4BB3"/>
    <w:rsid w:val="00DB5350"/>
    <w:rsid w:val="00DB5B11"/>
    <w:rsid w:val="00DB61B1"/>
    <w:rsid w:val="00DC2AEB"/>
    <w:rsid w:val="00DC61D6"/>
    <w:rsid w:val="00DD04A3"/>
    <w:rsid w:val="00DD2198"/>
    <w:rsid w:val="00DD3DD1"/>
    <w:rsid w:val="00DD607C"/>
    <w:rsid w:val="00DD667B"/>
    <w:rsid w:val="00DE1B1C"/>
    <w:rsid w:val="00DE2693"/>
    <w:rsid w:val="00DE3E71"/>
    <w:rsid w:val="00DF2F31"/>
    <w:rsid w:val="00DF3248"/>
    <w:rsid w:val="00DF36C5"/>
    <w:rsid w:val="00DF6C89"/>
    <w:rsid w:val="00E0234F"/>
    <w:rsid w:val="00E02C75"/>
    <w:rsid w:val="00E031B9"/>
    <w:rsid w:val="00E04288"/>
    <w:rsid w:val="00E07ED6"/>
    <w:rsid w:val="00E07FF5"/>
    <w:rsid w:val="00E101C6"/>
    <w:rsid w:val="00E10D2B"/>
    <w:rsid w:val="00E12662"/>
    <w:rsid w:val="00E14095"/>
    <w:rsid w:val="00E149C8"/>
    <w:rsid w:val="00E16115"/>
    <w:rsid w:val="00E27820"/>
    <w:rsid w:val="00E27A64"/>
    <w:rsid w:val="00E31992"/>
    <w:rsid w:val="00E32141"/>
    <w:rsid w:val="00E35E3C"/>
    <w:rsid w:val="00E37246"/>
    <w:rsid w:val="00E41ED3"/>
    <w:rsid w:val="00E44435"/>
    <w:rsid w:val="00E44F7E"/>
    <w:rsid w:val="00E47741"/>
    <w:rsid w:val="00E50A4B"/>
    <w:rsid w:val="00E51948"/>
    <w:rsid w:val="00E600A8"/>
    <w:rsid w:val="00E60B11"/>
    <w:rsid w:val="00E72F08"/>
    <w:rsid w:val="00E72F71"/>
    <w:rsid w:val="00E763F9"/>
    <w:rsid w:val="00E76911"/>
    <w:rsid w:val="00E77B7D"/>
    <w:rsid w:val="00E828FA"/>
    <w:rsid w:val="00E85E5F"/>
    <w:rsid w:val="00E86B64"/>
    <w:rsid w:val="00E90164"/>
    <w:rsid w:val="00E90C3F"/>
    <w:rsid w:val="00E90E7E"/>
    <w:rsid w:val="00E93BDF"/>
    <w:rsid w:val="00E94779"/>
    <w:rsid w:val="00E94884"/>
    <w:rsid w:val="00E97690"/>
    <w:rsid w:val="00E97981"/>
    <w:rsid w:val="00EA6613"/>
    <w:rsid w:val="00EAA9AE"/>
    <w:rsid w:val="00EB2258"/>
    <w:rsid w:val="00EB6120"/>
    <w:rsid w:val="00EB7F4F"/>
    <w:rsid w:val="00EC0F71"/>
    <w:rsid w:val="00EC1813"/>
    <w:rsid w:val="00EC2756"/>
    <w:rsid w:val="00EC377F"/>
    <w:rsid w:val="00EC433E"/>
    <w:rsid w:val="00EC70CD"/>
    <w:rsid w:val="00ED000C"/>
    <w:rsid w:val="00ED4777"/>
    <w:rsid w:val="00EE27F5"/>
    <w:rsid w:val="00EE2FB0"/>
    <w:rsid w:val="00EE4640"/>
    <w:rsid w:val="00EE5946"/>
    <w:rsid w:val="00EF0806"/>
    <w:rsid w:val="00EF09CF"/>
    <w:rsid w:val="00EF14F4"/>
    <w:rsid w:val="00EF1701"/>
    <w:rsid w:val="00EF231C"/>
    <w:rsid w:val="00EF2AE3"/>
    <w:rsid w:val="00EF4BE5"/>
    <w:rsid w:val="00F10711"/>
    <w:rsid w:val="00F13746"/>
    <w:rsid w:val="00F13E43"/>
    <w:rsid w:val="00F14910"/>
    <w:rsid w:val="00F16552"/>
    <w:rsid w:val="00F20F11"/>
    <w:rsid w:val="00F315E0"/>
    <w:rsid w:val="00F3164C"/>
    <w:rsid w:val="00F31F56"/>
    <w:rsid w:val="00F32345"/>
    <w:rsid w:val="00F330EA"/>
    <w:rsid w:val="00F33FF4"/>
    <w:rsid w:val="00F349C2"/>
    <w:rsid w:val="00F42D3F"/>
    <w:rsid w:val="00F441A8"/>
    <w:rsid w:val="00F46027"/>
    <w:rsid w:val="00F53AE6"/>
    <w:rsid w:val="00F56419"/>
    <w:rsid w:val="00F57357"/>
    <w:rsid w:val="00F6609E"/>
    <w:rsid w:val="00F66573"/>
    <w:rsid w:val="00F67B79"/>
    <w:rsid w:val="00F71A5A"/>
    <w:rsid w:val="00F75A7A"/>
    <w:rsid w:val="00F75D9F"/>
    <w:rsid w:val="00F775ED"/>
    <w:rsid w:val="00F77B41"/>
    <w:rsid w:val="00F858ED"/>
    <w:rsid w:val="00F93224"/>
    <w:rsid w:val="00F9667D"/>
    <w:rsid w:val="00F96D38"/>
    <w:rsid w:val="00F973B6"/>
    <w:rsid w:val="00FA45BE"/>
    <w:rsid w:val="00FB2D8D"/>
    <w:rsid w:val="00FB5A7D"/>
    <w:rsid w:val="00FB638F"/>
    <w:rsid w:val="00FC51E5"/>
    <w:rsid w:val="00FC5297"/>
    <w:rsid w:val="00FC6454"/>
    <w:rsid w:val="00FD268B"/>
    <w:rsid w:val="00FD3BE6"/>
    <w:rsid w:val="00FD6CA3"/>
    <w:rsid w:val="00FE254E"/>
    <w:rsid w:val="00FE291E"/>
    <w:rsid w:val="00FE3393"/>
    <w:rsid w:val="00FE590A"/>
    <w:rsid w:val="00FE6BF9"/>
    <w:rsid w:val="00FF054D"/>
    <w:rsid w:val="00FF6B58"/>
    <w:rsid w:val="01D956C0"/>
    <w:rsid w:val="02C1ABC6"/>
    <w:rsid w:val="04620B32"/>
    <w:rsid w:val="0654B558"/>
    <w:rsid w:val="0677C5E3"/>
    <w:rsid w:val="078E7BC5"/>
    <w:rsid w:val="0A3D9423"/>
    <w:rsid w:val="0E17974C"/>
    <w:rsid w:val="0EB7272D"/>
    <w:rsid w:val="0F160F76"/>
    <w:rsid w:val="0FF15908"/>
    <w:rsid w:val="10D09A1B"/>
    <w:rsid w:val="11C1130C"/>
    <w:rsid w:val="1312BAE9"/>
    <w:rsid w:val="13FE176C"/>
    <w:rsid w:val="15EE6DF4"/>
    <w:rsid w:val="16B4C7FB"/>
    <w:rsid w:val="19331915"/>
    <w:rsid w:val="197A004B"/>
    <w:rsid w:val="1A0F460E"/>
    <w:rsid w:val="1DA9EAFA"/>
    <w:rsid w:val="1F03860A"/>
    <w:rsid w:val="1FF0C867"/>
    <w:rsid w:val="233B45B3"/>
    <w:rsid w:val="2389B32A"/>
    <w:rsid w:val="23CC4B9F"/>
    <w:rsid w:val="249FFE19"/>
    <w:rsid w:val="24BC7AD2"/>
    <w:rsid w:val="259E0838"/>
    <w:rsid w:val="2719F5EA"/>
    <w:rsid w:val="27F24AC0"/>
    <w:rsid w:val="291B6C20"/>
    <w:rsid w:val="2BB59E7E"/>
    <w:rsid w:val="2CAD2198"/>
    <w:rsid w:val="2D23FC75"/>
    <w:rsid w:val="2D981030"/>
    <w:rsid w:val="2EDE49F2"/>
    <w:rsid w:val="3011A750"/>
    <w:rsid w:val="3254199C"/>
    <w:rsid w:val="32B23683"/>
    <w:rsid w:val="348E6D1C"/>
    <w:rsid w:val="37F98CCF"/>
    <w:rsid w:val="38E7459D"/>
    <w:rsid w:val="396F6A97"/>
    <w:rsid w:val="39A33BBA"/>
    <w:rsid w:val="39EDAA7F"/>
    <w:rsid w:val="3A4C827E"/>
    <w:rsid w:val="3B86A215"/>
    <w:rsid w:val="3C69ABFE"/>
    <w:rsid w:val="3DC8263D"/>
    <w:rsid w:val="3F497E79"/>
    <w:rsid w:val="425B38E0"/>
    <w:rsid w:val="42D9AF33"/>
    <w:rsid w:val="457BA635"/>
    <w:rsid w:val="45D5AC1B"/>
    <w:rsid w:val="463905C8"/>
    <w:rsid w:val="46509689"/>
    <w:rsid w:val="467C698F"/>
    <w:rsid w:val="4751B66C"/>
    <w:rsid w:val="4951CA09"/>
    <w:rsid w:val="49896D3F"/>
    <w:rsid w:val="4ADFB52A"/>
    <w:rsid w:val="4B183F0A"/>
    <w:rsid w:val="4B7A7693"/>
    <w:rsid w:val="4C143FE2"/>
    <w:rsid w:val="4C406519"/>
    <w:rsid w:val="4C7F1F10"/>
    <w:rsid w:val="4D4065D7"/>
    <w:rsid w:val="4ED4CBF1"/>
    <w:rsid w:val="503CD5B9"/>
    <w:rsid w:val="50566AF9"/>
    <w:rsid w:val="50B13DD8"/>
    <w:rsid w:val="51331C1F"/>
    <w:rsid w:val="52870EBE"/>
    <w:rsid w:val="536450B8"/>
    <w:rsid w:val="53ADB443"/>
    <w:rsid w:val="566AC2C6"/>
    <w:rsid w:val="5BD66E20"/>
    <w:rsid w:val="5CD9CF12"/>
    <w:rsid w:val="5E392FDF"/>
    <w:rsid w:val="60B0650A"/>
    <w:rsid w:val="60C058DA"/>
    <w:rsid w:val="623329DF"/>
    <w:rsid w:val="62350415"/>
    <w:rsid w:val="62489662"/>
    <w:rsid w:val="63700BA6"/>
    <w:rsid w:val="63D127CD"/>
    <w:rsid w:val="649D4451"/>
    <w:rsid w:val="65E5047F"/>
    <w:rsid w:val="65F78F06"/>
    <w:rsid w:val="66FABDFD"/>
    <w:rsid w:val="68EAD504"/>
    <w:rsid w:val="68F1DE44"/>
    <w:rsid w:val="696C82B2"/>
    <w:rsid w:val="69F28906"/>
    <w:rsid w:val="6A1BAFA6"/>
    <w:rsid w:val="6B712A5B"/>
    <w:rsid w:val="6BDD446F"/>
    <w:rsid w:val="6E0EED3F"/>
    <w:rsid w:val="6E3CBD15"/>
    <w:rsid w:val="6F29376B"/>
    <w:rsid w:val="705A0444"/>
    <w:rsid w:val="70C2C199"/>
    <w:rsid w:val="729B6959"/>
    <w:rsid w:val="749A1393"/>
    <w:rsid w:val="75AA1B84"/>
    <w:rsid w:val="76320687"/>
    <w:rsid w:val="766CB3DB"/>
    <w:rsid w:val="76ADD197"/>
    <w:rsid w:val="76E6151A"/>
    <w:rsid w:val="774BE39F"/>
    <w:rsid w:val="78257006"/>
    <w:rsid w:val="78433349"/>
    <w:rsid w:val="78C84958"/>
    <w:rsid w:val="79B18D1C"/>
    <w:rsid w:val="7A9D05F6"/>
    <w:rsid w:val="7B3D3BB3"/>
    <w:rsid w:val="7C732AF1"/>
    <w:rsid w:val="7CFBCF48"/>
    <w:rsid w:val="7E1DA39D"/>
    <w:rsid w:val="7E9ADB81"/>
    <w:rsid w:val="7EFD37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2B4E4A"/>
  <w15:chartTrackingRefBased/>
  <w15:docId w15:val="{AEBC6CF2-14E5-4055-B3D3-788EC137D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Default Paragraph Font" w:semiHidden="1" w:uiPriority="1"/>
    <w:lsdException w:name="Subtitle" w:qFormat="1"/>
    <w:lsdException w:name="Hyperlink" w:uiPriority="99" w:unhideWhenUsed="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13222"/>
    <w:pPr>
      <w:widowControl w:val="0"/>
      <w:jc w:val="both"/>
    </w:pPr>
    <w:rPr>
      <w:kern w:val="2"/>
      <w:sz w:val="21"/>
      <w:szCs w:val="24"/>
    </w:rPr>
  </w:style>
  <w:style w:type="paragraph" w:styleId="1">
    <w:name w:val="heading 1"/>
    <w:basedOn w:val="a"/>
    <w:link w:val="10"/>
    <w:uiPriority w:val="9"/>
    <w:qFormat/>
    <w:pPr>
      <w:widowControl/>
      <w:spacing w:before="100" w:beforeAutospacing="1" w:after="100" w:afterAutospacing="1"/>
      <w:jc w:val="left"/>
      <w:outlineLvl w:val="0"/>
    </w:pPr>
    <w:rPr>
      <w:rFonts w:ascii="宋体" w:hAnsi="宋体"/>
      <w:b/>
      <w:bCs/>
      <w:kern w:val="36"/>
      <w:sz w:val="48"/>
      <w:szCs w:val="48"/>
    </w:rPr>
  </w:style>
  <w:style w:type="paragraph" w:styleId="3">
    <w:name w:val="heading 3"/>
    <w:basedOn w:val="a"/>
    <w:next w:val="a"/>
    <w:link w:val="30"/>
    <w:qFormat/>
    <w:pPr>
      <w:keepNext/>
      <w:keepLines/>
      <w:spacing w:before="260" w:after="260" w:line="416" w:lineRule="auto"/>
      <w:outlineLvl w:val="2"/>
    </w:pPr>
    <w:rPr>
      <w:b/>
      <w:bCs/>
      <w:sz w:val="32"/>
      <w:szCs w:val="32"/>
    </w:rPr>
  </w:style>
  <w:style w:type="paragraph" w:styleId="4">
    <w:name w:val="heading 4"/>
    <w:basedOn w:val="a"/>
    <w:next w:val="a"/>
    <w:uiPriority w:val="9"/>
    <w:unhideWhenUsed/>
    <w:qFormat/>
    <w:rsid w:val="4751B66C"/>
    <w:pPr>
      <w:keepNext/>
      <w:keepLines/>
      <w:spacing w:before="80" w:after="40"/>
      <w:outlineLvl w:val="3"/>
    </w:pPr>
    <w:rPr>
      <w:rFonts w:cstheme="majorEastAsia"/>
      <w:i/>
      <w:iCs/>
      <w:color w:val="2F5496"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character" w:styleId="a4">
    <w:name w:val="Strong"/>
    <w:uiPriority w:val="22"/>
    <w:qFormat/>
    <w:rPr>
      <w:b/>
      <w:bCs/>
    </w:rPr>
  </w:style>
  <w:style w:type="character" w:styleId="a5">
    <w:name w:val="Hyperlink"/>
    <w:uiPriority w:val="99"/>
    <w:unhideWhenUsed/>
    <w:rPr>
      <w:color w:val="0000FF"/>
      <w:u w:val="single"/>
    </w:rPr>
  </w:style>
  <w:style w:type="character" w:customStyle="1" w:styleId="30">
    <w:name w:val="标题 3 字符"/>
    <w:link w:val="3"/>
    <w:semiHidden/>
    <w:rPr>
      <w:b/>
      <w:bCs/>
      <w:kern w:val="2"/>
      <w:sz w:val="32"/>
      <w:szCs w:val="32"/>
    </w:rPr>
  </w:style>
  <w:style w:type="character" w:customStyle="1" w:styleId="10">
    <w:name w:val="标题 1 字符"/>
    <w:link w:val="1"/>
    <w:uiPriority w:val="9"/>
    <w:rPr>
      <w:rFonts w:ascii="宋体" w:hAnsi="宋体" w:cs="宋体"/>
      <w:b/>
      <w:bCs/>
      <w:kern w:val="36"/>
      <w:sz w:val="48"/>
      <w:szCs w:val="48"/>
    </w:rPr>
  </w:style>
  <w:style w:type="paragraph" w:styleId="a6">
    <w:name w:val="caption"/>
    <w:basedOn w:val="a"/>
    <w:next w:val="a"/>
    <w:qFormat/>
    <w:rPr>
      <w:rFonts w:ascii="等线 Light" w:eastAsia="黑体" w:hAnsi="等线 Light"/>
      <w:sz w:val="20"/>
      <w:szCs w:val="20"/>
    </w:rPr>
  </w:style>
  <w:style w:type="paragraph" w:styleId="a7">
    <w:name w:val="header"/>
    <w:basedOn w:val="a"/>
    <w:pPr>
      <w:pBdr>
        <w:bottom w:val="single" w:sz="6" w:space="1" w:color="auto"/>
      </w:pBdr>
      <w:tabs>
        <w:tab w:val="center" w:pos="4153"/>
        <w:tab w:val="right" w:pos="8306"/>
      </w:tabs>
      <w:snapToGrid w:val="0"/>
      <w:jc w:val="center"/>
    </w:pPr>
    <w:rPr>
      <w:sz w:val="18"/>
      <w:szCs w:val="18"/>
    </w:rPr>
  </w:style>
  <w:style w:type="paragraph" w:styleId="a8">
    <w:name w:val="footer"/>
    <w:basedOn w:val="a"/>
    <w:pPr>
      <w:tabs>
        <w:tab w:val="center" w:pos="4153"/>
        <w:tab w:val="right" w:pos="8306"/>
      </w:tabs>
      <w:snapToGrid w:val="0"/>
      <w:jc w:val="left"/>
    </w:pPr>
    <w:rPr>
      <w:sz w:val="18"/>
      <w:szCs w:val="18"/>
    </w:rPr>
  </w:style>
  <w:style w:type="paragraph" w:customStyle="1" w:styleId="pic-info">
    <w:name w:val="pic-info"/>
    <w:basedOn w:val="a"/>
    <w:pPr>
      <w:widowControl/>
      <w:spacing w:before="100" w:beforeAutospacing="1" w:after="100" w:afterAutospacing="1"/>
      <w:jc w:val="left"/>
    </w:pPr>
    <w:rPr>
      <w:rFonts w:ascii="宋体" w:hAnsi="宋体" w:cs="宋体"/>
      <w:kern w:val="0"/>
      <w:sz w:val="24"/>
    </w:rPr>
  </w:style>
  <w:style w:type="paragraph" w:customStyle="1" w:styleId="p15">
    <w:name w:val="p15"/>
    <w:basedOn w:val="a"/>
    <w:pPr>
      <w:widowControl/>
      <w:spacing w:after="180"/>
      <w:ind w:left="720" w:hanging="288"/>
      <w:jc w:val="left"/>
    </w:pPr>
    <w:rPr>
      <w:rFonts w:ascii="Calibri" w:hAnsi="Calibri" w:cs="Calibri"/>
      <w:color w:val="000000"/>
      <w:kern w:val="0"/>
      <w:sz w:val="24"/>
    </w:rPr>
  </w:style>
  <w:style w:type="paragraph" w:customStyle="1" w:styleId="p0">
    <w:name w:val="p0"/>
    <w:basedOn w:val="a"/>
    <w:pPr>
      <w:widowControl/>
      <w:spacing w:after="180" w:line="273" w:lineRule="auto"/>
      <w:jc w:val="left"/>
    </w:pPr>
    <w:rPr>
      <w:rFonts w:ascii="Calibri" w:hAnsi="Calibri" w:cs="Calibri"/>
      <w:kern w:val="0"/>
      <w:sz w:val="24"/>
    </w:rPr>
  </w:style>
  <w:style w:type="table" w:styleId="a9">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Normal (Web)"/>
    <w:basedOn w:val="a"/>
    <w:uiPriority w:val="99"/>
    <w:unhideWhenUsed/>
    <w:rsid w:val="00D078F1"/>
    <w:pPr>
      <w:widowControl/>
      <w:spacing w:before="100" w:beforeAutospacing="1" w:after="100" w:afterAutospacing="1"/>
      <w:jc w:val="left"/>
    </w:pPr>
    <w:rPr>
      <w:rFonts w:ascii="宋体" w:hAnsi="宋体" w:cs="宋体"/>
      <w:kern w:val="0"/>
      <w:sz w:val="24"/>
    </w:rPr>
  </w:style>
  <w:style w:type="paragraph" w:styleId="ab">
    <w:name w:val="List Paragraph"/>
    <w:basedOn w:val="a"/>
    <w:uiPriority w:val="99"/>
    <w:qFormat/>
    <w:rsid w:val="006A48B9"/>
    <w:pPr>
      <w:ind w:firstLineChars="200" w:firstLine="420"/>
    </w:pPr>
  </w:style>
  <w:style w:type="character" w:customStyle="1" w:styleId="normaltextrun">
    <w:name w:val="normaltextrun"/>
    <w:basedOn w:val="a0"/>
    <w:rsid w:val="00D864C2"/>
  </w:style>
  <w:style w:type="character" w:customStyle="1" w:styleId="eop">
    <w:name w:val="eop"/>
    <w:basedOn w:val="a0"/>
    <w:rsid w:val="00D864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4134274">
      <w:bodyDiv w:val="1"/>
      <w:marLeft w:val="0"/>
      <w:marRight w:val="0"/>
      <w:marTop w:val="0"/>
      <w:marBottom w:val="0"/>
      <w:divBdr>
        <w:top w:val="none" w:sz="0" w:space="0" w:color="auto"/>
        <w:left w:val="none" w:sz="0" w:space="0" w:color="auto"/>
        <w:bottom w:val="none" w:sz="0" w:space="0" w:color="auto"/>
        <w:right w:val="none" w:sz="0" w:space="0" w:color="auto"/>
      </w:divBdr>
    </w:div>
    <w:div w:id="407924849">
      <w:bodyDiv w:val="1"/>
      <w:marLeft w:val="0"/>
      <w:marRight w:val="0"/>
      <w:marTop w:val="0"/>
      <w:marBottom w:val="0"/>
      <w:divBdr>
        <w:top w:val="none" w:sz="0" w:space="0" w:color="auto"/>
        <w:left w:val="none" w:sz="0" w:space="0" w:color="auto"/>
        <w:bottom w:val="none" w:sz="0" w:space="0" w:color="auto"/>
        <w:right w:val="none" w:sz="0" w:space="0" w:color="auto"/>
      </w:divBdr>
    </w:div>
    <w:div w:id="413669032">
      <w:bodyDiv w:val="1"/>
      <w:marLeft w:val="0"/>
      <w:marRight w:val="0"/>
      <w:marTop w:val="0"/>
      <w:marBottom w:val="0"/>
      <w:divBdr>
        <w:top w:val="none" w:sz="0" w:space="0" w:color="auto"/>
        <w:left w:val="none" w:sz="0" w:space="0" w:color="auto"/>
        <w:bottom w:val="none" w:sz="0" w:space="0" w:color="auto"/>
        <w:right w:val="none" w:sz="0" w:space="0" w:color="auto"/>
      </w:divBdr>
    </w:div>
    <w:div w:id="471094366">
      <w:bodyDiv w:val="1"/>
      <w:marLeft w:val="0"/>
      <w:marRight w:val="0"/>
      <w:marTop w:val="0"/>
      <w:marBottom w:val="0"/>
      <w:divBdr>
        <w:top w:val="none" w:sz="0" w:space="0" w:color="auto"/>
        <w:left w:val="none" w:sz="0" w:space="0" w:color="auto"/>
        <w:bottom w:val="none" w:sz="0" w:space="0" w:color="auto"/>
        <w:right w:val="none" w:sz="0" w:space="0" w:color="auto"/>
      </w:divBdr>
    </w:div>
    <w:div w:id="719480302">
      <w:bodyDiv w:val="1"/>
      <w:marLeft w:val="0"/>
      <w:marRight w:val="0"/>
      <w:marTop w:val="0"/>
      <w:marBottom w:val="0"/>
      <w:divBdr>
        <w:top w:val="none" w:sz="0" w:space="0" w:color="auto"/>
        <w:left w:val="none" w:sz="0" w:space="0" w:color="auto"/>
        <w:bottom w:val="none" w:sz="0" w:space="0" w:color="auto"/>
        <w:right w:val="none" w:sz="0" w:space="0" w:color="auto"/>
      </w:divBdr>
    </w:div>
    <w:div w:id="728505109">
      <w:bodyDiv w:val="1"/>
      <w:marLeft w:val="0"/>
      <w:marRight w:val="0"/>
      <w:marTop w:val="0"/>
      <w:marBottom w:val="0"/>
      <w:divBdr>
        <w:top w:val="none" w:sz="0" w:space="0" w:color="auto"/>
        <w:left w:val="none" w:sz="0" w:space="0" w:color="auto"/>
        <w:bottom w:val="none" w:sz="0" w:space="0" w:color="auto"/>
        <w:right w:val="none" w:sz="0" w:space="0" w:color="auto"/>
      </w:divBdr>
    </w:div>
    <w:div w:id="1199201477">
      <w:bodyDiv w:val="1"/>
      <w:marLeft w:val="0"/>
      <w:marRight w:val="0"/>
      <w:marTop w:val="0"/>
      <w:marBottom w:val="0"/>
      <w:divBdr>
        <w:top w:val="none" w:sz="0" w:space="0" w:color="auto"/>
        <w:left w:val="none" w:sz="0" w:space="0" w:color="auto"/>
        <w:bottom w:val="none" w:sz="0" w:space="0" w:color="auto"/>
        <w:right w:val="none" w:sz="0" w:space="0" w:color="auto"/>
      </w:divBdr>
    </w:div>
    <w:div w:id="1255089813">
      <w:bodyDiv w:val="1"/>
      <w:marLeft w:val="0"/>
      <w:marRight w:val="0"/>
      <w:marTop w:val="0"/>
      <w:marBottom w:val="0"/>
      <w:divBdr>
        <w:top w:val="none" w:sz="0" w:space="0" w:color="auto"/>
        <w:left w:val="none" w:sz="0" w:space="0" w:color="auto"/>
        <w:bottom w:val="none" w:sz="0" w:space="0" w:color="auto"/>
        <w:right w:val="none" w:sz="0" w:space="0" w:color="auto"/>
      </w:divBdr>
    </w:div>
    <w:div w:id="1464999306">
      <w:bodyDiv w:val="1"/>
      <w:marLeft w:val="0"/>
      <w:marRight w:val="0"/>
      <w:marTop w:val="0"/>
      <w:marBottom w:val="0"/>
      <w:divBdr>
        <w:top w:val="none" w:sz="0" w:space="0" w:color="auto"/>
        <w:left w:val="none" w:sz="0" w:space="0" w:color="auto"/>
        <w:bottom w:val="none" w:sz="0" w:space="0" w:color="auto"/>
        <w:right w:val="none" w:sz="0" w:space="0" w:color="auto"/>
      </w:divBdr>
    </w:div>
    <w:div w:id="1605266399">
      <w:bodyDiv w:val="1"/>
      <w:marLeft w:val="0"/>
      <w:marRight w:val="0"/>
      <w:marTop w:val="0"/>
      <w:marBottom w:val="0"/>
      <w:divBdr>
        <w:top w:val="none" w:sz="0" w:space="0" w:color="auto"/>
        <w:left w:val="none" w:sz="0" w:space="0" w:color="auto"/>
        <w:bottom w:val="none" w:sz="0" w:space="0" w:color="auto"/>
        <w:right w:val="none" w:sz="0" w:space="0" w:color="auto"/>
      </w:divBdr>
    </w:div>
    <w:div w:id="2115441752">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20/10/relationships/intelligence" Target="intelligence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B0966C-9103-4781-9BF9-FA80D50E8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120</Words>
  <Characters>739</Characters>
  <Application>Microsoft Office Word</Application>
  <DocSecurity>0</DocSecurity>
  <PresentationFormat/>
  <Lines>17</Lines>
  <Paragraphs>9</Paragraphs>
  <Slides>0</Slides>
  <Notes>0</Notes>
  <HiddenSlides>0</HiddenSlides>
  <MMClips>0</MMClips>
  <ScaleCrop>false</ScaleCrop>
  <Manager/>
  <Company>Lenovo</Company>
  <LinksUpToDate>false</LinksUpToDate>
  <CharactersWithSpaces>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华南理工大学</dc:title>
  <dc:subject/>
  <dc:creator>liangqs</dc:creator>
  <cp:keywords/>
  <dc:description/>
  <cp:lastModifiedBy>Lancovier Produxer</cp:lastModifiedBy>
  <cp:revision>2</cp:revision>
  <cp:lastPrinted>2019-03-26T05:15:00Z</cp:lastPrinted>
  <dcterms:created xsi:type="dcterms:W3CDTF">2026-05-02T04:11:00Z</dcterms:created>
  <dcterms:modified xsi:type="dcterms:W3CDTF">2026-05-02T04:11:00Z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2052-11.1.0.8527</vt:lpwstr>
  </property>
  <property fmtid="{D5CDD505-2E9C-101B-9397-08002B2CF9AE}" pid="3" name="BIBFILE">
    <vt:lpwstr>C:\Users\Jerry\Desktop\文档\ref.bib</vt:lpwstr>
  </property>
  <property fmtid="{D5CDD505-2E9C-101B-9397-08002B2CF9AE}" pid="4" name="BIBSTYLE">
    <vt:lpwstr>plain</vt:lpwstr>
  </property>
</Properties>
</file>