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Янушкевич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</w:t>
      </w:r>
    </w:p>
    <w:bookmarkEnd w:id="20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для ЛБ9, в нём создать файл lab09-1.asm.(рис.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49800" cy="1066800"/>
            <wp:effectExtent b="0" l="0" r="0" t="0"/>
            <wp:docPr descr="Figure 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С помощью команды touch создаём файл lab09-1.asm.</w:t>
      </w:r>
    </w:p>
    <w:p>
      <w:pPr>
        <w:numPr>
          <w:ilvl w:val="0"/>
          <w:numId w:val="1002"/>
        </w:numPr>
        <w:pStyle w:val="Compact"/>
      </w:pPr>
      <w:r>
        <w:t xml:space="preserve">В файл lab09-1.asm ввести программу из листинга 9.1.(рис.(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2501900" cy="9652000"/>
            <wp:effectExtent b="0" l="0" r="0" t="0"/>
            <wp:docPr descr="Figure 2: Вв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965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Ввод программы</w:t>
      </w:r>
    </w:p>
    <w:bookmarkEnd w:id="0"/>
    <w:p>
      <w:pPr>
        <w:pStyle w:val="BodyText"/>
      </w:pPr>
      <w:r>
        <w:t xml:space="preserve">Вводим в файл lab09-1.asm текст программы из листинга 9.1.</w:t>
      </w:r>
    </w:p>
    <w:p>
      <w:pPr>
        <w:numPr>
          <w:ilvl w:val="0"/>
          <w:numId w:val="1003"/>
        </w:numPr>
        <w:pStyle w:val="Compact"/>
      </w:pPr>
      <w:r>
        <w:t xml:space="preserve">Создать исполняемый файл, проверить его работу.(рис.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48521"/>
            <wp:effectExtent b="0" l="0" r="0" t="0"/>
            <wp:docPr descr="Figure 3: Создание исполняемого файла, проверк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исполняемого файла, проверка программы</w:t>
      </w:r>
    </w:p>
    <w:bookmarkEnd w:id="0"/>
    <w:p>
      <w:pPr>
        <w:pStyle w:val="BodyText"/>
      </w:pPr>
      <w:r>
        <w:t xml:space="preserve">Вводим необходимые команды, чтобы создать исполняемый файл. Проверяем его работу.</w:t>
      </w:r>
    </w:p>
    <w:p>
      <w:pPr>
        <w:numPr>
          <w:ilvl w:val="0"/>
          <w:numId w:val="1004"/>
        </w:numPr>
        <w:pStyle w:val="Compact"/>
      </w:pPr>
      <w:r>
        <w:t xml:space="preserve">Изменить текст программы(рис.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654300" cy="8534400"/>
            <wp:effectExtent b="0" l="0" r="0" t="0"/>
            <wp:docPr descr="Figure 4: Изменение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в файл lab09-1.asm вносим необходимые изменения, добавив подпрограмму _subcalcul в подпрограмму _calcul.</w:t>
      </w:r>
    </w:p>
    <w:p>
      <w:pPr>
        <w:numPr>
          <w:ilvl w:val="0"/>
          <w:numId w:val="1005"/>
        </w:numPr>
        <w:pStyle w:val="Compact"/>
      </w:pPr>
      <w:r>
        <w:t xml:space="preserve">Создать исполняемый файл, проверить его работу.(рис.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71056"/>
            <wp:effectExtent b="0" l="0" r="0" t="0"/>
            <wp:docPr descr="Figure 5: Создание исполняемого файла, проверка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исполняемого файла, проверка программы</w:t>
      </w:r>
    </w:p>
    <w:bookmarkEnd w:id="0"/>
    <w:p>
      <w:pPr>
        <w:pStyle w:val="BodyText"/>
      </w:pPr>
      <w:r>
        <w:t xml:space="preserve">Вводим необходимые команды, чтобы создать исполняемый файл. Проверяем его работу. Число 17 является правильным ответом.</w:t>
      </w:r>
    </w:p>
    <w:p>
      <w:pPr>
        <w:numPr>
          <w:ilvl w:val="0"/>
          <w:numId w:val="1006"/>
        </w:numPr>
        <w:pStyle w:val="Compact"/>
      </w:pPr>
      <w:r>
        <w:t xml:space="preserve">Создать файл lab09-2.asm, ввести в него текст программы листинга 9.2.(рис.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2463800" cy="5283200"/>
            <wp:effectExtent b="0" l="0" r="0" t="0"/>
            <wp:docPr descr="Figure 6: Ввод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Ввод программы</w:t>
      </w:r>
    </w:p>
    <w:bookmarkEnd w:id="0"/>
    <w:p>
      <w:pPr>
        <w:pStyle w:val="BodyText"/>
      </w:pPr>
      <w:r>
        <w:t xml:space="preserve">Создаём файл lab09-2.asm, в него вводим код из листинга 9.2.</w:t>
      </w:r>
    </w:p>
    <w:p>
      <w:pPr>
        <w:numPr>
          <w:ilvl w:val="0"/>
          <w:numId w:val="1007"/>
        </w:numPr>
        <w:pStyle w:val="Compact"/>
      </w:pPr>
      <w:r>
        <w:t xml:space="preserve">Получить исполняемый файл, проверить его работу.(рис.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231587"/>
            <wp:effectExtent b="0" l="0" r="0" t="0"/>
            <wp:docPr descr="Figure 7: Создание исполняемого файла, проверка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файла, проверка программы</w:t>
      </w:r>
    </w:p>
    <w:bookmarkEnd w:id="0"/>
    <w:p>
      <w:pPr>
        <w:pStyle w:val="BodyText"/>
      </w:pPr>
      <w:r>
        <w:t xml:space="preserve">Для работы с GDB в исполняемый файл необходимо добавить отладочную информацию, для этого вводим ключ -g. Загружаем файл в отладчик GDB, запускаем с помощью команды run.</w:t>
      </w:r>
    </w:p>
    <w:p>
      <w:pPr>
        <w:numPr>
          <w:ilvl w:val="0"/>
          <w:numId w:val="1008"/>
        </w:numPr>
        <w:pStyle w:val="Compact"/>
      </w:pPr>
      <w:r>
        <w:t xml:space="preserve">Установить брейкпоинт, запустить программу.(рис.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74996"/>
            <wp:effectExtent b="0" l="0" r="0" t="0"/>
            <wp:docPr descr="Figure 8: Установка брейкпоинта.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Установка брейкпоинта.</w:t>
      </w:r>
    </w:p>
    <w:bookmarkEnd w:id="0"/>
    <w:p>
      <w:pPr>
        <w:pStyle w:val="BodyText"/>
      </w:pPr>
      <w:r>
        <w:t xml:space="preserve">С помощью команды break _start устанавливаем брейкпоинт. С помощью команды run запускаем программу.</w:t>
      </w:r>
    </w:p>
    <w:p>
      <w:pPr>
        <w:numPr>
          <w:ilvl w:val="0"/>
          <w:numId w:val="1009"/>
        </w:numPr>
        <w:pStyle w:val="Compact"/>
      </w:pPr>
      <w:r>
        <w:t xml:space="preserve">Посмотреть дисассимилированный код программы, переключиться на отображение команд с INTEL’овским синтаксисом.(рис.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927600" cy="8204200"/>
            <wp:effectExtent b="0" l="0" r="0" t="0"/>
            <wp:docPr descr="Figure 9: Просмотр дисассимилированного кода, переключение синтаксис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20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Просмотр дисассимилированного кода, переключение синтаксиса</w:t>
      </w:r>
    </w:p>
    <w:bookmarkEnd w:id="0"/>
    <w:p>
      <w:pPr>
        <w:pStyle w:val="BodyText"/>
      </w:pPr>
      <w:r>
        <w:t xml:space="preserve">С помощью команды disassemble просматриваем дисассимилированный код. Далее переключаем синтаксис с помощью команды set.</w:t>
      </w:r>
    </w:p>
    <w:p>
      <w:pPr>
        <w:numPr>
          <w:ilvl w:val="0"/>
          <w:numId w:val="1010"/>
        </w:numPr>
        <w:pStyle w:val="Compact"/>
      </w:pPr>
      <w:r>
        <w:t xml:space="preserve">Включить режим псевдографики.(рис.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245100" cy="6400800"/>
            <wp:effectExtent b="0" l="0" r="0" t="0"/>
            <wp:docPr descr="Figure 10: Включение режима псевдографики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Включение режима псевдографики</w:t>
      </w:r>
    </w:p>
    <w:bookmarkEnd w:id="0"/>
    <w:p>
      <w:pPr>
        <w:pStyle w:val="BodyText"/>
      </w:pPr>
      <w:r>
        <w:t xml:space="preserve">Вводим необходимые команды для включения режима псевдографики.</w:t>
      </w:r>
    </w:p>
    <w:p>
      <w:pPr>
        <w:numPr>
          <w:ilvl w:val="0"/>
          <w:numId w:val="1011"/>
        </w:numPr>
        <w:pStyle w:val="Compact"/>
      </w:pPr>
      <w:r>
        <w:t xml:space="preserve">Проверить точку останова.(рис.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74150"/>
            <wp:effectExtent b="0" l="0" r="0" t="0"/>
            <wp:docPr descr="Figure 11: Проверка точки останов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Проверка точки останова</w:t>
      </w:r>
    </w:p>
    <w:bookmarkEnd w:id="0"/>
    <w:p>
      <w:pPr>
        <w:pStyle w:val="BodyText"/>
      </w:pPr>
      <w:r>
        <w:t xml:space="preserve">С помощью команды breakpoints проверяем точку останова.</w:t>
      </w:r>
    </w:p>
    <w:p>
      <w:pPr>
        <w:numPr>
          <w:ilvl w:val="0"/>
          <w:numId w:val="1012"/>
        </w:numPr>
        <w:pStyle w:val="Compact"/>
      </w:pPr>
      <w:r>
        <w:t xml:space="preserve">Определить адрес предпоследней инструкции и установаить точку останова, посмотреть информацию о всех установленных точках останова.(рис.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811547"/>
            <wp:effectExtent b="0" l="0" r="0" t="0"/>
            <wp:docPr descr="Figure 12: Определение адреса, просмотр информаци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Определение адреса, просмотр информации</w:t>
      </w:r>
    </w:p>
    <w:bookmarkEnd w:id="0"/>
    <w:p>
      <w:pPr>
        <w:pStyle w:val="BodyText"/>
      </w:pPr>
      <w:r>
        <w:t xml:space="preserve">С помощью команды break устанавливаем точку останова, с помощью команды i b просматриваем информацию о других точках.</w:t>
      </w:r>
    </w:p>
    <w:p>
      <w:pPr>
        <w:numPr>
          <w:ilvl w:val="0"/>
          <w:numId w:val="1013"/>
        </w:numPr>
        <w:pStyle w:val="Compact"/>
      </w:pPr>
      <w:r>
        <w:t xml:space="preserve">Выполнить 5 инструкций, проследить за изменением значений регистров.(рис.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4328700"/>
            <wp:effectExtent b="0" l="0" r="0" t="0"/>
            <wp:docPr descr="Figure 13: Выполнение инструкций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Выполнение инструкций</w:t>
      </w:r>
    </w:p>
    <w:bookmarkEnd w:id="0"/>
    <w:p>
      <w:pPr>
        <w:pStyle w:val="BodyText"/>
      </w:pPr>
      <w:r>
        <w:t xml:space="preserve">С помощью команды si просматриваем изменение значений регистров. Изменяются eax,ebx,ecx,edx.</w:t>
      </w:r>
    </w:p>
    <w:p>
      <w:pPr>
        <w:numPr>
          <w:ilvl w:val="0"/>
          <w:numId w:val="1014"/>
        </w:numPr>
        <w:pStyle w:val="Compact"/>
      </w:pPr>
      <w:r>
        <w:t xml:space="preserve">Просмотреть значение переменной msg1.(рис.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3784600" cy="800100"/>
            <wp:effectExtent b="0" l="0" r="0" t="0"/>
            <wp:docPr descr="Figure 14: Просмотр значения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Просмотр значения</w:t>
      </w:r>
    </w:p>
    <w:bookmarkEnd w:id="0"/>
    <w:p>
      <w:pPr>
        <w:pStyle w:val="BodyText"/>
      </w:pPr>
      <w:r>
        <w:t xml:space="preserve">Вводим необходимую команду,смотрим значение переменной.</w:t>
      </w:r>
    </w:p>
    <w:p>
      <w:pPr>
        <w:numPr>
          <w:ilvl w:val="0"/>
          <w:numId w:val="1015"/>
        </w:numPr>
        <w:pStyle w:val="Compact"/>
      </w:pPr>
      <w:r>
        <w:t xml:space="preserve">Просмотреть значение переменной msg2.(рис.</w:t>
      </w:r>
      <w:r>
        <w:t xml:space="preserve"> </w:t>
      </w:r>
      <w:hyperlink w:anchor="fig:015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038600" cy="1003300"/>
            <wp:effectExtent b="0" l="0" r="0" t="0"/>
            <wp:docPr descr="Figure 15: Просмотр значения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Просмотр значения</w:t>
      </w:r>
    </w:p>
    <w:bookmarkEnd w:id="0"/>
    <w:p>
      <w:pPr>
        <w:pStyle w:val="BodyText"/>
      </w:pPr>
      <w:r>
        <w:t xml:space="preserve">Вводим необходимую команду, смотрим значение переменной.</w:t>
      </w:r>
    </w:p>
    <w:p>
      <w:pPr>
        <w:numPr>
          <w:ilvl w:val="0"/>
          <w:numId w:val="1016"/>
        </w:numPr>
        <w:pStyle w:val="Compact"/>
      </w:pPr>
      <w:r>
        <w:t xml:space="preserve">Изменение первого символа переменной msg1.(рис. ??)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4038600" cy="1003300"/>
            <wp:effectExtent b="0" l="0" r="0" t="0"/>
            <wp:docPr descr="Figure 16: Изменение первого символ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Изменение первого символа</w:t>
      </w:r>
    </w:p>
    <w:bookmarkEnd w:id="0"/>
    <w:p>
      <w:pPr>
        <w:pStyle w:val="BodyText"/>
      </w:pPr>
      <w:r>
        <w:t xml:space="preserve">С помощью команды set изменяем символ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Изменение любого символа переменной msg2.(рис.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4025900" cy="1231900"/>
            <wp:effectExtent b="0" l="0" r="0" t="0"/>
            <wp:docPr descr="Figure 17: Изменение символа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Изменение символа</w:t>
      </w:r>
    </w:p>
    <w:bookmarkEnd w:id="0"/>
    <w:p>
      <w:pPr>
        <w:pStyle w:val="BodyText"/>
      </w:pPr>
      <w:r>
        <w:t xml:space="preserve">С помощью команды set изменяем несколько символов в переменной msg2.</w:t>
      </w:r>
    </w:p>
    <w:p>
      <w:pPr>
        <w:numPr>
          <w:ilvl w:val="0"/>
          <w:numId w:val="1018"/>
        </w:numPr>
        <w:pStyle w:val="Compact"/>
      </w:pPr>
      <w:r>
        <w:t xml:space="preserve">Вывести регистр edx в различных форматах.(рис.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2095500" cy="1612900"/>
            <wp:effectExtent b="0" l="0" r="0" t="0"/>
            <wp:docPr descr="Figure 18: Вывод регистр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Вывод регистра</w:t>
      </w:r>
    </w:p>
    <w:bookmarkEnd w:id="0"/>
    <w:p>
      <w:pPr>
        <w:pStyle w:val="BodyText"/>
      </w:pPr>
      <w:r>
        <w:t xml:space="preserve">Выводим значение регистра edx с шестнадцатеричном, двоичном и символьном форматах.</w:t>
      </w:r>
    </w:p>
    <w:p>
      <w:pPr>
        <w:numPr>
          <w:ilvl w:val="0"/>
          <w:numId w:val="1019"/>
        </w:numPr>
        <w:pStyle w:val="Compact"/>
      </w:pPr>
      <w:r>
        <w:t xml:space="preserve">Изменение значения регистра ebx.(рис.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2679700" cy="1638300"/>
            <wp:effectExtent b="0" l="0" r="0" t="0"/>
            <wp:docPr descr="Figure 19: Изменение значения регистр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Изменение значения регистра</w:t>
      </w:r>
    </w:p>
    <w:bookmarkEnd w:id="0"/>
    <w:p>
      <w:pPr>
        <w:pStyle w:val="BodyText"/>
      </w:pPr>
      <w:r>
        <w:t xml:space="preserve">С помощью команды set изменяем значение регистра ebx.</w:t>
      </w:r>
    </w:p>
    <w:p>
      <w:pPr>
        <w:numPr>
          <w:ilvl w:val="0"/>
          <w:numId w:val="1020"/>
        </w:numPr>
        <w:pStyle w:val="Compact"/>
      </w:pPr>
      <w:r>
        <w:t xml:space="preserve">Скопировать файл lab8-2.asm, создать исполняемый файл, загрузить в GDB.(рис.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2458795"/>
            <wp:effectExtent b="0" l="0" r="0" t="0"/>
            <wp:docPr descr="Figure 20: Копирование файла, загрузка в GDB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Копирование файла, загрузка в GDB</w:t>
      </w:r>
    </w:p>
    <w:bookmarkEnd w:id="0"/>
    <w:p>
      <w:pPr>
        <w:pStyle w:val="BodyText"/>
      </w:pPr>
      <w:r>
        <w:t xml:space="preserve">Копируем файл lab8-2.asm, создаём исполняемый файл, загружаем в GDB, используя ключ –args.</w:t>
      </w:r>
    </w:p>
    <w:p>
      <w:pPr>
        <w:numPr>
          <w:ilvl w:val="0"/>
          <w:numId w:val="1021"/>
        </w:numPr>
        <w:pStyle w:val="Compact"/>
      </w:pPr>
      <w:r>
        <w:t xml:space="preserve">Установка точки останова, запуск инструкции.(рис.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2032313"/>
            <wp:effectExtent b="0" l="0" r="0" t="0"/>
            <wp:docPr descr="Figure 21: Установка точки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Установка точки</w:t>
      </w:r>
    </w:p>
    <w:bookmarkEnd w:id="0"/>
    <w:p>
      <w:pPr>
        <w:pStyle w:val="BodyText"/>
      </w:pPr>
      <w:r>
        <w:t xml:space="preserve">Устанавливаем точку останова, запускаем инструкцию с помощью команды run.</w:t>
      </w:r>
    </w:p>
    <w:p>
      <w:pPr>
        <w:numPr>
          <w:ilvl w:val="0"/>
          <w:numId w:val="1022"/>
        </w:numPr>
        <w:pStyle w:val="Compact"/>
      </w:pPr>
      <w:r>
        <w:t xml:space="preserve">Посмотреть все позиции стека в регистре esp.(рис.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22"/>
    <w:p>
      <w:pPr>
        <w:pStyle w:val="FirstParagraph"/>
      </w:pPr>
      <w:bookmarkStart w:id="105" w:name="fig:022"/>
      <w:r>
        <w:t xml:space="preserve">Figure 22: Просмотр позиций стека</w:t>
      </w:r>
      <w:bookmarkEnd w:id="105"/>
    </w:p>
    <w:bookmarkEnd w:id="0"/>
    <w:p>
      <w:pPr>
        <w:pStyle w:val="BodyText"/>
      </w:pPr>
      <w:r>
        <w:t xml:space="preserve">С помощью определенных команд просматриваем все позиции стека в регистре esp, находящиеся в памяти.</w:t>
      </w:r>
    </w:p>
    <w:bookmarkEnd w:id="106"/>
    <w:bookmarkStart w:id="10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23"/>
        </w:numPr>
        <w:pStyle w:val="Compact"/>
      </w:pPr>
      <w:r>
        <w:t xml:space="preserve">Создать файл lab09-4.asm.(рис.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</w:t>
      </w:r>
    </w:p>
    <w:bookmarkStart w:id="0" w:name="fig:023"/>
    <w:p>
      <w:pPr>
        <w:pStyle w:val="FirstParagraph"/>
      </w:pPr>
      <w:bookmarkStart w:id="107" w:name="fig:023"/>
      <w:r>
        <w:t xml:space="preserve">Figure 23: Создание файла</w:t>
      </w:r>
      <w:bookmarkEnd w:id="107"/>
    </w:p>
    <w:bookmarkEnd w:id="0"/>
    <w:p>
      <w:pPr>
        <w:pStyle w:val="BodyText"/>
      </w:pPr>
      <w:r>
        <w:t xml:space="preserve">С помощью команды touch создать файл lab09-4.asm.</w:t>
      </w:r>
    </w:p>
    <w:p>
      <w:pPr>
        <w:numPr>
          <w:ilvl w:val="0"/>
          <w:numId w:val="1024"/>
        </w:numPr>
        <w:pStyle w:val="Compact"/>
      </w:pPr>
      <w:r>
        <w:t xml:space="preserve">Вводим в файл текст измененной программы(рис.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</w:t>
      </w:r>
    </w:p>
    <w:bookmarkStart w:id="0" w:name="fig:024"/>
    <w:p>
      <w:pPr>
        <w:pStyle w:val="FirstParagraph"/>
      </w:pPr>
      <w:bookmarkStart w:id="108" w:name="fig:024"/>
      <w:r>
        <w:t xml:space="preserve">Figure 24: Ввод программы</w:t>
      </w:r>
      <w:bookmarkEnd w:id="108"/>
    </w:p>
    <w:bookmarkEnd w:id="0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этой лабораторной работе я приобрёл навыки по использованию GDB, и с помощью неё смог ознакомился с методами отладки программ. Также смог написать программы с использованием подпрограмм.</w:t>
      </w:r>
    </w:p>
    <w:bookmarkEnd w:id="110"/>
    <w:bookmarkStart w:id="112" w:name="список-литературы"/>
    <w:p>
      <w:pPr>
        <w:pStyle w:val="Heading1"/>
      </w:pPr>
      <w:r>
        <w:t xml:space="preserve">Список литературы</w:t>
      </w:r>
    </w:p>
    <w:bookmarkStart w:id="111" w:name="refs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Янушкевич Михаил денисович</dc:creator>
  <dc:language>ru-RU</dc:language>
  <cp:keywords/>
  <dcterms:created xsi:type="dcterms:W3CDTF">2023-12-09T20:47:53Z</dcterms:created>
  <dcterms:modified xsi:type="dcterms:W3CDTF">2023-12-09T20:47:53Z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