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310371">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310371">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310371">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310371">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2" w:name="_Toc309237968"/>
      <w:r>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lastRenderedPageBreak/>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lastRenderedPageBreak/>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309237969"/>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309237970"/>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1"/>
      </w:r>
    </w:p>
    <w:p w:rsidR="005C7AD0" w:rsidRDefault="005C7AD0" w:rsidP="00B00866">
      <w:r>
        <w:lastRenderedPageBreak/>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2"/>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3"/>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4"/>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constants needed will both be represented in constant form in the output code, as well as needing to be copied to variables and then take variable space.</w:t>
      </w:r>
    </w:p>
    <w:p w:rsidR="0082292C" w:rsidRDefault="00803979" w:rsidP="0082292C">
      <w:pPr>
        <w:pStyle w:val="Heading1"/>
      </w:pPr>
      <w:bookmarkStart w:id="6" w:name="_Toc309237971"/>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lastRenderedPageBreak/>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309237972"/>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9" w:name="_Toc309237973"/>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w:t>
      </w:r>
      <w:r>
        <w:lastRenderedPageBreak/>
        <w:t>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309237974"/>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circularly explain the objects of the language itself. That is, if the type extensions are 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309237975"/>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w:t>
      </w:r>
      <w:r>
        <w:lastRenderedPageBreak/>
        <w:t xml:space="preserve">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309237976"/>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lastRenderedPageBreak/>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309237977"/>
      <w:r>
        <w:t xml:space="preserve">The good and bad of </w:t>
      </w:r>
      <w:proofErr w:type="spellStart"/>
      <w:r>
        <w:t>Pascaline</w:t>
      </w:r>
      <w:bookmarkEnd w:id="13"/>
      <w:proofErr w:type="spellEnd"/>
    </w:p>
    <w:p w:rsidR="004F447D" w:rsidRDefault="004F447D" w:rsidP="00371DF6">
      <w:pPr>
        <w:pStyle w:val="Heading1"/>
      </w:pPr>
      <w:bookmarkStart w:id="14" w:name="_Toc309237978"/>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309237979"/>
      <w:r>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309237980"/>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lastRenderedPageBreak/>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309237981"/>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5"/>
      </w:r>
      <w:r w:rsidR="00055872">
        <w:t>.</w:t>
      </w:r>
    </w:p>
    <w:p w:rsidR="00313608" w:rsidRDefault="00313608" w:rsidP="00313608">
      <w:pPr>
        <w:pStyle w:val="Heading2"/>
      </w:pPr>
      <w:bookmarkStart w:id="18" w:name="_Toc309237982"/>
      <w:r>
        <w:t>Comments</w:t>
      </w:r>
      <w:bookmarkEnd w:id="18"/>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lastRenderedPageBreak/>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309237983"/>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309237984"/>
      <w:r>
        <w:t>Labels</w:t>
      </w:r>
      <w:bookmarkEnd w:id="20"/>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6"/>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309237985"/>
      <w:r>
        <w:lastRenderedPageBreak/>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7"/>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309237986"/>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lastRenderedPageBreak/>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309237987"/>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D15B08" w:rsidRDefault="00D15B08" w:rsidP="00D15B08">
      <w:pPr>
        <w:pStyle w:val="Heading3"/>
      </w:pPr>
      <w:r>
        <w:t>Why not negative numbers</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4" w:name="_Toc309237988"/>
      <w:r>
        <w:t>View and out parameters</w:t>
      </w:r>
      <w:bookmarkEnd w:id="24"/>
    </w:p>
    <w:p w:rsidR="008C20EC" w:rsidRDefault="008C20EC" w:rsidP="008C20EC">
      <w:r>
        <w:t>There isn't much controversy here</w:t>
      </w:r>
      <w:r w:rsidR="002E363B">
        <w:t xml:space="preserve"> for view or “protected” parameters</w:t>
      </w:r>
      <w:r w:rsidR="00D15B08">
        <w:rPr>
          <w:rStyle w:val="FootnoteReference"/>
        </w:rPr>
        <w:footnoteReference w:id="8"/>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value, variable or ...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5" w:name="_Toc309237989"/>
      <w:r>
        <w:lastRenderedPageBreak/>
        <w:t>Extended case statements</w:t>
      </w:r>
      <w:bookmarkEnd w:id="25"/>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 xml:space="preserve">I must admit that I don't share the idea of single if statement to guard a </w:t>
      </w:r>
      <w:proofErr w:type="spellStart"/>
      <w:r>
        <w:t>casestatement</w:t>
      </w:r>
      <w:proofErr w:type="spellEnd"/>
      <w:r>
        <w:t xml:space="preserve">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lastRenderedPageBreak/>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6" w:name="_Toc309237990"/>
      <w:r>
        <w:t>Variant record case ranges</w:t>
      </w:r>
      <w:bookmarkEnd w:id="26"/>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7" w:name="_Toc309237991"/>
      <w:r>
        <w:t>Array type shorthand</w:t>
      </w:r>
      <w:bookmarkEnd w:id="27"/>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8" w:name="_Toc309237992"/>
      <w:r>
        <w:t>Container arrays</w:t>
      </w:r>
      <w:bookmarkEnd w:id="28"/>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lastRenderedPageBreak/>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9"/>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0"/>
      </w:r>
      <w:r>
        <w:t>.</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lastRenderedPageBreak/>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054E18"/>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w:t>
      </w:r>
      <w:r>
        <w:lastRenderedPageBreak/>
        <w:t xml:space="preserve">one, the length. In fact, the length is all that concerns the </w:t>
      </w:r>
      <w:proofErr w:type="spellStart"/>
      <w:r>
        <w:t>compliler</w:t>
      </w:r>
      <w:proofErr w:type="spellEnd"/>
      <w:r>
        <w:t xml:space="preserve"> in any case</w:t>
      </w:r>
      <w:r w:rsidR="00310371">
        <w:rPr>
          <w:rStyle w:val="FootnoteReference"/>
        </w:rPr>
        <w:footnoteReference w:id="11"/>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29" w:name="_Toc309237993"/>
      <w:r>
        <w:t>Parameterized variables</w:t>
      </w:r>
      <w:bookmarkEnd w:id="29"/>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variables that track the size of parameters or other variables</w:t>
      </w:r>
      <w:r w:rsidR="00310371">
        <w:rPr>
          <w:rStyle w:val="FootnoteReference"/>
        </w:rPr>
        <w:footnoteReference w:id="12"/>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destructor, and parameters that define their “geometry”. In the “everything is an object” school, even an integer has a constructor, destructor and potentially a parameter list on creation</w:t>
      </w:r>
      <w:r w:rsidR="00310371">
        <w:rPr>
          <w:rStyle w:val="FootnoteReference"/>
        </w:rPr>
        <w:footnoteReference w:id="13"/>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4"/>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lastRenderedPageBreak/>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5"/>
      </w:r>
      <w:r>
        <w:t>.</w:t>
      </w:r>
    </w:p>
    <w:p w:rsidR="0082292C" w:rsidRDefault="0082292C" w:rsidP="004A6536">
      <w:pPr>
        <w:pStyle w:val="Heading2"/>
      </w:pPr>
      <w:bookmarkStart w:id="30" w:name="_Toc309237994"/>
      <w:r>
        <w:t>Extended write/</w:t>
      </w:r>
      <w:proofErr w:type="spellStart"/>
      <w:r>
        <w:t>writeln</w:t>
      </w:r>
      <w:proofErr w:type="spellEnd"/>
      <w:r>
        <w:t xml:space="preserve"> statements</w:t>
      </w:r>
      <w:bookmarkEnd w:id="30"/>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actions. However, the idea of negative fields is that they </w:t>
      </w:r>
      <w:bookmarkStart w:id="31" w:name="_GoBack"/>
      <w:bookmarkEnd w:id="31"/>
      <w:r w:rsidR="00DE5791">
        <w:t xml:space="preserve">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6"/>
      </w:r>
      <w:r>
        <w:t>. Negative field specifications are a very low cost enhancement to the language.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17"/>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2" w:name="_Toc309237995"/>
      <w:r>
        <w:lastRenderedPageBreak/>
        <w:t>Extended read/</w:t>
      </w:r>
      <w:proofErr w:type="spellStart"/>
      <w:r>
        <w:t>readln</w:t>
      </w:r>
      <w:proofErr w:type="spellEnd"/>
      <w:r>
        <w:t xml:space="preserve"> statements</w:t>
      </w:r>
      <w:bookmarkEnd w:id="32"/>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3" w:name="_Toc309237996"/>
      <w:r>
        <w:t>Type converters/restrictors</w:t>
      </w:r>
      <w:bookmarkEnd w:id="33"/>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t xml:space="preserve"> and </w:t>
      </w:r>
      <w:r w:rsidRPr="00F650C3">
        <w:rPr>
          <w:rStyle w:val="referenceChar"/>
        </w:rPr>
        <w:t>char</w:t>
      </w:r>
      <w:r>
        <w:t xml:space="preserve">, and perhaps </w:t>
      </w:r>
      <w:r w:rsidRPr="00F650C3">
        <w:rPr>
          <w:rStyle w:val="referenceChar"/>
        </w:rPr>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lastRenderedPageBreak/>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lastRenderedPageBreak/>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4" w:name="_Toc309237997"/>
      <w:r>
        <w:t>Fixed objects</w:t>
      </w:r>
      <w:bookmarkEnd w:id="34"/>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5" w:name="_Toc309237998"/>
      <w:r>
        <w:t>Extended file procedures and functions</w:t>
      </w:r>
      <w:bookmarkEnd w:id="35"/>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lastRenderedPageBreak/>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6" w:name="_Toc309237999"/>
      <w:r>
        <w:t>Added program header standard bindings</w:t>
      </w:r>
      <w:bookmarkEnd w:id="36"/>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7" w:name="_Toc309238000"/>
      <w:proofErr w:type="spellStart"/>
      <w:r>
        <w:t>Redeclaration</w:t>
      </w:r>
      <w:proofErr w:type="spellEnd"/>
      <w:r>
        <w:t xml:space="preserve"> of forwarded procedures and functions</w:t>
      </w:r>
      <w:bookmarkEnd w:id="37"/>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lastRenderedPageBreak/>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8" w:name="_Toc309238001"/>
      <w:r>
        <w:t>Anonymous function result</w:t>
      </w:r>
      <w:bookmarkEnd w:id="38"/>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9" w:name="_Toc309238002"/>
      <w:r>
        <w:lastRenderedPageBreak/>
        <w:t>Extended function result</w:t>
      </w:r>
      <w:bookmarkEnd w:id="39"/>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0" w:name="_Toc309238003"/>
      <w:r>
        <w:t>Overloading of procedures and functions</w:t>
      </w:r>
      <w:bookmarkEnd w:id="40"/>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lastRenderedPageBreak/>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lastRenderedPageBreak/>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309238004"/>
      <w:r>
        <w:t>Operator overloads</w:t>
      </w:r>
      <w:bookmarkEnd w:id="41"/>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F5748A" w:rsidRDefault="00F5748A" w:rsidP="004A6536">
      <w:pPr>
        <w:pStyle w:val="Heading2"/>
      </w:pPr>
      <w:bookmarkStart w:id="42" w:name="_Toc309238005"/>
      <w:r>
        <w:t>Static procedures and functions</w:t>
      </w:r>
      <w:bookmarkEnd w:id="42"/>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Pr="00624576"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3" w:name="_Toc309238006"/>
      <w:r>
        <w:lastRenderedPageBreak/>
        <w:t>Relaxation of declaration order</w:t>
      </w:r>
      <w:bookmarkEnd w:id="43"/>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604EDB"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4" w:name="_Toc309238007"/>
      <w:r>
        <w:t>Ex</w:t>
      </w:r>
      <w:r w:rsidR="0015560D">
        <w:t>ception handling</w:t>
      </w:r>
      <w:bookmarkEnd w:id="44"/>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5" w:name="_Toc309238008"/>
      <w:r>
        <w:t>Assert procedure</w:t>
      </w:r>
      <w:bookmarkEnd w:id="45"/>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6" w:name="_Toc309238009"/>
      <w:r>
        <w:t>Extended range types</w:t>
      </w:r>
      <w:bookmarkEnd w:id="46"/>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w:t>
      </w:r>
      <w:r>
        <w:lastRenderedPageBreak/>
        <w:t>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of the type you are going to use, declare it so. Leave it to the compiler do determine if it can comply with the requested type.</w:t>
      </w:r>
    </w:p>
    <w:p w:rsidR="00F5748A" w:rsidRDefault="00F5748A" w:rsidP="004A6536">
      <w:pPr>
        <w:pStyle w:val="Heading2"/>
      </w:pPr>
      <w:bookmarkStart w:id="47" w:name="_Toc309238010"/>
      <w:r>
        <w:t>Character limit determination</w:t>
      </w:r>
      <w:bookmarkEnd w:id="47"/>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Pr="00ED5445" w:rsidRDefault="00ED5445" w:rsidP="00ED5445">
      <w:r>
        <w:t xml:space="preserve">However, there have been many times when the lack of a clearly defined maximum character code was a problem. The chief difficulty with such a limit is that, on existing character sets, that value is not a printable character. Hence, </w:t>
      </w:r>
      <w:proofErr w:type="spellStart"/>
      <w:r>
        <w:t>maxchr</w:t>
      </w:r>
      <w:proofErr w:type="spellEnd"/>
      <w:r>
        <w:t xml:space="preserve"> is a numeric value.</w:t>
      </w:r>
    </w:p>
    <w:p w:rsidR="00F5748A" w:rsidRDefault="00F5748A" w:rsidP="004A6536">
      <w:pPr>
        <w:pStyle w:val="Heading2"/>
      </w:pPr>
      <w:bookmarkStart w:id="48" w:name="_Toc309238011"/>
      <w:r>
        <w:t>Matrix mathematics</w:t>
      </w:r>
      <w:bookmarkEnd w:id="48"/>
    </w:p>
    <w:p w:rsidR="000E0EE3" w:rsidRP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F5748A" w:rsidRDefault="00F5748A" w:rsidP="004A6536">
      <w:pPr>
        <w:pStyle w:val="Heading2"/>
      </w:pPr>
      <w:bookmarkStart w:id="49" w:name="_Toc309238012"/>
      <w:r>
        <w:lastRenderedPageBreak/>
        <w:t>Properties</w:t>
      </w:r>
      <w:bookmarkEnd w:id="49"/>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0" w:name="_Ref308677454"/>
      <w:bookmarkStart w:id="51" w:name="_Toc309238013"/>
      <w:r>
        <w:t>Modularity</w:t>
      </w:r>
      <w:bookmarkEnd w:id="50"/>
      <w:bookmarkEnd w:id="51"/>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w:t>
      </w:r>
      <w:r>
        <w:lastRenderedPageBreak/>
        <w:t xml:space="preserve">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w:t>
      </w:r>
      <w:r>
        <w:lastRenderedPageBreak/>
        <w:t>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2" w:name="_Toc309238014"/>
      <w:r>
        <w:t>Definition vs. implementation modules</w:t>
      </w:r>
      <w:bookmarkEnd w:id="52"/>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lastRenderedPageBreak/>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3" w:name="_Toc309238015"/>
      <w:r>
        <w:t>Override</w:t>
      </w:r>
      <w:r w:rsidR="00F5748A">
        <w:t>s</w:t>
      </w:r>
      <w:bookmarkEnd w:id="53"/>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lastRenderedPageBreak/>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4" w:name="_Toc309238016"/>
      <w:r>
        <w:t>Parallel modules</w:t>
      </w:r>
      <w:bookmarkEnd w:id="54"/>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lastRenderedPageBreak/>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5" w:name="_Toc309238017"/>
      <w:r>
        <w:t>Monitor signaling</w:t>
      </w:r>
      <w:bookmarkEnd w:id="55"/>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lastRenderedPageBreak/>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6" w:name="_Toc309238018"/>
      <w:r>
        <w:t>Channels</w:t>
      </w:r>
      <w:bookmarkEnd w:id="56"/>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7" w:name="_Toc309238019"/>
      <w:r>
        <w:t>Classes</w:t>
      </w:r>
      <w:bookmarkEnd w:id="57"/>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lastRenderedPageBreak/>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8" w:name="_Toc309238020"/>
      <w:r>
        <w:t>Static objects</w:t>
      </w:r>
      <w:bookmarkEnd w:id="58"/>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 objects cannot vary at runtime.</w:t>
      </w:r>
    </w:p>
    <w:p w:rsidR="007B0DAA" w:rsidRPr="007B0DAA" w:rsidRDefault="007B0DAA" w:rsidP="007B0DAA">
      <w:r>
        <w:t xml:space="preserve">All objects in </w:t>
      </w:r>
      <w:proofErr w:type="spellStart"/>
      <w:r>
        <w:t>Pascaline</w:t>
      </w:r>
      <w:proofErr w:type="spellEnd"/>
      <w:r>
        <w:t xml:space="preserve"> contain type information that indicates exactly and unambiguously what object </w:t>
      </w:r>
      <w:proofErr w:type="gramStart"/>
      <w:r>
        <w:t>is being represented, no derived nor</w:t>
      </w:r>
      <w:proofErr w:type="gramEnd"/>
      <w:r>
        <w:t xml:space="preserve"> base classes. The variation in classes when they are static is all because a </w:t>
      </w:r>
    </w:p>
    <w:p w:rsidR="00F5748A" w:rsidRDefault="00F5748A" w:rsidP="004A6536">
      <w:pPr>
        <w:pStyle w:val="Heading3"/>
      </w:pPr>
      <w:bookmarkStart w:id="59" w:name="_Toc309238021"/>
      <w:r>
        <w:lastRenderedPageBreak/>
        <w:t>Dynamic objects</w:t>
      </w:r>
      <w:bookmarkEnd w:id="59"/>
    </w:p>
    <w:p w:rsidR="004A6536" w:rsidRPr="004A6536" w:rsidRDefault="004A6536" w:rsidP="004A6536">
      <w:pPr>
        <w:pStyle w:val="Heading3"/>
      </w:pPr>
      <w:bookmarkStart w:id="60" w:name="_Toc309238022"/>
      <w:r>
        <w:t>Classes as parameters</w:t>
      </w:r>
      <w:bookmarkEnd w:id="60"/>
    </w:p>
    <w:p w:rsidR="004A6536" w:rsidRDefault="004A6536" w:rsidP="004A6536">
      <w:pPr>
        <w:pStyle w:val="Heading3"/>
      </w:pPr>
      <w:bookmarkStart w:id="61" w:name="_Toc309238023"/>
      <w:r>
        <w:t>Class parameters</w:t>
      </w:r>
      <w:bookmarkEnd w:id="61"/>
    </w:p>
    <w:p w:rsidR="004A6536" w:rsidRDefault="004A6536" w:rsidP="004A6536">
      <w:pPr>
        <w:pStyle w:val="Heading2"/>
      </w:pPr>
      <w:bookmarkStart w:id="62" w:name="_Toc309238024"/>
      <w:proofErr w:type="spellStart"/>
      <w:r>
        <w:t>Inheritence</w:t>
      </w:r>
      <w:bookmarkEnd w:id="62"/>
      <w:proofErr w:type="spellEnd"/>
    </w:p>
    <w:p w:rsidR="004A6536" w:rsidRDefault="004A6536" w:rsidP="004A6536">
      <w:pPr>
        <w:pStyle w:val="Heading2"/>
      </w:pPr>
      <w:bookmarkStart w:id="63" w:name="_Toc309238025"/>
      <w:r>
        <w:t>Inherited class parameters</w:t>
      </w:r>
      <w:bookmarkEnd w:id="63"/>
    </w:p>
    <w:p w:rsidR="004A6536" w:rsidRDefault="004A6536" w:rsidP="004A6536">
      <w:pPr>
        <w:pStyle w:val="Heading2"/>
      </w:pPr>
      <w:bookmarkStart w:id="64" w:name="_Toc309238026"/>
      <w:r>
        <w:t>Overrides for objects</w:t>
      </w:r>
      <w:bookmarkEnd w:id="64"/>
    </w:p>
    <w:p w:rsidR="004A6536" w:rsidRDefault="004A6536" w:rsidP="004A6536">
      <w:pPr>
        <w:pStyle w:val="Heading2"/>
      </w:pPr>
      <w:bookmarkStart w:id="65" w:name="_Toc309238027"/>
      <w:proofErr w:type="spellStart"/>
      <w:r>
        <w:t>Self referencing</w:t>
      </w:r>
      <w:bookmarkEnd w:id="65"/>
      <w:proofErr w:type="spellEnd"/>
    </w:p>
    <w:p w:rsidR="004A6536" w:rsidRDefault="004A6536" w:rsidP="004A6536">
      <w:pPr>
        <w:pStyle w:val="Heading2"/>
      </w:pPr>
      <w:bookmarkStart w:id="66" w:name="_Toc309238028"/>
      <w:r>
        <w:t>Constructors and destructors</w:t>
      </w:r>
      <w:bookmarkEnd w:id="66"/>
    </w:p>
    <w:p w:rsidR="004A6536" w:rsidRPr="004A6536" w:rsidRDefault="004A6536" w:rsidP="00786F69">
      <w:pPr>
        <w:pStyle w:val="Heading2"/>
      </w:pPr>
      <w:bookmarkStart w:id="67" w:name="_Toc309238029"/>
      <w:r>
        <w:t>Parallel classes</w:t>
      </w:r>
      <w:bookmarkEnd w:id="67"/>
    </w:p>
    <w:sectPr w:rsidR="004A6536" w:rsidRPr="004A6536"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E18" w:rsidRDefault="00433E18" w:rsidP="00EA27AB">
      <w:pPr>
        <w:spacing w:after="0"/>
      </w:pPr>
      <w:r>
        <w:separator/>
      </w:r>
    </w:p>
  </w:endnote>
  <w:endnote w:type="continuationSeparator" w:id="0">
    <w:p w:rsidR="00433E18" w:rsidRDefault="00433E18"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10371">
      <w:trPr>
        <w:trHeight w:val="360"/>
      </w:trPr>
      <w:tc>
        <w:tcPr>
          <w:tcW w:w="1500" w:type="pct"/>
          <w:shd w:val="clear" w:color="auto" w:fill="00ADDC" w:themeFill="accent4"/>
        </w:tcPr>
        <w:p w:rsidR="00310371" w:rsidRDefault="00310371">
          <w:pPr>
            <w:pStyle w:val="Footer"/>
            <w:rPr>
              <w:color w:val="FFFFFF" w:themeColor="background1"/>
            </w:rPr>
          </w:pPr>
          <w:r>
            <w:fldChar w:fldCharType="begin"/>
          </w:r>
          <w:r>
            <w:instrText xml:space="preserve"> PAGE   \* MERGEFORMAT </w:instrText>
          </w:r>
          <w:r>
            <w:fldChar w:fldCharType="separate"/>
          </w:r>
          <w:r w:rsidR="00CF5EE1" w:rsidRPr="00CF5EE1">
            <w:rPr>
              <w:noProof/>
              <w:color w:val="FFFFFF" w:themeColor="background1"/>
            </w:rPr>
            <w:t>22</w:t>
          </w:r>
          <w:r>
            <w:rPr>
              <w:noProof/>
              <w:color w:val="FFFFFF" w:themeColor="background1"/>
            </w:rPr>
            <w:fldChar w:fldCharType="end"/>
          </w:r>
        </w:p>
      </w:tc>
      <w:tc>
        <w:tcPr>
          <w:tcW w:w="3500" w:type="pct"/>
        </w:tcPr>
        <w:p w:rsidR="00310371" w:rsidRDefault="00310371">
          <w:pPr>
            <w:pStyle w:val="Footer"/>
          </w:pPr>
        </w:p>
      </w:tc>
    </w:tr>
  </w:tbl>
  <w:p w:rsidR="00310371" w:rsidRDefault="00310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10371">
      <w:trPr>
        <w:trHeight w:val="360"/>
      </w:trPr>
      <w:tc>
        <w:tcPr>
          <w:tcW w:w="3500" w:type="pct"/>
        </w:tcPr>
        <w:p w:rsidR="00310371" w:rsidRDefault="00310371">
          <w:pPr>
            <w:pStyle w:val="Footer"/>
            <w:jc w:val="right"/>
          </w:pPr>
        </w:p>
      </w:tc>
      <w:tc>
        <w:tcPr>
          <w:tcW w:w="1500" w:type="pct"/>
          <w:shd w:val="clear" w:color="auto" w:fill="00ADDC" w:themeFill="accent4"/>
        </w:tcPr>
        <w:p w:rsidR="00310371" w:rsidRDefault="00310371">
          <w:pPr>
            <w:pStyle w:val="Footer"/>
            <w:jc w:val="right"/>
            <w:rPr>
              <w:color w:val="FFFFFF" w:themeColor="background1"/>
            </w:rPr>
          </w:pPr>
          <w:r>
            <w:fldChar w:fldCharType="begin"/>
          </w:r>
          <w:r>
            <w:instrText xml:space="preserve"> PAGE    \* MERGEFORMAT </w:instrText>
          </w:r>
          <w:r>
            <w:fldChar w:fldCharType="separate"/>
          </w:r>
          <w:r w:rsidR="00CF5EE1" w:rsidRPr="00CF5EE1">
            <w:rPr>
              <w:noProof/>
              <w:color w:val="FFFFFF" w:themeColor="background1"/>
            </w:rPr>
            <w:t>41</w:t>
          </w:r>
          <w:r>
            <w:rPr>
              <w:noProof/>
              <w:color w:val="FFFFFF" w:themeColor="background1"/>
            </w:rPr>
            <w:fldChar w:fldCharType="end"/>
          </w:r>
        </w:p>
      </w:tc>
    </w:tr>
  </w:tbl>
  <w:p w:rsidR="00310371" w:rsidRDefault="00310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E18" w:rsidRDefault="00433E18" w:rsidP="00EA27AB">
      <w:pPr>
        <w:spacing w:after="0"/>
      </w:pPr>
      <w:r>
        <w:rPr>
          <w:noProof/>
        </w:rPr>
        <w:pict>
          <v:rect id="_x0000_s1025" style="position:absolute;margin-left:62.25pt;margin-top:424.8pt;width:56.85pt;height:85.2pt;z-index:251658240;mso-position-horizontal-relative:right-margin-area;mso-position-vertical-relative:margin;mso-width-relative:right-margin-area" o:allowincell="f" fillcolor="#00b0f0" stroked="f">
            <v:textbox style="layout-flow:vertical;mso-layout-flow-alt:bottom-to-top;mso-next-textbox:#_x0000_s1025" inset="0,,0">
              <w:txbxContent>
                <w:p w:rsidR="00433E18" w:rsidRPr="00A67162" w:rsidRDefault="00433E18"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433E18" w:rsidRDefault="00433E18" w:rsidP="00EA27AB">
      <w:pPr>
        <w:spacing w:after="0"/>
      </w:pPr>
      <w:r>
        <w:continuationSeparator/>
      </w:r>
    </w:p>
  </w:footnote>
  <w:footnote w:id="1">
    <w:p w:rsidR="00310371" w:rsidRDefault="00310371">
      <w:pPr>
        <w:pStyle w:val="FootnoteText"/>
      </w:pPr>
      <w:r>
        <w:rPr>
          <w:rStyle w:val="FootnoteReference"/>
        </w:rPr>
        <w:footnoteRef/>
      </w:r>
      <w:r>
        <w:t xml:space="preserve"> Unless you are worried about the overhead it adds.</w:t>
      </w:r>
    </w:p>
  </w:footnote>
  <w:footnote w:id="2">
    <w:p w:rsidR="00310371" w:rsidRDefault="00310371">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3">
    <w:p w:rsidR="00310371" w:rsidRDefault="00310371">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4">
    <w:p w:rsidR="00310371" w:rsidRDefault="00310371">
      <w:pPr>
        <w:pStyle w:val="FootnoteText"/>
      </w:pPr>
      <w:r>
        <w:rPr>
          <w:rStyle w:val="FootnoteReference"/>
        </w:rPr>
        <w:footnoteRef/>
      </w:r>
      <w:r>
        <w:t xml:space="preserve"> And indeed, the ISO 10206 standard makes it into a variable.</w:t>
      </w:r>
    </w:p>
  </w:footnote>
  <w:footnote w:id="5">
    <w:p w:rsidR="00310371" w:rsidRDefault="00310371">
      <w:pPr>
        <w:pStyle w:val="FootnoteText"/>
      </w:pPr>
      <w:r>
        <w:rPr>
          <w:rStyle w:val="FootnoteReference"/>
        </w:rPr>
        <w:footnoteRef/>
      </w:r>
      <w:r>
        <w:t xml:space="preserve"> Mainly because in 1979 when I wrote that code, I was sure the Motorola 68000 would soon become the dominant CPU.</w:t>
      </w:r>
    </w:p>
  </w:footnote>
  <w:footnote w:id="6">
    <w:p w:rsidR="00310371" w:rsidRDefault="00310371">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7">
    <w:p w:rsidR="00310371" w:rsidRDefault="00310371">
      <w:pPr>
        <w:pStyle w:val="FootnoteText"/>
      </w:pPr>
      <w:r>
        <w:rPr>
          <w:rStyle w:val="FootnoteReference"/>
        </w:rPr>
        <w:footnoteRef/>
      </w:r>
      <w:r>
        <w:t xml:space="preserve"> The reader will hopefully forgive my use of the word “appropriate”.</w:t>
      </w:r>
    </w:p>
  </w:footnote>
  <w:footnote w:id="8">
    <w:p w:rsidR="00310371" w:rsidRDefault="00310371">
      <w:pPr>
        <w:pStyle w:val="FootnoteText"/>
      </w:pPr>
      <w:r>
        <w:rPr>
          <w:rStyle w:val="FootnoteReference"/>
        </w:rPr>
        <w:footnoteRef/>
      </w:r>
      <w:r>
        <w:t xml:space="preserve"> </w:t>
      </w:r>
      <w:proofErr w:type="gramStart"/>
      <w:r>
        <w:t>Aside from the name.</w:t>
      </w:r>
      <w:proofErr w:type="gramEnd"/>
    </w:p>
  </w:footnote>
  <w:footnote w:id="9">
    <w:p w:rsidR="00310371" w:rsidRDefault="00310371">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0">
    <w:p w:rsidR="00310371" w:rsidRDefault="00310371">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1">
    <w:p w:rsidR="00310371" w:rsidRDefault="00310371">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2">
    <w:p w:rsidR="00310371" w:rsidRDefault="00310371">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3">
    <w:p w:rsidR="00310371" w:rsidRDefault="00310371">
      <w:pPr>
        <w:pStyle w:val="FootnoteText"/>
      </w:pPr>
      <w:r>
        <w:rPr>
          <w:rStyle w:val="FootnoteReference"/>
        </w:rPr>
        <w:footnoteRef/>
      </w:r>
      <w:r w:rsidR="00656502">
        <w:t xml:space="preserve"> </w:t>
      </w:r>
      <w:r>
        <w:t>Pascal-P6 systematizes this. Even built in types can be used as the base of a class.</w:t>
      </w:r>
    </w:p>
  </w:footnote>
  <w:footnote w:id="14">
    <w:p w:rsidR="00656502" w:rsidRDefault="00656502">
      <w:pPr>
        <w:pStyle w:val="FootnoteText"/>
      </w:pPr>
      <w:r>
        <w:rPr>
          <w:rStyle w:val="FootnoteReference"/>
        </w:rPr>
        <w:footnoteRef/>
      </w:r>
      <w:r>
        <w:t xml:space="preserve"> Container arrays have several similarities with classes, and can be considered to be classes themselves.</w:t>
      </w:r>
    </w:p>
  </w:footnote>
  <w:footnote w:id="15">
    <w:p w:rsidR="00CF5EE1" w:rsidRDefault="00CF5EE1">
      <w:pPr>
        <w:pStyle w:val="FootnoteText"/>
      </w:pPr>
      <w:r>
        <w:rPr>
          <w:rStyle w:val="FootnoteReference"/>
        </w:rPr>
        <w:footnoteRef/>
      </w:r>
      <w:r>
        <w:t xml:space="preserve"> </w:t>
      </w:r>
      <w:proofErr w:type="gramStart"/>
      <w:r>
        <w:t>But are typically efficiently implemented by allocation on the stack.</w:t>
      </w:r>
      <w:proofErr w:type="gramEnd"/>
    </w:p>
  </w:footnote>
  <w:footnote w:id="16">
    <w:p w:rsidR="00310371" w:rsidRDefault="00310371">
      <w:pPr>
        <w:pStyle w:val="FootnoteText"/>
      </w:pPr>
      <w:r>
        <w:rPr>
          <w:rStyle w:val="FootnoteReference"/>
        </w:rPr>
        <w:footnoteRef/>
      </w:r>
      <w:r>
        <w:t xml:space="preserve"> However P6 uses the radix characters $, &amp; and % at the ends of numbers to do this.</w:t>
      </w:r>
    </w:p>
  </w:footnote>
  <w:footnote w:id="17">
    <w:p w:rsidR="00310371" w:rsidRDefault="00310371">
      <w:pPr>
        <w:pStyle w:val="FootnoteText"/>
      </w:pPr>
      <w:r>
        <w:rPr>
          <w:rStyle w:val="FootnoteReference"/>
        </w:rPr>
        <w:footnoteRef/>
      </w:r>
      <w:r>
        <w:t xml:space="preserve"> P6 uses the special field character * to indicate padded string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10371">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tcPr>
            <w:p w:rsidR="00310371" w:rsidRDefault="00310371">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ADDC" w:themeFill="accent4"/>
              <w:vAlign w:val="center"/>
            </w:tcPr>
            <w:p w:rsidR="00310371" w:rsidRDefault="00310371"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310371" w:rsidRDefault="003103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10371">
      <w:trPr>
        <w:trHeight w:val="475"/>
      </w:trPr>
      <w:tc>
        <w:tcPr>
          <w:tcW w:w="4250" w:type="pct"/>
          <w:shd w:val="clear" w:color="auto" w:fill="00ADDC" w:themeFill="accent4"/>
          <w:vAlign w:val="center"/>
        </w:tcPr>
        <w:p w:rsidR="00310371" w:rsidRDefault="00310371"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vAlign w:val="center"/>
            </w:tcPr>
            <w:p w:rsidR="00310371" w:rsidRDefault="00310371">
              <w:pPr>
                <w:pStyle w:val="Header"/>
                <w:jc w:val="right"/>
                <w:rPr>
                  <w:color w:val="FFFFFF" w:themeColor="background1"/>
                </w:rPr>
              </w:pPr>
              <w:r>
                <w:rPr>
                  <w:color w:val="FFFFFF" w:themeColor="background1"/>
                </w:rPr>
                <w:t>November 10, 2011</w:t>
              </w:r>
            </w:p>
          </w:tc>
        </w:sdtContent>
      </w:sdt>
    </w:tr>
  </w:tbl>
  <w:p w:rsidR="00310371" w:rsidRDefault="00310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5"/>
  </w:num>
  <w:num w:numId="5">
    <w:abstractNumId w:val="16"/>
  </w:num>
  <w:num w:numId="6">
    <w:abstractNumId w:val="10"/>
  </w:num>
  <w:num w:numId="7">
    <w:abstractNumId w:val="9"/>
  </w:num>
  <w:num w:numId="8">
    <w:abstractNumId w:val="12"/>
  </w:num>
  <w:num w:numId="9">
    <w:abstractNumId w:val="17"/>
  </w:num>
  <w:num w:numId="10">
    <w:abstractNumId w:val="2"/>
  </w:num>
  <w:num w:numId="11">
    <w:abstractNumId w:val="4"/>
  </w:num>
  <w:num w:numId="12">
    <w:abstractNumId w:val="0"/>
  </w:num>
  <w:num w:numId="13">
    <w:abstractNumId w:val="3"/>
  </w:num>
  <w:num w:numId="14">
    <w:abstractNumId w:val="18"/>
  </w:num>
  <w:num w:numId="15">
    <w:abstractNumId w:val="7"/>
  </w:num>
  <w:num w:numId="16">
    <w:abstractNumId w:val="6"/>
  </w:num>
  <w:num w:numId="17">
    <w:abstractNumId w:val="13"/>
  </w:num>
  <w:num w:numId="18">
    <w:abstractNumId w:val="8"/>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2F2C"/>
    <w:rsid w:val="00096A48"/>
    <w:rsid w:val="00096F07"/>
    <w:rsid w:val="000A22B6"/>
    <w:rsid w:val="000A2946"/>
    <w:rsid w:val="000A2EF0"/>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12BC"/>
    <w:rsid w:val="00304453"/>
    <w:rsid w:val="003063B2"/>
    <w:rsid w:val="00310371"/>
    <w:rsid w:val="0031341D"/>
    <w:rsid w:val="00313608"/>
    <w:rsid w:val="00314983"/>
    <w:rsid w:val="00321EF9"/>
    <w:rsid w:val="0032248B"/>
    <w:rsid w:val="0032373A"/>
    <w:rsid w:val="00323B2E"/>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ABC"/>
    <w:rsid w:val="00460D24"/>
    <w:rsid w:val="0046161C"/>
    <w:rsid w:val="00462FE0"/>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510FB"/>
    <w:rsid w:val="00551EF8"/>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DBB"/>
    <w:rsid w:val="005A78F3"/>
    <w:rsid w:val="005A7BB6"/>
    <w:rsid w:val="005B3105"/>
    <w:rsid w:val="005B43E7"/>
    <w:rsid w:val="005B57D7"/>
    <w:rsid w:val="005B5BF7"/>
    <w:rsid w:val="005B6625"/>
    <w:rsid w:val="005B7BCA"/>
    <w:rsid w:val="005C061A"/>
    <w:rsid w:val="005C1300"/>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2C0C"/>
    <w:rsid w:val="00662E0A"/>
    <w:rsid w:val="006632EA"/>
    <w:rsid w:val="00663BD4"/>
    <w:rsid w:val="00664B1A"/>
    <w:rsid w:val="00664E14"/>
    <w:rsid w:val="00666773"/>
    <w:rsid w:val="006701F3"/>
    <w:rsid w:val="006711FB"/>
    <w:rsid w:val="00671CAA"/>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B2B"/>
    <w:rsid w:val="007440DE"/>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6098F"/>
    <w:rsid w:val="00861E78"/>
    <w:rsid w:val="00863EFF"/>
    <w:rsid w:val="008661C5"/>
    <w:rsid w:val="0087076A"/>
    <w:rsid w:val="00871C76"/>
    <w:rsid w:val="00873F9C"/>
    <w:rsid w:val="008744C7"/>
    <w:rsid w:val="0087478F"/>
    <w:rsid w:val="00875E81"/>
    <w:rsid w:val="0088007B"/>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54BF"/>
    <w:rsid w:val="009F57EA"/>
    <w:rsid w:val="009F6BDC"/>
    <w:rsid w:val="009F77D3"/>
    <w:rsid w:val="00A00A86"/>
    <w:rsid w:val="00A00B0D"/>
    <w:rsid w:val="00A02F9C"/>
    <w:rsid w:val="00A04FA1"/>
    <w:rsid w:val="00A0617C"/>
    <w:rsid w:val="00A075C0"/>
    <w:rsid w:val="00A07BC9"/>
    <w:rsid w:val="00A126EA"/>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1066"/>
    <w:rsid w:val="00AA2A80"/>
    <w:rsid w:val="00AA6BFC"/>
    <w:rsid w:val="00AA73CF"/>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28A6"/>
    <w:rsid w:val="00BA4627"/>
    <w:rsid w:val="00BA5A39"/>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6681"/>
    <w:rsid w:val="00C11D25"/>
    <w:rsid w:val="00C12F89"/>
    <w:rsid w:val="00C147BE"/>
    <w:rsid w:val="00C15DD0"/>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425"/>
    <w:rsid w:val="00DA3FA8"/>
    <w:rsid w:val="00DA7C87"/>
    <w:rsid w:val="00DB0221"/>
    <w:rsid w:val="00DB1CAA"/>
    <w:rsid w:val="00DB1DF6"/>
    <w:rsid w:val="00DB23BB"/>
    <w:rsid w:val="00DB29F0"/>
    <w:rsid w:val="00DB2F81"/>
    <w:rsid w:val="00DB300D"/>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E1338"/>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86C4B"/>
    <w:rsid w:val="00F90F06"/>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A4792-665B-4AD4-B438-915AC923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32400</TotalTime>
  <Pages>41</Pages>
  <Words>17581</Words>
  <Characters>100214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555</cp:revision>
  <cp:lastPrinted>2009-01-29T05:36:00Z</cp:lastPrinted>
  <dcterms:created xsi:type="dcterms:W3CDTF">2008-12-24T07:54:00Z</dcterms:created>
  <dcterms:modified xsi:type="dcterms:W3CDTF">2018-02-14T07:51:00Z</dcterms:modified>
</cp:coreProperties>
</file>