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color w:val="153E5C"/>
          <w:sz w:val="56"/>
        </w:rPr>
        <w:t>AI and Tech Investment Framework</w:t>
      </w:r>
    </w:p>
    <w:p>
      <w:pPr>
        <w:spacing w:after="320"/>
        <w:jc w:val="center"/>
      </w:pPr>
      <w:r>
        <w:rPr>
          <w:color w:val="506474"/>
          <w:sz w:val="29"/>
        </w:rPr>
        <w:t>Tracking capex, downstream monetization, and AI guardrails</w:t>
      </w:r>
    </w:p>
    <w:tbl>
      <w:tblPr>
        <w:tblW w:type="auto" w:w="0"/>
        <w:jc w:val="center"/>
        <w:tblLook w:firstColumn="1" w:firstRow="1" w:lastColumn="0" w:lastRow="0" w:noHBand="0" w:noVBand="1" w:val="04A0"/>
      </w:tblPr>
      <w:tblGrid>
        <w:gridCol w:w="10080"/>
      </w:tblGrid>
      <w:tr>
        <w:tc>
          <w:tcPr>
            <w:tcW w:type="dxa" w:w="10080"/>
            <w:shd w:fill="EAF3F8"/>
            <w:tcBorders>
              <w:top w:val="single" w:sz="10" w:color="7AA6C2"/>
              <w:start w:val="single" w:sz="10" w:color="7AA6C2"/>
              <w:bottom w:val="single" w:sz="10" w:color="7AA6C2"/>
              <w:end w:val="single" w:sz="10" w:color="7AA6C2"/>
            </w:tcBorders>
            <w:tcMar>
              <w:top w:w="160" w:type="dxa"/>
              <w:start w:w="180" w:type="dxa"/>
              <w:bottom w:w="160" w:type="dxa"/>
              <w:end w:w="180" w:type="dxa"/>
            </w:tcMar>
          </w:tcPr>
          <w:p>
            <w:pPr>
              <w:spacing w:after="60"/>
            </w:pPr>
            <w:r>
              <w:rPr>
                <w:b/>
                <w:color w:val="15405B"/>
                <w:sz w:val="21"/>
              </w:rPr>
              <w:t>Core question</w:t>
            </w:r>
          </w:p>
          <w:p>
            <w:pPr>
              <w:spacing w:after="0"/>
            </w:pPr>
            <w:r>
              <w:rPr>
                <w:sz w:val="21"/>
              </w:rPr>
              <w:t>AI can be real and still be a difficult investment setup. The investor question is: who captures durable cash flow from AI, at what valuation, and with what evidence that downstream paid usage can support upstream capex?</w:t>
            </w:r>
          </w:p>
        </w:tc>
      </w:tr>
    </w:tbl>
    <w:p>
      <w:pPr>
        <w:spacing w:after="40"/>
      </w:pPr>
    </w:p>
    <w:p>
      <w:pPr>
        <w:spacing w:before="400"/>
        <w:jc w:val="center"/>
      </w:pPr>
      <w:r>
        <w:rPr>
          <w:color w:val="506474"/>
          <w:sz w:val="22"/>
        </w:rPr>
        <w:t>Prepared as an editable research handbook</w:t>
      </w:r>
    </w:p>
    <w:p>
      <w:pPr>
        <w:spacing w:after="0"/>
        <w:jc w:val="center"/>
      </w:pPr>
      <w:r>
        <w:rPr>
          <w:color w:val="506474"/>
          <w:sz w:val="21"/>
        </w:rPr>
        <w:t>September 2026</w:t>
      </w:r>
    </w:p>
    <w:p>
      <w:r>
        <w:br w:type="page"/>
      </w:r>
    </w:p>
    <w:p>
      <w:pPr>
        <w:pStyle w:val="Heading1"/>
        <w:keepNext/>
      </w:pPr>
      <w:r>
        <w:t>How to Use This Document</w:t>
      </w:r>
    </w:p>
    <w:p>
      <w:pPr>
        <w:spacing w:after="120"/>
      </w:pPr>
      <w:r>
        <w:t xml:space="preserve">This document is designed as a living framework. </w:t>
      </w:r>
      <w:r>
        <w:rPr>
          <w:b/>
        </w:rPr>
        <w:t xml:space="preserve">Do not use it as a static thesis. </w:t>
      </w:r>
      <w:r>
        <w:t>Update the metrics every quarter, write down what changed, and use the checklists to decide whether AI capex is being converted into paid, recurring, profitable usage.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9"/>
              </w:rPr>
              <w:t>Section</w:t>
            </w:r>
          </w:p>
        </w:tc>
        <w:tc>
          <w:tcPr>
            <w:tcW w:type="dxa" w:w="720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9"/>
              </w:rPr>
              <w:t>Purpose</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1. Executive summary</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The main thesis and the simplest rule for judging the AI cycle.</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2. AI-to-cash-flow bridge</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How infrastructure spending should translate into monetization and free cash flow.</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3. Dashboard</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The metrics to track across upstream infrastructure, cloud, software, and model layers.</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4. Guardrails on AI</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How safety, governance, and regulation affect adoption, margins, and moat.</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5. Company cheat sheet</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Company-by-company thesis, risk, and monitor list.</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6. Research workflow</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Monthly and quarterly process to keep the thesis current.</w:t>
            </w:r>
          </w:p>
        </w:tc>
      </w:tr>
      <w:tr>
        <w:trPr>
          <w:cantSplit/>
        </w:trPr>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7. Templates</w:t>
            </w:r>
          </w:p>
        </w:tc>
        <w:tc>
          <w:tcPr>
            <w:tcW w:type="dxa" w:w="72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Editable tables for updating the framework.</w:t>
            </w:r>
          </w:p>
        </w:tc>
      </w:tr>
    </w:tbl>
    <w:p>
      <w:pPr>
        <w:spacing w:after="40"/>
      </w:pPr>
    </w:p>
    <w:tbl>
      <w:tblPr>
        <w:tblW w:type="auto" w:w="0"/>
        <w:jc w:val="center"/>
        <w:tblLook w:firstColumn="1" w:firstRow="1" w:lastColumn="0" w:lastRow="0" w:noHBand="0" w:noVBand="1" w:val="04A0"/>
      </w:tblPr>
      <w:tblGrid>
        <w:gridCol w:w="10080"/>
      </w:tblGrid>
      <w:tr>
        <w:tc>
          <w:tcPr>
            <w:tcW w:type="dxa" w:w="10080"/>
            <w:shd w:fill="F2F6FA"/>
            <w:tcBorders>
              <w:top w:val="single" w:sz="10" w:color="9FB6CA"/>
              <w:start w:val="single" w:sz="10" w:color="9FB6CA"/>
              <w:bottom w:val="single" w:sz="10" w:color="9FB6CA"/>
              <w:end w:val="single" w:sz="10" w:color="9FB6CA"/>
            </w:tcBorders>
            <w:tcMar>
              <w:top w:w="160" w:type="dxa"/>
              <w:start w:w="180" w:type="dxa"/>
              <w:bottom w:w="160" w:type="dxa"/>
              <w:end w:w="180" w:type="dxa"/>
            </w:tcMar>
          </w:tcPr>
          <w:p>
            <w:pPr>
              <w:spacing w:after="60"/>
            </w:pPr>
            <w:r>
              <w:rPr>
                <w:b/>
                <w:color w:val="15405B"/>
                <w:sz w:val="21"/>
              </w:rPr>
              <w:t>Practical rule</w:t>
            </w:r>
          </w:p>
          <w:p>
            <w:pPr>
              <w:spacing w:after="0"/>
            </w:pPr>
            <w:r>
              <w:rPr>
                <w:sz w:val="21"/>
              </w:rPr>
              <w:t>Use this like a risk dashboard. One metric rarely proves anything. The goal is to see whether multiple independent signals point in the same direction.</w:t>
            </w:r>
          </w:p>
        </w:tc>
      </w:tr>
    </w:tbl>
    <w:p>
      <w:pPr>
        <w:spacing w:after="40"/>
      </w:pPr>
    </w:p>
    <w:p>
      <w:r>
        <w:br w:type="page"/>
      </w:r>
    </w:p>
    <w:p>
      <w:pPr>
        <w:pStyle w:val="Heading1"/>
        <w:keepNext/>
      </w:pPr>
      <w:r>
        <w:t>1. Executive Summary</w:t>
      </w:r>
    </w:p>
    <w:p>
      <w:pPr>
        <w:spacing w:after="120"/>
      </w:pPr>
      <w:r>
        <w:rPr>
          <w:b/>
        </w:rPr>
        <w:t xml:space="preserve">The central thesis: </w:t>
      </w:r>
      <w:r>
        <w:t>AI is a real technology wave, but public-market returns depend on where profit pools settle. The upstream capex boom currently benefits chips, servers, data centers, networking, power, and cloud infrastructure. The durability of that boom depends on whether downstream users convert AI into paid, recurring, profitable work.</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0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9"/>
              </w:rPr>
              <w:t>Bad question</w:t>
            </w:r>
          </w:p>
        </w:tc>
        <w:tc>
          <w:tcPr>
            <w:tcW w:type="dxa" w:w="590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9"/>
              </w:rPr>
              <w:t>Better question</w:t>
            </w:r>
          </w:p>
        </w:tc>
      </w:tr>
      <w:tr>
        <w:trPr>
          <w:cantSplit/>
        </w:trPr>
        <w:tc>
          <w:tcPr>
            <w:tcW w:type="dxa" w:w="403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9"/>
              </w:rPr>
              <w:t>Will AI be huge?</w:t>
            </w:r>
          </w:p>
        </w:tc>
        <w:tc>
          <w:tcPr>
            <w:tcW w:type="dxa" w:w="59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Who earns durable cash flow from AI?</w:t>
            </w:r>
          </w:p>
        </w:tc>
      </w:tr>
      <w:tr>
        <w:trPr>
          <w:cantSplit/>
        </w:trPr>
        <w:tc>
          <w:tcPr>
            <w:tcW w:type="dxa" w:w="403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9"/>
              </w:rPr>
              <w:t>Who has the best model today?</w:t>
            </w:r>
          </w:p>
        </w:tc>
        <w:tc>
          <w:tcPr>
            <w:tcW w:type="dxa" w:w="59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Who owns distribution, workflow, data, infrastructure, or compute bottlenecks?</w:t>
            </w:r>
          </w:p>
        </w:tc>
      </w:tr>
      <w:tr>
        <w:trPr>
          <w:cantSplit/>
        </w:trPr>
        <w:tc>
          <w:tcPr>
            <w:tcW w:type="dxa" w:w="403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9"/>
              </w:rPr>
              <w:t>How big is the TAM?</w:t>
            </w:r>
          </w:p>
        </w:tc>
        <w:tc>
          <w:tcPr>
            <w:tcW w:type="dxa" w:w="59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How much paid useful work is already happening?</w:t>
            </w:r>
          </w:p>
        </w:tc>
      </w:tr>
      <w:tr>
        <w:trPr>
          <w:cantSplit/>
        </w:trPr>
        <w:tc>
          <w:tcPr>
            <w:tcW w:type="dxa" w:w="403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9"/>
              </w:rPr>
              <w:t>Is the stock an AI name?</w:t>
            </w:r>
          </w:p>
        </w:tc>
        <w:tc>
          <w:tcPr>
            <w:tcW w:type="dxa" w:w="59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Is the company capturing economics or just passing through costs?</w:t>
            </w:r>
          </w:p>
        </w:tc>
      </w:tr>
      <w:tr>
        <w:trPr>
          <w:cantSplit/>
        </w:trPr>
        <w:tc>
          <w:tcPr>
            <w:tcW w:type="dxa" w:w="403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9"/>
              </w:rPr>
              <w:t>Usage is growing. Is that enough?</w:t>
            </w:r>
          </w:p>
        </w:tc>
        <w:tc>
          <w:tcPr>
            <w:tcW w:type="dxa" w:w="59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9"/>
              </w:rPr>
              <w:t>Does usage become revenue, gross profit, free cash flow, and valuation support?</w:t>
            </w:r>
          </w:p>
        </w:tc>
      </w:tr>
    </w:tbl>
    <w:p>
      <w:pPr>
        <w:spacing w:after="40"/>
      </w:pPr>
    </w:p>
    <w:p>
      <w:pPr>
        <w:pStyle w:val="Heading2"/>
        <w:keepNext/>
      </w:pPr>
      <w:r>
        <w:t>The one-line framework</w:t>
      </w:r>
    </w:p>
    <w:tbl>
      <w:tblPr>
        <w:tblW w:type="auto" w:w="0"/>
        <w:jc w:val="center"/>
        <w:tblLook w:firstColumn="1" w:firstRow="1" w:lastColumn="0" w:lastRow="0" w:noHBand="0" w:noVBand="1" w:val="04A0"/>
      </w:tblPr>
      <w:tblGrid>
        <w:gridCol w:w="10080"/>
      </w:tblGrid>
      <w:tr>
        <w:tc>
          <w:tcPr>
            <w:tcW w:type="dxa" w:w="10080"/>
            <w:shd w:fill="E9F5EE"/>
            <w:tcBorders>
              <w:top w:val="single" w:sz="10" w:color="6EAA84"/>
              <w:start w:val="single" w:sz="10" w:color="6EAA84"/>
              <w:bottom w:val="single" w:sz="10" w:color="6EAA84"/>
              <w:end w:val="single" w:sz="10" w:color="6EAA84"/>
            </w:tcBorders>
            <w:tcMar>
              <w:top w:w="160" w:type="dxa"/>
              <w:start w:w="180" w:type="dxa"/>
              <w:bottom w:w="160" w:type="dxa"/>
              <w:end w:w="180" w:type="dxa"/>
            </w:tcMar>
          </w:tcPr>
          <w:p>
            <w:pPr>
              <w:spacing w:after="60"/>
            </w:pPr>
            <w:r>
              <w:rPr>
                <w:b/>
                <w:color w:val="15405B"/>
                <w:sz w:val="21"/>
              </w:rPr>
              <w:t>AI capex is healthy only if the bridge works</w:t>
            </w:r>
          </w:p>
          <w:p>
            <w:pPr>
              <w:spacing w:after="0"/>
            </w:pPr>
            <w:r>
              <w:rPr>
                <w:sz w:val="21"/>
              </w:rPr>
              <w:t>Upstream capex -&gt; AI infrastructure capacity -&gt; AI cloud usage -&gt; model and software revenue -&gt; enterprise productivity or consumer monetization -&gt; gross profit and free cash flow.</w:t>
            </w:r>
          </w:p>
        </w:tc>
      </w:tr>
    </w:tbl>
    <w:p>
      <w:pPr>
        <w:spacing w:after="40"/>
      </w:pPr>
    </w:p>
    <w:p>
      <w:pPr>
        <w:pStyle w:val="Heading2"/>
        <w:keepNext/>
      </w:pPr>
      <w:r>
        <w:t>The main investment risks</w:t>
      </w:r>
    </w:p>
    <w:p>
      <w:pPr>
        <w:pStyle w:val="ListBullet"/>
        <w:spacing w:after="60"/>
        <w:ind w:left="360"/>
      </w:pPr>
      <w:r>
        <w:rPr>
          <w:b/>
          <w:sz w:val="21"/>
        </w:rPr>
        <w:t xml:space="preserve">Capex overbuild: </w:t>
      </w:r>
      <w:r>
        <w:rPr>
          <w:sz w:val="21"/>
        </w:rPr>
        <w:t>too much capacity is built ahead of profitable demand.</w:t>
      </w:r>
    </w:p>
    <w:p>
      <w:pPr>
        <w:pStyle w:val="ListBullet"/>
        <w:spacing w:after="60"/>
        <w:ind w:left="360"/>
      </w:pPr>
      <w:r>
        <w:rPr>
          <w:b/>
          <w:sz w:val="21"/>
        </w:rPr>
        <w:t xml:space="preserve">Model commoditization: </w:t>
      </w:r>
      <w:r>
        <w:rPr>
          <w:sz w:val="21"/>
        </w:rPr>
        <w:t>frontier models converge, open-source alternatives improve, and pricing power moves away from the model layer.</w:t>
      </w:r>
    </w:p>
    <w:p>
      <w:pPr>
        <w:pStyle w:val="ListBullet"/>
        <w:spacing w:after="60"/>
        <w:ind w:left="360"/>
      </w:pPr>
      <w:r>
        <w:rPr>
          <w:b/>
          <w:sz w:val="21"/>
        </w:rPr>
        <w:t xml:space="preserve">Hyperscaler ROI disappointment: </w:t>
      </w:r>
      <w:r>
        <w:rPr>
          <w:sz w:val="21"/>
        </w:rPr>
        <w:t>cloud providers spend aggressively but cannot show enough AI revenue or productivity return.</w:t>
      </w:r>
    </w:p>
    <w:p>
      <w:pPr>
        <w:pStyle w:val="ListBullet"/>
        <w:spacing w:after="60"/>
        <w:ind w:left="360"/>
      </w:pPr>
      <w:r>
        <w:rPr>
          <w:b/>
          <w:sz w:val="21"/>
        </w:rPr>
        <w:t xml:space="preserve">Margin compression: </w:t>
      </w:r>
      <w:r>
        <w:rPr>
          <w:sz w:val="21"/>
        </w:rPr>
        <w:t>hardware and infrastructure revenue grows, but profit capture weakens.</w:t>
      </w:r>
    </w:p>
    <w:p>
      <w:pPr>
        <w:pStyle w:val="ListBullet"/>
        <w:spacing w:after="60"/>
        <w:ind w:left="360"/>
      </w:pPr>
      <w:r>
        <w:rPr>
          <w:b/>
          <w:sz w:val="21"/>
        </w:rPr>
        <w:t xml:space="preserve">Circularity and financing: </w:t>
      </w:r>
      <w:r>
        <w:rPr>
          <w:sz w:val="21"/>
        </w:rPr>
        <w:t>suppliers, cloud providers, and customers become financially intertwined in ways that make demand harder to evaluate.</w:t>
      </w:r>
    </w:p>
    <w:p>
      <w:pPr>
        <w:pStyle w:val="ListBullet"/>
        <w:spacing w:after="60"/>
        <w:ind w:left="360"/>
      </w:pPr>
      <w:r>
        <w:rPr>
          <w:b/>
          <w:sz w:val="21"/>
        </w:rPr>
        <w:t xml:space="preserve">Guardrail friction: </w:t>
      </w:r>
      <w:r>
        <w:rPr>
          <w:sz w:val="21"/>
        </w:rPr>
        <w:t>safety, compliance, and human-in-the-loop controls slow some use cases or raise operating cost, even as they enable adoption in regulated sectors.</w:t>
      </w:r>
    </w:p>
    <w:p>
      <w:pPr>
        <w:pStyle w:val="Heading2"/>
        <w:keepNext/>
      </w:pPr>
      <w:r>
        <w:t>The main positive setup</w:t>
      </w:r>
    </w:p>
    <w:p>
      <w:pPr>
        <w:pStyle w:val="ListBullet"/>
        <w:spacing w:after="60"/>
        <w:ind w:left="360"/>
      </w:pPr>
      <w:r>
        <w:rPr>
          <w:b/>
          <w:sz w:val="21"/>
        </w:rPr>
        <w:t xml:space="preserve">Bottlenecks still matter: </w:t>
      </w:r>
      <w:r>
        <w:rPr>
          <w:sz w:val="21"/>
        </w:rPr>
        <w:t>compute, memory, networking, power, land, and deployment expertise can capture value when demand is real.</w:t>
      </w:r>
    </w:p>
    <w:p>
      <w:pPr>
        <w:pStyle w:val="ListBullet"/>
        <w:spacing w:after="60"/>
        <w:ind w:left="360"/>
      </w:pPr>
      <w:r>
        <w:rPr>
          <w:b/>
          <w:sz w:val="21"/>
        </w:rPr>
        <w:t xml:space="preserve">Distribution matters: </w:t>
      </w:r>
      <w:r>
        <w:rPr>
          <w:sz w:val="21"/>
        </w:rPr>
        <w:t>platforms with users and enterprise relationships can monetize AI without owning the best model every quarter.</w:t>
      </w:r>
    </w:p>
    <w:p>
      <w:pPr>
        <w:pStyle w:val="ListBullet"/>
        <w:spacing w:after="60"/>
        <w:ind w:left="360"/>
      </w:pPr>
      <w:r>
        <w:rPr>
          <w:b/>
          <w:sz w:val="21"/>
        </w:rPr>
        <w:t xml:space="preserve">Workflow integration matters: </w:t>
      </w:r>
      <w:r>
        <w:rPr>
          <w:sz w:val="21"/>
        </w:rPr>
        <w:t>AI becomes valuable when it moves from chat to decisions, approvals, actions, and measurable output.</w:t>
      </w:r>
    </w:p>
    <w:p>
      <w:pPr>
        <w:pStyle w:val="ListBullet"/>
        <w:spacing w:after="60"/>
        <w:ind w:left="360"/>
      </w:pPr>
      <w:r>
        <w:rPr>
          <w:b/>
          <w:sz w:val="21"/>
        </w:rPr>
        <w:t xml:space="preserve">Guardrails can become moat: </w:t>
      </w:r>
      <w:r>
        <w:rPr>
          <w:sz w:val="21"/>
        </w:rPr>
        <w:t>trusted, auditable, compliant AI is more valuable to enterprises than raw model access.</w:t>
      </w:r>
    </w:p>
    <w:p>
      <w:pPr>
        <w:pStyle w:val="Heading1"/>
        <w:keepNext/>
      </w:pPr>
      <w:r>
        <w:t>2. The AI-to-Cash-Flow Bridge</w:t>
      </w:r>
    </w:p>
    <w:p>
      <w:pPr>
        <w:spacing w:after="120"/>
      </w:pPr>
      <w:r>
        <w:t xml:space="preserve">The hardest part is that downstream usage data is messy. </w:t>
      </w:r>
      <w:r>
        <w:rPr>
          <w:b/>
        </w:rPr>
        <w:t xml:space="preserve">The solution is not to wait for perfect data. </w:t>
      </w:r>
      <w:r>
        <w:t>Instead, use observable proxies and ask whether they confirm each other across the AI value chain.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Bridge stage</w:t>
            </w:r>
          </w:p>
        </w:tc>
        <w:tc>
          <w:tcPr>
            <w:tcW w:type="dxa" w:w="432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What to track</w:t>
            </w:r>
          </w:p>
        </w:tc>
        <w:tc>
          <w:tcPr>
            <w:tcW w:type="dxa" w:w="374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What can go wrong</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1. Hyperscaler capex</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Capex/revenue, data-center spend, lease commitments, depreciation growth</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Capex grows faster than monetization; future depreciation burden rises</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2. Infrastructure capacity</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Nvidia data-center revenue, Broadcom AI revenue, Dell AI backlog, data-center MW</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Orders reflect pull-forward demand or customer concentration</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3. Cloud AI usage</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Azure, GCP, AWS, OCI growth; RPO/cRPO; AI cloud contracts</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Cloud demand grows but margins compress or contracts are capital intensive</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4. Model and app revenue</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OpenAI/Anthropic revenue reports, API pricing, paid seats, enterprise customers</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Usage grows but price per token or gross profit collapses</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5. Enterprise workflow</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Palantir AIP, ServiceNow AI ACV, Microsoft Copilot, Salesforce/Adobe AI attach</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Pilots do not convert to renewals or production deployment</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6. Profit and FCF</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Gross margin, operating margin, FCF after capex, cash conversion</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Revenue grows but the economics are weak</w:t>
            </w:r>
          </w:p>
        </w:tc>
      </w:tr>
    </w:tbl>
    <w:p>
      <w:pPr>
        <w:spacing w:after="40"/>
      </w:pPr>
    </w:p>
    <w:p>
      <w:pPr>
        <w:pStyle w:val="Heading2"/>
        <w:keepNext/>
      </w:pPr>
      <w:r>
        <w:t>What investors can see vs. what is hidden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75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Easier to observe</w:t>
            </w:r>
          </w:p>
        </w:tc>
        <w:tc>
          <w:tcPr>
            <w:tcW w:type="dxa" w:w="50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Harder to observe</w:t>
            </w:r>
          </w:p>
        </w:tc>
      </w:tr>
      <w:tr>
        <w:trPr>
          <w:cantSplit/>
        </w:trPr>
        <w:tc>
          <w:tcPr>
            <w:tcW w:type="dxa" w:w="475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8"/>
              </w:rPr>
              <w:t>Hyperscaler capex and cloud revenue</w:t>
            </w:r>
          </w:p>
        </w:tc>
        <w:tc>
          <w:tcPr>
            <w:tcW w:type="dxa" w:w="50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True AI-specific capex allocation by workload</w:t>
            </w:r>
          </w:p>
        </w:tc>
      </w:tr>
      <w:tr>
        <w:trPr>
          <w:cantSplit/>
        </w:trPr>
        <w:tc>
          <w:tcPr>
            <w:tcW w:type="dxa" w:w="475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8"/>
              </w:rPr>
              <w:t>Nvidia, Broadcom, Dell, Micron AI exposure</w:t>
            </w:r>
          </w:p>
        </w:tc>
        <w:tc>
          <w:tcPr>
            <w:tcW w:type="dxa" w:w="50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Final customer utilization and return on compute</w:t>
            </w:r>
          </w:p>
        </w:tc>
      </w:tr>
      <w:tr>
        <w:trPr>
          <w:cantSplit/>
        </w:trPr>
        <w:tc>
          <w:tcPr>
            <w:tcW w:type="dxa" w:w="475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8"/>
              </w:rPr>
              <w:t>RPO, backlog, data-center leasing</w:t>
            </w:r>
          </w:p>
        </w:tc>
        <w:tc>
          <w:tcPr>
            <w:tcW w:type="dxa" w:w="50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Contract cancellation risk, renegotiation risk, true margins</w:t>
            </w:r>
          </w:p>
        </w:tc>
      </w:tr>
      <w:tr>
        <w:trPr>
          <w:cantSplit/>
        </w:trPr>
        <w:tc>
          <w:tcPr>
            <w:tcW w:type="dxa" w:w="475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8"/>
              </w:rPr>
              <w:t>Paid seats or AI ACV when disclosed</w:t>
            </w:r>
          </w:p>
        </w:tc>
        <w:tc>
          <w:tcPr>
            <w:tcW w:type="dxa" w:w="50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Actual productivity benefit per customer</w:t>
            </w:r>
          </w:p>
        </w:tc>
      </w:tr>
      <w:tr>
        <w:trPr>
          <w:cantSplit/>
        </w:trPr>
        <w:tc>
          <w:tcPr>
            <w:tcW w:type="dxa" w:w="475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8"/>
              </w:rPr>
              <w:t>Pricing pages and public API costs</w:t>
            </w:r>
          </w:p>
        </w:tc>
        <w:tc>
          <w:tcPr>
            <w:tcW w:type="dxa" w:w="50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Provider gross margin per token</w:t>
            </w:r>
          </w:p>
        </w:tc>
      </w:tr>
      <w:tr>
        <w:trPr>
          <w:cantSplit/>
        </w:trPr>
        <w:tc>
          <w:tcPr>
            <w:tcW w:type="dxa" w:w="475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8"/>
              </w:rPr>
              <w:t>Case studies and product launches</w:t>
            </w:r>
          </w:p>
        </w:tc>
        <w:tc>
          <w:tcPr>
            <w:tcW w:type="dxa" w:w="50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Renewal quality and long-term retention</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7E6"/>
            <w:tcBorders>
              <w:top w:val="single" w:sz="10" w:color="D4A24C"/>
              <w:start w:val="single" w:sz="10" w:color="D4A24C"/>
              <w:bottom w:val="single" w:sz="10" w:color="D4A24C"/>
              <w:end w:val="single" w:sz="10" w:color="D4A24C"/>
            </w:tcBorders>
            <w:tcMar>
              <w:top w:w="160" w:type="dxa"/>
              <w:start w:w="180" w:type="dxa"/>
              <w:bottom w:w="160" w:type="dxa"/>
              <w:end w:w="180" w:type="dxa"/>
            </w:tcMar>
          </w:tcPr>
          <w:p>
            <w:pPr>
              <w:spacing w:after="60"/>
            </w:pPr>
            <w:r>
              <w:rPr>
                <w:b/>
                <w:color w:val="15405B"/>
                <w:sz w:val="21"/>
              </w:rPr>
              <w:t>Interpretation rule</w:t>
            </w:r>
          </w:p>
          <w:p>
            <w:pPr>
              <w:spacing w:after="0"/>
            </w:pPr>
            <w:r>
              <w:rPr>
                <w:sz w:val="21"/>
              </w:rPr>
              <w:t>Do not let low-confidence data override hard data. A viral AI adoption story is less important than whether AI revenue, RPO, ACV, margins, and free cash flow are improving.</w:t>
            </w:r>
          </w:p>
        </w:tc>
      </w:tr>
    </w:tbl>
    <w:p>
      <w:pPr>
        <w:spacing w:after="40"/>
      </w:pPr>
    </w:p>
    <w:p>
      <w:pPr>
        <w:pStyle w:val="Heading1"/>
        <w:keepNext/>
      </w:pPr>
      <w:r>
        <w:t>3. Signal Hierarchy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1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Confidence</w:t>
            </w:r>
          </w:p>
        </w:tc>
        <w:tc>
          <w:tcPr>
            <w:tcW w:type="dxa" w:w="252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Data type</w:t>
            </w:r>
          </w:p>
        </w:tc>
        <w:tc>
          <w:tcPr>
            <w:tcW w:type="dxa" w:w="316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Examples</w:t>
            </w:r>
          </w:p>
        </w:tc>
        <w:tc>
          <w:tcPr>
            <w:tcW w:type="dxa" w:w="288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How to use it</w:t>
            </w:r>
          </w:p>
        </w:tc>
      </w:tr>
      <w:tr>
        <w:trPr>
          <w:cantSplit/>
        </w:trPr>
        <w:tc>
          <w:tcPr>
            <w:tcW w:type="dxa" w:w="151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7"/>
              </w:rPr>
              <w:t>High</w:t>
            </w:r>
          </w:p>
        </w:tc>
        <w:tc>
          <w:tcPr>
            <w:tcW w:type="dxa" w:w="25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Filings and audited financials</w:t>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Capex, revenue, RPO, margins, FCF</w:t>
            </w:r>
          </w:p>
        </w:tc>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Core dataset</w:t>
            </w:r>
          </w:p>
        </w:tc>
      </w:tr>
      <w:tr>
        <w:trPr>
          <w:cantSplit/>
        </w:trPr>
        <w:tc>
          <w:tcPr>
            <w:tcW w:type="dxa" w:w="151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7"/>
              </w:rPr>
              <w:t>Medium-high</w:t>
            </w:r>
          </w:p>
        </w:tc>
        <w:tc>
          <w:tcPr>
            <w:tcW w:type="dxa" w:w="25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Company-disclosed AI metrics</w:t>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ACV, paid seats, AI backlog, token metrics</w:t>
            </w:r>
          </w:p>
        </w:tc>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Very useful, but check definitions</w:t>
            </w:r>
          </w:p>
        </w:tc>
      </w:tr>
      <w:tr>
        <w:trPr>
          <w:cantSplit/>
        </w:trPr>
        <w:tc>
          <w:tcPr>
            <w:tcW w:type="dxa" w:w="151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7"/>
              </w:rPr>
              <w:t>Medium</w:t>
            </w:r>
          </w:p>
        </w:tc>
        <w:tc>
          <w:tcPr>
            <w:tcW w:type="dxa" w:w="25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Earnings-call commentary</w:t>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Demand vs. capacity, production deployments, customer budgets</w:t>
            </w:r>
          </w:p>
        </w:tc>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Directional signal</w:t>
            </w:r>
          </w:p>
        </w:tc>
      </w:tr>
      <w:tr>
        <w:trPr>
          <w:cantSplit/>
        </w:trPr>
        <w:tc>
          <w:tcPr>
            <w:tcW w:type="dxa" w:w="151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7"/>
              </w:rPr>
              <w:t>Medium-low</w:t>
            </w:r>
          </w:p>
        </w:tc>
        <w:tc>
          <w:tcPr>
            <w:tcW w:type="dxa" w:w="25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Credible media reports</w:t>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OpenAI or Anthropic revenue run-rate reports</w:t>
            </w:r>
          </w:p>
        </w:tc>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Useful but discount heavily</w:t>
            </w:r>
          </w:p>
        </w:tc>
      </w:tr>
      <w:tr>
        <w:trPr>
          <w:cantSplit/>
        </w:trPr>
        <w:tc>
          <w:tcPr>
            <w:tcW w:type="dxa" w:w="1512"/>
            <w:shd w:fill="F4F8FB"/>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1F4E79"/>
                <w:sz w:val="17"/>
              </w:rPr>
              <w:t>Low</w:t>
            </w:r>
          </w:p>
        </w:tc>
        <w:tc>
          <w:tcPr>
            <w:tcW w:type="dxa" w:w="25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Traffic, app rankings, anecdotes</w:t>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ChatGPT visits, Reddit comments, customer quotes</w:t>
            </w:r>
          </w:p>
        </w:tc>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Color only; not proof</w:t>
            </w:r>
          </w:p>
        </w:tc>
      </w:tr>
    </w:tbl>
    <w:p>
      <w:pPr>
        <w:spacing w:after="40"/>
      </w:pPr>
    </w:p>
    <w:p>
      <w:pPr>
        <w:pStyle w:val="ListBullet"/>
        <w:spacing w:after="60"/>
        <w:ind w:left="360"/>
      </w:pPr>
      <w:r>
        <w:rPr>
          <w:b/>
          <w:sz w:val="21"/>
        </w:rPr>
        <w:t xml:space="preserve">Best evidence: </w:t>
      </w:r>
      <w:r>
        <w:rPr>
          <w:sz w:val="21"/>
        </w:rPr>
        <w:t>paid, recurring enterprise usage that shows up in ACV, RPO, net retention, margin, and FCF.</w:t>
      </w:r>
    </w:p>
    <w:p>
      <w:pPr>
        <w:pStyle w:val="ListBullet"/>
        <w:spacing w:after="60"/>
        <w:ind w:left="360"/>
      </w:pPr>
      <w:r>
        <w:rPr>
          <w:b/>
          <w:sz w:val="21"/>
        </w:rPr>
        <w:t xml:space="preserve">Weak evidence: </w:t>
      </w:r>
      <w:r>
        <w:rPr>
          <w:sz w:val="21"/>
        </w:rPr>
        <w:t>free users, downloads, impressive demos, or isolated case studies without renewal or margin proof.</w:t>
      </w:r>
    </w:p>
    <w:p>
      <w:pPr>
        <w:pStyle w:val="ListBullet"/>
        <w:spacing w:after="60"/>
        <w:ind w:left="360"/>
      </w:pPr>
      <w:r>
        <w:rPr>
          <w:b/>
          <w:sz w:val="21"/>
        </w:rPr>
        <w:t xml:space="preserve">Most dangerous evidence: </w:t>
      </w:r>
      <w:r>
        <w:rPr>
          <w:sz w:val="21"/>
        </w:rPr>
        <w:t>management talks about AI demand while capex, debt, depreciation, or vendor financing rises faster than monetization.</w:t>
      </w:r>
    </w:p>
    <w:p>
      <w:r>
        <w:br w:type="page"/>
      </w:r>
    </w:p>
    <w:p>
      <w:pPr>
        <w:pStyle w:val="Heading1"/>
        <w:keepNext/>
      </w:pPr>
      <w:r>
        <w:t>4. Practical AI Cycle Dashboard</w:t>
      </w:r>
    </w:p>
    <w:p>
      <w:pPr>
        <w:spacing w:after="120"/>
      </w:pPr>
      <w:r>
        <w:t xml:space="preserve">The dashboard should answer a simple question: </w:t>
      </w:r>
      <w:r>
        <w:rPr>
          <w:b/>
        </w:rPr>
        <w:t>is the AI buildout converting into profitable demand, or is capital being built ahead of proof?</w:t>
      </w:r>
    </w:p>
    <w:p>
      <w:pPr>
        <w:pStyle w:val="Heading2"/>
        <w:keepNext/>
      </w:pPr>
      <w:r>
        <w:t>Bucket 1: Upstream capex intensity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Metric</w:t>
            </w:r>
          </w:p>
        </w:tc>
        <w:tc>
          <w:tcPr>
            <w:tcW w:type="dxa" w:w="44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Why it matters</w:t>
            </w:r>
          </w:p>
        </w:tc>
        <w:tc>
          <w:tcPr>
            <w:tcW w:type="dxa" w:w="259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Typical source</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Capex/revenue</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Shows how aggressively a platform is investing relative to current revenue</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10-Q, 10-K, earnings release</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Capex growth YoY/QoQ</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Detects acceleration or deceleration in the buildout</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Cash flow statement</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Depreciation growth</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Shows future earnings burden from past capex</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Income statement / cash flow</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PP&amp;E growth</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Confirms physical infrastructure expansion</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Balance sheet</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Data-center lease commitments</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Captures off-balance-sheet or long-term infrastructure obligations</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Footnotes / MD&amp;A</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Management capex guidance</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Shows whether companies are doubling down or pulling back</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Earnings call</w:t>
            </w:r>
          </w:p>
        </w:tc>
      </w:tr>
    </w:tbl>
    <w:p>
      <w:pPr>
        <w:spacing w:after="40"/>
      </w:pPr>
    </w:p>
    <w:p>
      <w:pPr>
        <w:pStyle w:val="Heading2"/>
        <w:keepNext/>
      </w:pPr>
      <w:r>
        <w:t>Bucket 2: Infrastructure monetization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Company type</w:t>
            </w:r>
          </w:p>
        </w:tc>
        <w:tc>
          <w:tcPr>
            <w:tcW w:type="dxa" w:w="432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Metrics</w:t>
            </w:r>
          </w:p>
        </w:tc>
        <w:tc>
          <w:tcPr>
            <w:tcW w:type="dxa" w:w="367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Interpretation</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Nvidia</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Data-center revenue, gross margin, backlog/guidance, product cycle</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Best upstream signal for GPU demand and pricing power</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Broadcom</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semiconductor revenue, networking, customer concentration, VMware cash flow</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Custom silicon and networking demand; watch concentration</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Dell</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server orders/backlog, ISG margin, working capital, FCF</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Demand is useful only if backlog converts at good margin</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Micron</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HBM revenue, pricing, supply additions, gross margin</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tailwind with memory-cycle risk</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Data centers</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Leasing, MW contracted, power availability, utilization, pricing</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Physical bottleneck strength or overbuild risk</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Power/grid</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Power contracts, interconnection queues, transmission constraints</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demand can turn power into a strategic bottleneck</w:t>
            </w:r>
          </w:p>
        </w:tc>
      </w:tr>
    </w:tbl>
    <w:p>
      <w:pPr>
        <w:spacing w:after="40"/>
      </w:pPr>
    </w:p>
    <w:p>
      <w:pPr>
        <w:pStyle w:val="Heading2"/>
        <w:keepNext/>
      </w:pPr>
      <w:r>
        <w:t>Bucket 3: Cloud and platform AI monetization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Company</w:t>
            </w:r>
          </w:p>
        </w:tc>
        <w:tc>
          <w:tcPr>
            <w:tcW w:type="dxa" w:w="44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Metrics to track</w:t>
            </w:r>
          </w:p>
        </w:tc>
        <w:tc>
          <w:tcPr>
            <w:tcW w:type="dxa" w:w="367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Investment question</w:t>
            </w:r>
          </w:p>
        </w:tc>
      </w:tr>
      <w:tr>
        <w:trPr>
          <w:cantSplit/>
        </w:trPr>
        <w:tc>
          <w:tcPr>
            <w:tcW w:type="dxa" w:w="19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Microsoft</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Azure growth, commercial RPO, Copilot paid seats, cloud margin</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Can AI attach to existing enterprise distribution?</w:t>
            </w:r>
          </w:p>
        </w:tc>
      </w:tr>
      <w:tr>
        <w:trPr>
          <w:cantSplit/>
        </w:trPr>
        <w:tc>
          <w:tcPr>
            <w:tcW w:type="dxa" w:w="19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Google</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GCP growth, Gemini/API usage, Search revenue, cloud margin</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Can Google defend search while growing AI cloud?</w:t>
            </w:r>
          </w:p>
        </w:tc>
      </w:tr>
      <w:tr>
        <w:trPr>
          <w:cantSplit/>
        </w:trPr>
        <w:tc>
          <w:tcPr>
            <w:tcW w:type="dxa" w:w="19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Amazon</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AWS growth, AI services, capex, operating margin</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Does AWS reaccelerate without margin damage?</w:t>
            </w:r>
          </w:p>
        </w:tc>
      </w:tr>
      <w:tr>
        <w:trPr>
          <w:cantSplit/>
        </w:trPr>
        <w:tc>
          <w:tcPr>
            <w:tcW w:type="dxa" w:w="19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Meta</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Ad growth, engagement, AI tools, capex, operating margin</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Does AI capex improve monetization beyond normal ML?</w:t>
            </w:r>
          </w:p>
        </w:tc>
      </w:tr>
      <w:tr>
        <w:trPr>
          <w:cantSplit/>
        </w:trPr>
        <w:tc>
          <w:tcPr>
            <w:tcW w:type="dxa" w:w="19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Oracle/CoreWeave</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OCI or AI-cloud revenue, RPO/backlog, debt, FCF</w:t>
            </w:r>
          </w:p>
        </w:tc>
        <w:tc>
          <w:tcPr>
            <w:tcW w:type="dxa" w:w="367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Is contracted AI demand profitable after capex and financing costs?</w:t>
            </w:r>
          </w:p>
        </w:tc>
      </w:tr>
    </w:tbl>
    <w:p>
      <w:pPr>
        <w:spacing w:after="40"/>
      </w:pPr>
    </w:p>
    <w:p>
      <w:pPr>
        <w:pStyle w:val="Heading2"/>
        <w:keepNext/>
      </w:pPr>
      <w:r>
        <w:t>Bucket 4: Enterprise software and workflow monetization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Signal</w:t>
            </w:r>
          </w:p>
        </w:tc>
        <w:tc>
          <w:tcPr>
            <w:tcW w:type="dxa" w:w="410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What it proves</w:t>
            </w:r>
          </w:p>
        </w:tc>
        <w:tc>
          <w:tcPr>
            <w:tcW w:type="dxa" w:w="360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Examples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AI ACV or ARR</w:t>
            </w:r>
          </w:p>
        </w:tc>
        <w:tc>
          <w:tcPr>
            <w:tcW w:type="dxa" w:w="41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AI is becoming a budget item</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ServiceNow AI ACV, Salesforce AI products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Paid seats</w:t>
            </w:r>
          </w:p>
        </w:tc>
        <w:tc>
          <w:tcPr>
            <w:tcW w:type="dxa" w:w="41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Users are paying, not just testing</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Microsoft Copilot</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Net retention</w:t>
            </w:r>
          </w:p>
        </w:tc>
        <w:tc>
          <w:tcPr>
            <w:tcW w:type="dxa" w:w="41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AI helps customers expand after landing</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Palantir, ServiceNow, Microsoft</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Large deal count</w:t>
            </w:r>
          </w:p>
        </w:tc>
        <w:tc>
          <w:tcPr>
            <w:tcW w:type="dxa" w:w="41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Enterprise deployments are moving beyond pilots</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Palantir AIP, ServiceNow workflows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Gross margin</w:t>
            </w:r>
          </w:p>
        </w:tc>
        <w:tc>
          <w:tcPr>
            <w:tcW w:type="dxa" w:w="41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AI features are not destroying software economics</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All software names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Workflow depth</w:t>
            </w:r>
          </w:p>
        </w:tc>
        <w:tc>
          <w:tcPr>
            <w:tcW w:type="dxa" w:w="410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AI is embedded into actions and approvals</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AIP, Copilot, ServiceNow, vertical software</w:t>
            </w:r>
          </w:p>
        </w:tc>
      </w:tr>
    </w:tbl>
    <w:p>
      <w:pPr>
        <w:spacing w:after="40"/>
      </w:pPr>
    </w:p>
    <w:p>
      <w:pPr>
        <w:pStyle w:val="Heading2"/>
        <w:keepNext/>
      </w:pPr>
      <w:r>
        <w:t>Bucket 5: Model-lab and app-layer monetization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7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Metric</w:t>
            </w:r>
          </w:p>
        </w:tc>
        <w:tc>
          <w:tcPr>
            <w:tcW w:type="dxa" w:w="525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Why it matters</w:t>
            </w:r>
          </w:p>
        </w:tc>
        <w:tc>
          <w:tcPr>
            <w:tcW w:type="dxa" w:w="237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8"/>
              </w:rPr>
              <w:t>Confidence</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Revenue run-rate</w:t>
            </w:r>
          </w:p>
        </w:tc>
        <w:tc>
          <w:tcPr>
            <w:tcW w:type="dxa" w:w="525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Shows demand, but private reports may be unaudited</w:t>
            </w:r>
          </w:p>
        </w:tc>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Medium-low</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API pricing</w:t>
            </w:r>
          </w:p>
        </w:tc>
        <w:tc>
          <w:tcPr>
            <w:tcW w:type="dxa" w:w="525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Shows whether pricing power is holding</w:t>
            </w:r>
          </w:p>
        </w:tc>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Medium</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Enterprise mix</w:t>
            </w:r>
          </w:p>
        </w:tc>
        <w:tc>
          <w:tcPr>
            <w:tcW w:type="dxa" w:w="525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Enterprise revenue is usually higher quality than free consumer usage</w:t>
            </w:r>
          </w:p>
        </w:tc>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Medium</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Gross margin</w:t>
            </w:r>
          </w:p>
        </w:tc>
        <w:tc>
          <w:tcPr>
            <w:tcW w:type="dxa" w:w="525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Critical to whether usage is economically attractive</w:t>
            </w:r>
          </w:p>
        </w:tc>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Low availability</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Retention/renewals</w:t>
            </w:r>
          </w:p>
        </w:tc>
        <w:tc>
          <w:tcPr>
            <w:tcW w:type="dxa" w:w="525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Shows whether customers see enough ROI to keep paying</w:t>
            </w:r>
          </w:p>
        </w:tc>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Often hidden</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App traffic</w:t>
            </w:r>
          </w:p>
        </w:tc>
        <w:tc>
          <w:tcPr>
            <w:tcW w:type="dxa" w:w="525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Can show direction but not monetization quality</w:t>
            </w:r>
          </w:p>
        </w:tc>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8"/>
              </w:rPr>
              <w:t>Low</w:t>
            </w:r>
          </w:p>
        </w:tc>
      </w:tr>
    </w:tbl>
    <w:p>
      <w:pPr>
        <w:spacing w:after="40"/>
      </w:pPr>
    </w:p>
    <w:tbl>
      <w:tblPr>
        <w:tblW w:type="auto" w:w="0"/>
        <w:jc w:val="center"/>
        <w:tblLook w:firstColumn="1" w:firstRow="1" w:lastColumn="0" w:lastRow="0" w:noHBand="0" w:noVBand="1" w:val="04A0"/>
      </w:tblPr>
      <w:tblGrid>
        <w:gridCol w:w="10080"/>
      </w:tblGrid>
      <w:tr>
        <w:tc>
          <w:tcPr>
            <w:tcW w:type="dxa" w:w="10080"/>
            <w:shd w:fill="F2F6FA"/>
            <w:tcBorders>
              <w:top w:val="single" w:sz="10" w:color="9FB6CA"/>
              <w:start w:val="single" w:sz="10" w:color="9FB6CA"/>
              <w:bottom w:val="single" w:sz="10" w:color="9FB6CA"/>
              <w:end w:val="single" w:sz="10" w:color="9FB6CA"/>
            </w:tcBorders>
            <w:tcMar>
              <w:top w:w="160" w:type="dxa"/>
              <w:start w:w="180" w:type="dxa"/>
              <w:bottom w:w="160" w:type="dxa"/>
              <w:end w:w="180" w:type="dxa"/>
            </w:tcMar>
          </w:tcPr>
          <w:p>
            <w:pPr>
              <w:spacing w:after="60"/>
            </w:pPr>
            <w:r>
              <w:rPr>
                <w:b/>
                <w:color w:val="15405B"/>
                <w:sz w:val="21"/>
              </w:rPr>
              <w:t>Quality ranking</w:t>
            </w:r>
          </w:p>
          <w:p>
            <w:pPr>
              <w:spacing w:after="0"/>
            </w:pPr>
            <w:r>
              <w:rPr>
                <w:sz w:val="21"/>
              </w:rPr>
              <w:t>For public-market investing, enterprise workflow usage is more valuable than developer/API usage, and developer/API usage is usually more valuable than free consumer usage.</w:t>
            </w:r>
          </w:p>
        </w:tc>
      </w:tr>
    </w:tbl>
    <w:p>
      <w:pPr>
        <w:spacing w:after="40"/>
      </w:pPr>
    </w:p>
    <w:p>
      <w:pPr>
        <w:pStyle w:val="Heading1"/>
        <w:keepNext/>
      </w:pPr>
      <w:r>
        <w:t>5. Ratios and Scoring</w:t>
      </w:r>
    </w:p>
    <w:p>
      <w:pPr>
        <w:pStyle w:val="Heading2"/>
        <w:keepNext/>
      </w:pPr>
      <w:r>
        <w:t>Key ratios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73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Ratio</w:t>
            </w:r>
          </w:p>
        </w:tc>
        <w:tc>
          <w:tcPr>
            <w:tcW w:type="dxa" w:w="374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Formula or proxy</w:t>
            </w:r>
          </w:p>
        </w:tc>
        <w:tc>
          <w:tcPr>
            <w:tcW w:type="dxa" w:w="360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How to read it</w:t>
            </w:r>
          </w:p>
        </w:tc>
      </w:tr>
      <w:tr>
        <w:trPr>
          <w:cantSplit/>
        </w:trPr>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monetization vs. AI capex</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AI-related revenue growth / AI-related capex growth</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Healthy if revenue and gross profit grow with or faster than capex</w:t>
            </w:r>
          </w:p>
        </w:tc>
      </w:tr>
      <w:tr>
        <w:trPr>
          <w:cantSplit/>
        </w:trPr>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Incremental cloud gross profit / incremental capex</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Change in cloud gross profit divided by change in capex</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Tests whether infrastructure build creates enough profit</w:t>
            </w:r>
          </w:p>
        </w:tc>
      </w:tr>
      <w:tr>
        <w:trPr>
          <w:cantSplit/>
        </w:trPr>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RPO conversion</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Revenue recognized from prior RPO/backlog</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Backlog is bullish only if it converts on schedule at good margin</w:t>
            </w:r>
          </w:p>
        </w:tc>
      </w:tr>
      <w:tr>
        <w:trPr>
          <w:cantSplit/>
        </w:trPr>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software ACV / total growth</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ACV or paid AI seats as share of growth</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Shows whether AI is a real revenue driver</w:t>
            </w:r>
          </w:p>
        </w:tc>
      </w:tr>
      <w:tr>
        <w:trPr>
          <w:cantSplit/>
        </w:trPr>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Token economics</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Token volume x price per token - inference cost</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Usage is useful only if unit economics improve</w:t>
            </w:r>
          </w:p>
        </w:tc>
      </w:tr>
      <w:tr>
        <w:trPr>
          <w:cantSplit/>
        </w:trPr>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FCF after capex</w:t>
            </w:r>
          </w:p>
        </w:tc>
        <w:tc>
          <w:tcPr>
            <w:tcW w:type="dxa" w:w="374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Operating cash flow - capex</w:t>
            </w:r>
          </w:p>
        </w:tc>
        <w:tc>
          <w:tcPr>
            <w:tcW w:type="dxa" w:w="36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Reality check for capital-intensive AI businesses</w:t>
            </w:r>
          </w:p>
        </w:tc>
      </w:tr>
    </w:tbl>
    <w:p>
      <w:pPr>
        <w:spacing w:after="40"/>
      </w:pPr>
    </w:p>
    <w:p>
      <w:pPr>
        <w:pStyle w:val="Heading2"/>
        <w:keepNext/>
      </w:pPr>
      <w:r>
        <w:t>Traffic-light framework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8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Signal</w:t>
            </w:r>
          </w:p>
        </w:tc>
        <w:tc>
          <w:tcPr>
            <w:tcW w:type="dxa" w:w="26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Green</w:t>
            </w:r>
          </w:p>
        </w:tc>
        <w:tc>
          <w:tcPr>
            <w:tcW w:type="dxa" w:w="26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Yellow</w:t>
            </w:r>
          </w:p>
        </w:tc>
        <w:tc>
          <w:tcPr>
            <w:tcW w:type="dxa" w:w="26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Red</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Capex</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High but matched by revenue and margin</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Rising faster than revenue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Rising while growth slows</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Infrastructure demand</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Orders/backlog strong and broad</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Strong but concentrated</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Orders slow or backlog fails to convert</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Cloud monetization</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Cloud revenue/RPO accelerating</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Revenue grows but margin pressure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Capex up, cloud growth weak</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Software monetization</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AI ACV, seats, NRR, large deals improving</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Pilots strong but revenue unclear</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Pilot fatigue, weak renewals</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Margins/FCF</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Margins stable; FCF healthy</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Margins mixed; FCF pressured</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Gross margin or FCF deteriorates</w:t>
            </w:r>
          </w:p>
        </w:tc>
      </w:tr>
      <w:tr>
        <w:trPr>
          <w:cantSplit/>
        </w:trPr>
        <w:tc>
          <w:tcPr>
            <w:tcW w:type="dxa" w:w="208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Financing/circularity</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Normal customer contracts</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More prepayments, credits, or related deals</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Supplier/customer financing drives demand</w:t>
            </w:r>
          </w:p>
        </w:tc>
      </w:tr>
    </w:tbl>
    <w:p>
      <w:pPr>
        <w:spacing w:after="40"/>
      </w:pPr>
    </w:p>
    <w:p>
      <w:pPr>
        <w:pStyle w:val="Heading2"/>
        <w:keepNext/>
      </w:pPr>
      <w:r>
        <w:t>Three-confirmation rule</w:t>
      </w:r>
    </w:p>
    <w:p>
      <w:pPr>
        <w:spacing w:after="60"/>
        <w:ind w:left="475" w:hanging="346"/>
      </w:pPr>
      <w:r>
        <w:rPr>
          <w:sz w:val="21"/>
        </w:rPr>
        <w:t xml:space="preserve">1.   </w:t>
      </w:r>
      <w:r>
        <w:rPr>
          <w:sz w:val="21"/>
        </w:rPr>
        <w:t>Infrastructure demand is still strong: Nvidia, Broadcom, Dell, Micron, data centers, and power signals are positive.</w:t>
      </w:r>
    </w:p>
    <w:p>
      <w:pPr>
        <w:spacing w:after="60"/>
        <w:ind w:left="475" w:hanging="346"/>
      </w:pPr>
      <w:r>
        <w:rPr>
          <w:sz w:val="21"/>
        </w:rPr>
        <w:t xml:space="preserve">2.   </w:t>
      </w:r>
      <w:r>
        <w:rPr>
          <w:sz w:val="21"/>
        </w:rPr>
        <w:t>Cloud/platform monetization is visible: Azure, GCP, AWS, OCI, RPO, paid seats, or cloud margins confirm demand.</w:t>
      </w:r>
    </w:p>
    <w:p>
      <w:pPr>
        <w:spacing w:after="60"/>
        <w:ind w:left="475" w:hanging="346"/>
      </w:pPr>
      <w:r>
        <w:rPr>
          <w:sz w:val="21"/>
        </w:rPr>
        <w:t xml:space="preserve">3.   </w:t>
      </w:r>
      <w:r>
        <w:rPr>
          <w:sz w:val="21"/>
        </w:rPr>
        <w:t>Downstream software/app monetization is visible: AI ACV, paid seats, enterprise expansion, model-lab revenue, or workflow adoption is improving.</w:t>
      </w:r>
    </w:p>
    <w:tbl>
      <w:tblPr>
        <w:tblW w:type="auto" w:w="0"/>
        <w:jc w:val="center"/>
        <w:tblLook w:firstColumn="1" w:firstRow="1" w:lastColumn="0" w:lastRow="0" w:noHBand="0" w:noVBand="1" w:val="04A0"/>
      </w:tblPr>
      <w:tblGrid>
        <w:gridCol w:w="10080"/>
      </w:tblGrid>
      <w:tr>
        <w:tc>
          <w:tcPr>
            <w:tcW w:type="dxa" w:w="10080"/>
            <w:shd w:fill="E9F5EE"/>
            <w:tcBorders>
              <w:top w:val="single" w:sz="10" w:color="6EAA84"/>
              <w:start w:val="single" w:sz="10" w:color="6EAA84"/>
              <w:bottom w:val="single" w:sz="10" w:color="6EAA84"/>
              <w:end w:val="single" w:sz="10" w:color="6EAA84"/>
            </w:tcBorders>
            <w:tcMar>
              <w:top w:w="160" w:type="dxa"/>
              <w:start w:w="180" w:type="dxa"/>
              <w:bottom w:w="160" w:type="dxa"/>
              <w:end w:w="180" w:type="dxa"/>
            </w:tcMar>
          </w:tcPr>
          <w:p>
            <w:pPr>
              <w:spacing w:after="60"/>
            </w:pPr>
            <w:r>
              <w:rPr>
                <w:b/>
                <w:color w:val="15405B"/>
                <w:sz w:val="21"/>
              </w:rPr>
              <w:t>Interpretation</w:t>
            </w:r>
          </w:p>
          <w:p>
            <w:pPr>
              <w:spacing w:after="0"/>
            </w:pPr>
            <w:r>
              <w:rPr>
                <w:sz w:val="21"/>
              </w:rPr>
              <w:t>If only infrastructure demand is strong, the market may be building ahead of proof. If all three confirmations are strong and margins/FCF hold, the AI cycle is much healthier.</w:t>
            </w:r>
          </w:p>
        </w:tc>
      </w:tr>
    </w:tbl>
    <w:p>
      <w:pPr>
        <w:spacing w:after="40"/>
      </w:pPr>
    </w:p>
    <w:p>
      <w:r>
        <w:br w:type="page"/>
      </w:r>
    </w:p>
    <w:p>
      <w:pPr>
        <w:pStyle w:val="Heading1"/>
        <w:keepNext/>
      </w:pPr>
      <w:r>
        <w:t>6. Putting Guardrails on AI: Business and Investment Implications</w:t>
      </w:r>
    </w:p>
    <w:p>
      <w:pPr>
        <w:spacing w:after="120"/>
      </w:pPr>
      <w:r>
        <w:rPr>
          <w:b/>
        </w:rPr>
        <w:t xml:space="preserve">Guardrails are not just a regulatory topic. </w:t>
      </w:r>
      <w:r>
        <w:t>They change product design, sales cycles, margins, customer trust, enterprise adoption, and moat. The key investor question is whether guardrails are a cost burden only, or whether they help AI move from demos into mission-critical production.</w:t>
      </w:r>
    </w:p>
    <w:p>
      <w:pPr>
        <w:pStyle w:val="Heading2"/>
        <w:keepNext/>
      </w:pPr>
      <w:r>
        <w:t>What guardrails actually mean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Layer</w:t>
            </w:r>
          </w:p>
        </w:tc>
        <w:tc>
          <w:tcPr>
            <w:tcW w:type="dxa" w:w="44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Examples</w:t>
            </w:r>
          </w:p>
        </w:tc>
        <w:tc>
          <w:tcPr>
            <w:tcW w:type="dxa" w:w="352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Business impact</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Data controls</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Data isolation, access controls, privacy, lineage, retention rules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Determines whether enterprises can safely use proprietary data with AI</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Model controls</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Evaluations, red-teaming, safety tuning, jailbreak testing, model cards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Raises cost but improves trust and reliability</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Prompt and output controls</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Prompt filters, content moderation, citations, grounding, output restrictions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Reduces harmful or false outputs but may limit flexibility</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Workflow controls</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Role-based permissions, approval steps, human-in-the-loop, audit trails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Slows full autonomy but enables regulated production use</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Monitoring</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Drift detection, hallucination tracking, incident reporting, telemetry</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Turns AI into an operational system rather than a demo</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Vendor governance</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Third-party model reviews, security reviews, contractual restrictions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Benefits trusted platforms and hurts weak AI wrappers</w:t>
            </w:r>
          </w:p>
        </w:tc>
      </w:tr>
      <w:tr>
        <w:trPr>
          <w:cantSplit/>
        </w:trPr>
        <w:tc>
          <w:tcPr>
            <w:tcW w:type="dxa" w:w="216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Disclosure controls</w:t>
            </w:r>
          </w:p>
        </w:tc>
        <w:tc>
          <w:tcPr>
            <w:tcW w:type="dxa" w:w="44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Substantiation of AI claims, risk disclosures, marketing review</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Reduces AI-washing risk and forces management discipline</w:t>
            </w:r>
          </w:p>
        </w:tc>
      </w:tr>
    </w:tbl>
    <w:p>
      <w:pPr>
        <w:spacing w:after="40"/>
      </w:pPr>
    </w:p>
    <w:p>
      <w:pPr>
        <w:pStyle w:val="Heading2"/>
        <w:keepNext/>
      </w:pPr>
      <w:r>
        <w:t>Regulatory and governance anchors</w:t>
      </w:r>
    </w:p>
    <w:p>
      <w:pPr>
        <w:spacing w:after="160"/>
      </w:pPr>
      <w:r>
        <w:t xml:space="preserve">The direction of travel is clear: companies need to show that AI is trustworthy, monitored, documented, and used with appropriate accountability. </w:t>
      </w:r>
      <w:r>
        <w:t>The EU AI Act is being implemented progressively through 2028; NIST's generative AI profile organizes risk management around govern, map, measure, and manage; the OECD AI Principles emphasize trustworthy AI, transparency, robustness, safety, and accountability; and SEC actions around AI-washing show that companies must substantiate AI claims to investors and customers.</w:t>
      </w:r>
    </w:p>
    <w:tbl>
      <w:tblPr>
        <w:tblW w:type="auto" w:w="0"/>
        <w:jc w:val="center"/>
        <w:tblLook w:firstColumn="1" w:firstRow="1" w:lastColumn="0" w:lastRow="0" w:noHBand="0" w:noVBand="1" w:val="04A0"/>
      </w:tblPr>
      <w:tblGrid>
        <w:gridCol w:w="10080"/>
      </w:tblGrid>
      <w:tr>
        <w:tc>
          <w:tcPr>
            <w:tcW w:type="dxa" w:w="10080"/>
            <w:shd w:fill="FFF7E6"/>
            <w:tcBorders>
              <w:top w:val="single" w:sz="10" w:color="D4A24C"/>
              <w:start w:val="single" w:sz="10" w:color="D4A24C"/>
              <w:bottom w:val="single" w:sz="10" w:color="D4A24C"/>
              <w:end w:val="single" w:sz="10" w:color="D4A24C"/>
            </w:tcBorders>
            <w:tcMar>
              <w:top w:w="160" w:type="dxa"/>
              <w:start w:w="180" w:type="dxa"/>
              <w:bottom w:w="160" w:type="dxa"/>
              <w:end w:w="180" w:type="dxa"/>
            </w:tcMar>
          </w:tcPr>
          <w:p>
            <w:pPr>
              <w:spacing w:after="60"/>
            </w:pPr>
            <w:r>
              <w:rPr>
                <w:b/>
                <w:color w:val="15405B"/>
                <w:sz w:val="21"/>
              </w:rPr>
              <w:t>Investor translation</w:t>
            </w:r>
          </w:p>
          <w:p>
            <w:pPr>
              <w:spacing w:after="0"/>
            </w:pPr>
            <w:r>
              <w:rPr>
                <w:sz w:val="21"/>
              </w:rPr>
              <w:t>Guardrails can slow reckless AI deployment, but they can also unlock enterprise budgets. For banks, utilities, healthcare, defense, insurance, and large industrials, AI without governance often stays in pilot mode. AI with audit, permissioning, monitoring, and accountability can become production software.</w:t>
            </w:r>
          </w:p>
        </w:tc>
      </w:tr>
    </w:tbl>
    <w:p>
      <w:pPr>
        <w:spacing w:after="40"/>
      </w:pPr>
    </w:p>
    <w:p>
      <w:pPr>
        <w:pStyle w:val="Heading2"/>
        <w:keepNext/>
      </w:pPr>
      <w:r>
        <w:t>Bullish effects of guardrails</w:t>
      </w:r>
    </w:p>
    <w:p>
      <w:pPr>
        <w:pStyle w:val="ListBullet"/>
        <w:spacing w:after="60"/>
        <w:ind w:left="360"/>
      </w:pPr>
      <w:r>
        <w:rPr>
          <w:b/>
          <w:sz w:val="21"/>
        </w:rPr>
        <w:t xml:space="preserve">Enterprise adoption accelerator: </w:t>
      </w:r>
      <w:r>
        <w:rPr>
          <w:sz w:val="21"/>
        </w:rPr>
        <w:t>guardrails help regulated customers move from experimentation to production.</w:t>
      </w:r>
    </w:p>
    <w:p>
      <w:pPr>
        <w:pStyle w:val="ListBullet"/>
        <w:spacing w:after="60"/>
        <w:ind w:left="360"/>
      </w:pPr>
      <w:r>
        <w:rPr>
          <w:b/>
          <w:sz w:val="21"/>
        </w:rPr>
        <w:t xml:space="preserve">Moat creation: </w:t>
      </w:r>
      <w:r>
        <w:rPr>
          <w:sz w:val="21"/>
        </w:rPr>
        <w:t>companies with permissions, audit logs, data lineage, governance, and workflow integration become harder to replace.</w:t>
      </w:r>
    </w:p>
    <w:p>
      <w:pPr>
        <w:pStyle w:val="ListBullet"/>
        <w:spacing w:after="60"/>
        <w:ind w:left="360"/>
      </w:pPr>
      <w:r>
        <w:rPr>
          <w:b/>
          <w:sz w:val="21"/>
        </w:rPr>
        <w:t xml:space="preserve">Higher-quality revenue: </w:t>
      </w:r>
      <w:r>
        <w:rPr>
          <w:sz w:val="21"/>
        </w:rPr>
        <w:t>AI sold with compliance, security, and monitoring can support enterprise contracts and renewals.</w:t>
      </w:r>
    </w:p>
    <w:p>
      <w:pPr>
        <w:pStyle w:val="ListBullet"/>
        <w:spacing w:after="60"/>
        <w:ind w:left="360"/>
      </w:pPr>
      <w:r>
        <w:rPr>
          <w:b/>
          <w:sz w:val="21"/>
        </w:rPr>
        <w:t xml:space="preserve">Value shifts to workflow layer: </w:t>
      </w:r>
      <w:r>
        <w:rPr>
          <w:sz w:val="21"/>
        </w:rPr>
        <w:t>the company that controls the business process may capture more value than the company that only provides the model.</w:t>
      </w:r>
    </w:p>
    <w:p>
      <w:pPr>
        <w:pStyle w:val="ListBullet"/>
        <w:spacing w:after="60"/>
        <w:ind w:left="360"/>
      </w:pPr>
      <w:r>
        <w:rPr>
          <w:b/>
          <w:sz w:val="21"/>
        </w:rPr>
        <w:t xml:space="preserve">Trust as a product feature: </w:t>
      </w:r>
      <w:r>
        <w:rPr>
          <w:sz w:val="21"/>
        </w:rPr>
        <w:t>customers may pay for reliability, security, citations, explainability, and compliance.</w:t>
      </w:r>
    </w:p>
    <w:p>
      <w:pPr>
        <w:pStyle w:val="ListBullet"/>
        <w:spacing w:after="60"/>
        <w:ind w:left="360"/>
      </w:pPr>
      <w:r>
        <w:rPr>
          <w:b/>
          <w:sz w:val="21"/>
        </w:rPr>
        <w:t xml:space="preserve">Safety/evaluation compute demand: </w:t>
      </w:r>
      <w:r>
        <w:rPr>
          <w:sz w:val="21"/>
        </w:rPr>
        <w:t>testing, simulations, red-teaming, and monitoring can themselves require compute.</w:t>
      </w:r>
    </w:p>
    <w:p>
      <w:pPr>
        <w:pStyle w:val="Heading2"/>
        <w:keepNext/>
      </w:pPr>
      <w:r>
        <w:t>Bearish effects of guardrails</w:t>
      </w:r>
    </w:p>
    <w:p>
      <w:pPr>
        <w:pStyle w:val="ListBullet"/>
        <w:spacing w:after="60"/>
        <w:ind w:left="360"/>
      </w:pPr>
      <w:r>
        <w:rPr>
          <w:b/>
          <w:sz w:val="21"/>
        </w:rPr>
        <w:t xml:space="preserve">Slower product velocity: </w:t>
      </w:r>
      <w:r>
        <w:rPr>
          <w:sz w:val="21"/>
        </w:rPr>
        <w:t>more testing, review, documentation, and approval can delay launches.</w:t>
      </w:r>
    </w:p>
    <w:p>
      <w:pPr>
        <w:pStyle w:val="ListBullet"/>
        <w:spacing w:after="60"/>
        <w:ind w:left="360"/>
      </w:pPr>
      <w:r>
        <w:rPr>
          <w:b/>
          <w:sz w:val="21"/>
        </w:rPr>
        <w:t xml:space="preserve">Higher operating cost: </w:t>
      </w:r>
      <w:r>
        <w:rPr>
          <w:sz w:val="21"/>
        </w:rPr>
        <w:t>trust and safety teams, compliance, audits, monitoring, and legal reviews are real expenses.</w:t>
      </w:r>
    </w:p>
    <w:p>
      <w:pPr>
        <w:pStyle w:val="ListBullet"/>
        <w:spacing w:after="60"/>
        <w:ind w:left="360"/>
      </w:pPr>
      <w:r>
        <w:rPr>
          <w:b/>
          <w:sz w:val="21"/>
        </w:rPr>
        <w:t xml:space="preserve">Lower near-term automation: </w:t>
      </w:r>
      <w:r>
        <w:rPr>
          <w:sz w:val="21"/>
        </w:rPr>
        <w:t>human-in-the-loop requirements can reduce the speed and labor-savings story for high-risk tasks.</w:t>
      </w:r>
    </w:p>
    <w:p>
      <w:pPr>
        <w:pStyle w:val="ListBullet"/>
        <w:spacing w:after="60"/>
        <w:ind w:left="360"/>
      </w:pPr>
      <w:r>
        <w:rPr>
          <w:b/>
          <w:sz w:val="21"/>
        </w:rPr>
        <w:t xml:space="preserve">Margin pressure: </w:t>
      </w:r>
      <w:r>
        <w:rPr>
          <w:sz w:val="21"/>
        </w:rPr>
        <w:t>AI features may need extra infrastructure, monitoring, security, and customer support.</w:t>
      </w:r>
    </w:p>
    <w:p>
      <w:pPr>
        <w:pStyle w:val="ListBullet"/>
        <w:spacing w:after="60"/>
        <w:ind w:left="360"/>
      </w:pPr>
      <w:r>
        <w:rPr>
          <w:b/>
          <w:sz w:val="21"/>
        </w:rPr>
        <w:t xml:space="preserve">Legal and reputational risk: </w:t>
      </w:r>
      <w:r>
        <w:rPr>
          <w:sz w:val="21"/>
        </w:rPr>
        <w:t>AI failures, data leakage, biased outcomes, or misleading AI claims can damage the equity story.</w:t>
      </w:r>
    </w:p>
    <w:p>
      <w:pPr>
        <w:pStyle w:val="ListBullet"/>
        <w:spacing w:after="60"/>
        <w:ind w:left="360"/>
      </w:pPr>
      <w:r>
        <w:rPr>
          <w:b/>
          <w:sz w:val="21"/>
        </w:rPr>
        <w:t xml:space="preserve">Regulated sales cycles: </w:t>
      </w:r>
      <w:r>
        <w:rPr>
          <w:sz w:val="21"/>
        </w:rPr>
        <w:t>customers in finance, healthcare, energy, and government may take longer to approve AI deployments.</w:t>
      </w:r>
    </w:p>
    <w:p>
      <w:pPr>
        <w:pStyle w:val="Heading2"/>
        <w:keepNext/>
      </w:pPr>
      <w:r>
        <w:t>Impact by company type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Company type</w:t>
            </w:r>
          </w:p>
        </w:tc>
        <w:tc>
          <w:tcPr>
            <w:tcW w:type="dxa" w:w="511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Likely guardrail impact</w:t>
            </w:r>
          </w:p>
        </w:tc>
        <w:tc>
          <w:tcPr>
            <w:tcW w:type="dxa" w:w="273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Who may benefit</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Model labs</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Higher eval, safety, and compliance cost; enterprise buyers reward reliability and data protection</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OpenAI, Anthropic, Google, xAI if they can prove trust and unit economics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Cloud platforms</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Can sell guardrail tooling, secure model hosting, governance, logging, and compliance features</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Microsoft, Google, Amazon, Oracle</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Enterprise workflow software</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Strong beneficiary because AI must operate inside permissions, workflows, approvals, and audit trails</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Palantir, ServiceNow, Microsoft, Salesforce, vertical software</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Data platforms</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Need for clean data, lineage, governance, and access control becomes more important</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Snowflake, Databricks, cloud data stacks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Cybersecurity and observability</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AI creates new attack surfaces and monitoring needs</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Security, identity, logging, and monitoring vendors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Consumer/social platforms</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More moderation, synthetic-content labeling, privacy, and youth-safety burden</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Meta, Google/YouTube, Tencent, ByteDance-type platforms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Hardware/infrastructure</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Indirect impact: trusted AI adoption can sustain demand, while regulatory friction can slow some deployments</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Nvidia, Broadcom, Dell, memory, networking, data centers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Thin AI wrappers</w:t>
            </w:r>
          </w:p>
        </w:tc>
        <w:tc>
          <w:tcPr>
            <w:tcW w:type="dxa" w:w="51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Most vulnerable because they may lack differentiated data, governance, workflow control, or defensible trust</w:t>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Usually avoid unless evidence is strong</w:t>
            </w:r>
          </w:p>
        </w:tc>
      </w:tr>
    </w:tbl>
    <w:p>
      <w:pPr>
        <w:spacing w:after="40"/>
      </w:pPr>
    </w:p>
    <w:p>
      <w:pPr>
        <w:pStyle w:val="Heading2"/>
        <w:keepNext/>
      </w:pPr>
      <w:r>
        <w:t>Guardrails as a moat: the key insight</w:t>
      </w:r>
    </w:p>
    <w:tbl>
      <w:tblPr>
        <w:tblW w:type="auto" w:w="0"/>
        <w:jc w:val="center"/>
        <w:tblLook w:firstColumn="1" w:firstRow="1" w:lastColumn="0" w:lastRow="0" w:noHBand="0" w:noVBand="1" w:val="04A0"/>
      </w:tblPr>
      <w:tblGrid>
        <w:gridCol w:w="10080"/>
      </w:tblGrid>
      <w:tr>
        <w:tc>
          <w:tcPr>
            <w:tcW w:type="dxa" w:w="10080"/>
            <w:shd w:fill="E9F5EE"/>
            <w:tcBorders>
              <w:top w:val="single" w:sz="10" w:color="6EAA84"/>
              <w:start w:val="single" w:sz="10" w:color="6EAA84"/>
              <w:bottom w:val="single" w:sz="10" w:color="6EAA84"/>
              <w:end w:val="single" w:sz="10" w:color="6EAA84"/>
            </w:tcBorders>
            <w:tcMar>
              <w:top w:w="160" w:type="dxa"/>
              <w:start w:w="180" w:type="dxa"/>
              <w:bottom w:w="160" w:type="dxa"/>
              <w:end w:w="180" w:type="dxa"/>
            </w:tcMar>
          </w:tcPr>
          <w:p>
            <w:pPr>
              <w:spacing w:after="60"/>
            </w:pPr>
            <w:r>
              <w:rPr>
                <w:b/>
                <w:color w:val="15405B"/>
                <w:sz w:val="21"/>
              </w:rPr>
              <w:t>Moat logic</w:t>
            </w:r>
          </w:p>
          <w:p>
            <w:pPr>
              <w:spacing w:after="0"/>
            </w:pPr>
            <w:r>
              <w:rPr>
                <w:sz w:val="21"/>
              </w:rPr>
              <w:t>Raw AI access may commoditize. Enterprise-grade AI with data controls, permissions, monitoring, human approvals, explainability, vendor governance, and audit trails is harder to commoditize. This is why guardrails may shift value toward workflow, data, cloud, and governance platforms.</w:t>
            </w:r>
          </w:p>
        </w:tc>
      </w:tr>
    </w:tbl>
    <w:p>
      <w:pPr>
        <w:spacing w:after="40"/>
      </w:pPr>
    </w:p>
    <w:p>
      <w:pPr>
        <w:pStyle w:val="Heading2"/>
        <w:keepNext/>
      </w:pPr>
      <w:r>
        <w:t>Guardrails and the AI adoption curve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Stage</w:t>
            </w:r>
          </w:p>
        </w:tc>
        <w:tc>
          <w:tcPr>
            <w:tcW w:type="dxa" w:w="40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Without guardrails</w:t>
            </w:r>
          </w:p>
        </w:tc>
        <w:tc>
          <w:tcPr>
            <w:tcW w:type="dxa" w:w="40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With guardrails</w:t>
            </w:r>
          </w:p>
        </w:tc>
      </w:tr>
      <w:tr>
        <w:trPr>
          <w:cantSplit/>
        </w:trPr>
        <w:tc>
          <w:tcPr>
            <w:tcW w:type="dxa" w:w="18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Demo</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Easy to impress users</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Still easy, but more structured</w:t>
            </w:r>
          </w:p>
        </w:tc>
      </w:tr>
      <w:tr>
        <w:trPr>
          <w:cantSplit/>
        </w:trPr>
        <w:tc>
          <w:tcPr>
            <w:tcW w:type="dxa" w:w="18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Pilot</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Common but often isolated</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Better scoped, with defined risk owners</w:t>
            </w:r>
          </w:p>
        </w:tc>
      </w:tr>
      <w:tr>
        <w:trPr>
          <w:cantSplit/>
        </w:trPr>
        <w:tc>
          <w:tcPr>
            <w:tcW w:type="dxa" w:w="18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Production</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Blocked by security, legal, compliance, and business owners</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Possible if data, permissions, monitoring, and audit are in place</w:t>
            </w:r>
          </w:p>
        </w:tc>
      </w:tr>
      <w:tr>
        <w:trPr>
          <w:cantSplit/>
        </w:trPr>
        <w:tc>
          <w:tcPr>
            <w:tcW w:type="dxa" w:w="18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Scale</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Risk grows with usage</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Governance infrastructure supports repeatable rollout</w:t>
            </w:r>
          </w:p>
        </w:tc>
      </w:tr>
      <w:tr>
        <w:trPr>
          <w:cantSplit/>
        </w:trPr>
        <w:tc>
          <w:tcPr>
            <w:tcW w:type="dxa" w:w="180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Renewal</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Hard to prove value and safety</w:t>
            </w:r>
          </w:p>
        </w:tc>
        <w:tc>
          <w:tcPr>
            <w:tcW w:type="dxa" w:w="40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Easier to prove reliability, compliance, and ROI</w:t>
            </w:r>
          </w:p>
        </w:tc>
      </w:tr>
    </w:tbl>
    <w:p>
      <w:pPr>
        <w:spacing w:after="40"/>
      </w:pPr>
    </w:p>
    <w:p>
      <w:pPr>
        <w:pStyle w:val="Heading2"/>
        <w:keepNext/>
      </w:pPr>
      <w:r>
        <w:t>Guardrails due diligence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Question</w:t>
            </w:r>
          </w:p>
        </w:tc>
        <w:tc>
          <w:tcPr>
            <w:tcW w:type="dxa" w:w="352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Why it matters</w:t>
            </w:r>
          </w:p>
        </w:tc>
        <w:tc>
          <w:tcPr>
            <w:tcW w:type="dxa" w:w="352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Evidence to look for</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Does the company have an AI inventory?</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You cannot govern what you do not track</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Model registry, use-case inventory, governance committee</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Are outputs auditable?</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Enterprises need to explain and review decisions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Logs, citations, traceability, record retention</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Are permissions enforced?</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AI should not access data or actions beyond the user role</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Role-based access, least privilege, data boundaries</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Is there human approval for high-risk actions?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Full autonomy is not suitable for every workflow</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Approval gates, escalation rules, exception reports</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Are AI claims substantiated?</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AI-washing can create regulatory and litigation risk</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Marketing review, disclosure controls, evidence of capabilities</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Can the company charge for guardrails?</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If trust is bundled for free, margins may suffer</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Security/compliance tiers, enterprise SKUs, premium features</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Do guardrails improve retention?</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The best sign is renewal and expansion</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NRR, churn, customer expansion, multi-year deals</w:t>
            </w:r>
          </w:p>
        </w:tc>
      </w:tr>
      <w:tr>
        <w:trPr>
          <w:cantSplit/>
        </w:trPr>
        <w:tc>
          <w:tcPr>
            <w:tcW w:type="dxa" w:w="28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Is margin impact disclosed or visible?</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Trust and safety are not free</w:t>
            </w:r>
          </w:p>
        </w:tc>
        <w:tc>
          <w:tcPr>
            <w:tcW w:type="dxa" w:w="352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Gross margin, opex, support cost, cloud cost</w:t>
            </w:r>
          </w:p>
        </w:tc>
      </w:tr>
    </w:tbl>
    <w:p>
      <w:pPr>
        <w:spacing w:after="40"/>
      </w:pPr>
    </w:p>
    <w:p>
      <w:pPr>
        <w:pStyle w:val="Heading2"/>
        <w:keepNext/>
      </w:pPr>
      <w:r>
        <w:t>Red flags for investors</w:t>
      </w:r>
    </w:p>
    <w:p>
      <w:pPr>
        <w:pStyle w:val="ListBullet"/>
        <w:spacing w:after="60"/>
        <w:ind w:left="360"/>
      </w:pPr>
      <w:r>
        <w:rPr>
          <w:sz w:val="21"/>
        </w:rPr>
        <w:t>Management talks about AI aggressively but cannot explain governance, customer use cases, or financial impact.</w:t>
      </w:r>
    </w:p>
    <w:p>
      <w:pPr>
        <w:pStyle w:val="ListBullet"/>
        <w:spacing w:after="60"/>
        <w:ind w:left="360"/>
      </w:pPr>
      <w:r>
        <w:rPr>
          <w:sz w:val="21"/>
        </w:rPr>
        <w:t>AI product growth is discussed only in terms of usage, not paid adoption, retention, gross margin, or customer expansion.</w:t>
      </w:r>
    </w:p>
    <w:p>
      <w:pPr>
        <w:pStyle w:val="ListBullet"/>
        <w:spacing w:after="60"/>
        <w:ind w:left="360"/>
      </w:pPr>
      <w:r>
        <w:rPr>
          <w:sz w:val="21"/>
        </w:rPr>
        <w:t>The company has no clear answer on data privacy, model monitoring, incident response, or vendor risk.</w:t>
      </w:r>
    </w:p>
    <w:p>
      <w:pPr>
        <w:pStyle w:val="ListBullet"/>
        <w:spacing w:after="60"/>
        <w:ind w:left="360"/>
      </w:pPr>
      <w:r>
        <w:rPr>
          <w:sz w:val="21"/>
        </w:rPr>
        <w:t>AI is marketed as autonomous in high-risk workflows without evidence of approvals, audit, or fallback controls.</w:t>
      </w:r>
    </w:p>
    <w:p>
      <w:pPr>
        <w:pStyle w:val="ListBullet"/>
        <w:spacing w:after="60"/>
        <w:ind w:left="360"/>
      </w:pPr>
      <w:r>
        <w:rPr>
          <w:sz w:val="21"/>
        </w:rPr>
        <w:t>AI claims sound promotional but are not supported by metrics, demos, customer evidence, or disclosures.</w:t>
      </w:r>
    </w:p>
    <w:p>
      <w:pPr>
        <w:pStyle w:val="ListBullet"/>
        <w:spacing w:after="60"/>
        <w:ind w:left="360"/>
      </w:pPr>
      <w:r>
        <w:rPr>
          <w:sz w:val="21"/>
        </w:rPr>
        <w:t>Safety and compliance expenses rise, but management does not explain pricing power or ROI from enterprise trust.</w:t>
      </w:r>
    </w:p>
    <w:p>
      <w:pPr>
        <w:pStyle w:val="Heading2"/>
        <w:keepNext/>
      </w:pPr>
      <w:r>
        <w:t>How to think about specific names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Name/theme</w:t>
            </w:r>
          </w:p>
        </w:tc>
        <w:tc>
          <w:tcPr>
            <w:tcW w:type="dxa" w:w="784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Guardrail angle</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Palantir</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Potential beneficiary because ontology, permissions, audit, and human decision workflows are central to its value proposition.</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ServiceNow</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Potential beneficiary because AI can be embedded into controlled enterprise workflows with approvals and records.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Microsoft</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Strong position because Copilot sits inside enterprise identity, security, documents, Teams, and admin controls.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Google</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Needs to balance search/product speed with accuracy, attribution, privacy, and cloud AI governance.</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Meta</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Guardrails matter for content safety, synthetic media, youth safety, moderation, and brand safety for advertisers.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Tencent</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Guardrails are relevant for Weixin content, games, payments, merchant tools, and regulated China AI use cases.</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Nvidia/Broadcom/Dell</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Indirect impact: if guardrails help enterprises deploy AI safely, infrastructure demand becomes more durable; if regulations slow high-risk AI, some capex could be delayed.</w:t>
            </w:r>
          </w:p>
        </w:tc>
      </w:tr>
      <w:tr>
        <w:trPr>
          <w:cantSplit/>
        </w:trPr>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Thin AI wrappers</w:t>
            </w:r>
          </w:p>
        </w:tc>
        <w:tc>
          <w:tcPr>
            <w:tcW w:type="dxa" w:w="78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Most at risk if they lack data rights, workflow integration, governance, and proof of real ROI.</w:t>
            </w:r>
          </w:p>
        </w:tc>
      </w:tr>
    </w:tbl>
    <w:p>
      <w:pPr>
        <w:spacing w:after="40"/>
      </w:pPr>
    </w:p>
    <w:p>
      <w:pPr>
        <w:pStyle w:val="Heading1"/>
        <w:keepNext/>
      </w:pPr>
      <w:r>
        <w:t>7. Company and Theme Cheat Sheet</w:t>
      </w:r>
    </w:p>
    <w:p>
      <w:pPr>
        <w:spacing w:after="120"/>
      </w:pPr>
      <w:r>
        <w:t>Use this table to keep the thesis practical. For each company, separate the business-quality thesis from the stock/valuation question.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Company/theme</w:t>
            </w:r>
          </w:p>
        </w:tc>
        <w:tc>
          <w:tcPr>
            <w:tcW w:type="dxa" w:w="32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Core thesis</w:t>
            </w:r>
          </w:p>
        </w:tc>
        <w:tc>
          <w:tcPr>
            <w:tcW w:type="dxa" w:w="266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Main risk</w:t>
            </w:r>
          </w:p>
        </w:tc>
        <w:tc>
          <w:tcPr>
            <w:tcW w:type="dxa" w:w="259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Key monitor</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Nvidia</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King of AI compute; strongest bottleneck across GPUs, CUDA, systems, networking, and developer ecosystem</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Downstream AI ROI, ASIC competition, customer concentration, margin normalization</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Data-center revenue, gross margin, capex plans of hyperscalers, inference demand</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AMD</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Credible second-source AI GPU supplier with share-gain potential</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Software ecosystem gap vs. Nvidia; performance and deployment risk</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ROCm maturity, hyperscaler wins, price/performance, data-center revenue</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Broadcom</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High-quality custom silicon, networking, and software cash-flow compounder</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Customer concentration, hyperscaler capex cycle, custom ASIC competition</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semiconductor revenue, networking, VMware FCF, top-customer exposure</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Dell</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server deployment and enterprise infrastructure re-rating</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Pass-through revenue, server margin compression, working capital, hardware cycle</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backlog/orders, ISG margin, FCF, inventory/receivables</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Micron</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HBM and memory intensity benefit from AI infrastructure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Memory remains cyclical and supply can catch up</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HBM mix, DRAM pricing, gross margin, capex additions</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Google</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Huge AI assets, distribution, TPUs, GCP, search, YouTube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Search disruption, product execution, AI capex ROI</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Search revenue, GCP growth/margin, Gemini adoption, capex</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Meta</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Massive distribution and ad monetization; AI can improve ads, recommendations, messaging, and agents</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Capex ROI, AI product vagueness, regulation, moderation cost</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Ad growth, engagement, capex/depreciation, AI product usage, margin</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Tencent</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can improve games, ads, Weixin commerce, merchant tools, payments, cloud, and content</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China macro, chip constraints, indirect monetization, regulation</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Gaming, ads, fintech/business services, cloud margins, AI product adoption</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Alibaba</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China cloud and AI optionality with e-commerce ecosystem</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Dilution, macro weakness, competition, chip limits, capex ROI</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Cloud growth, AI capex, margins, China consumption, customer adoption</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Palantir</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Ontology + AIP can turn AI into operational decisions</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Valuation, competition, scalability beyond bespoke deployments</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U.S. commercial growth, NRR, customer count, RPO, FCF margin</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ServiceNow</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Enterprise workflow system of record; strong AI governance/workflow angle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Multiple risk and AI attach uncertainty</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ACV, cRPO, large deals, subscription margin, NRR</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Databricks/Snowflake</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Data governance and AI-ready enterprise data layer</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Competition from cloud-native stacks and pricing pressure</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Data platform growth, AI product attach, retention, governance products</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Brookfield / power / data centers</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needs power, land, cooling, capital, permitting, and operating expertise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Leverage, rates, complexity, private-market valuation opacity</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DE growth, data-center/power exposure, fundraising, balance sheet</w:t>
            </w:r>
          </w:p>
        </w:tc>
      </w:tr>
      <w:tr>
        <w:trPr>
          <w:cantSplit/>
        </w:trPr>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SpaceX</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AI-adjacent through satellites, connectivity, data, defense, and physical infrastructure</w:t>
            </w:r>
          </w:p>
        </w:tc>
        <w:tc>
          <w:tcPr>
            <w:tcW w:type="dxa" w:w="266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Private valuation, access limitations, capital intensity</w:t>
            </w:r>
          </w:p>
        </w:tc>
        <w:tc>
          <w:tcPr>
            <w:tcW w:type="dxa" w:w="25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Starlink economics, launch cadence, defense contracts, private-market marks</w:t>
            </w:r>
          </w:p>
        </w:tc>
      </w:tr>
    </w:tbl>
    <w:p>
      <w:pPr>
        <w:spacing w:after="40"/>
      </w:pPr>
    </w:p>
    <w:p>
      <w:pPr>
        <w:pStyle w:val="Heading2"/>
        <w:keepNext/>
      </w:pPr>
      <w:r>
        <w:t>Company classification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7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Bucket</w:t>
            </w:r>
          </w:p>
        </w:tc>
        <w:tc>
          <w:tcPr>
            <w:tcW w:type="dxa" w:w="432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Examples</w:t>
            </w:r>
          </w:p>
        </w:tc>
        <w:tc>
          <w:tcPr>
            <w:tcW w:type="dxa" w:w="32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How to size mentally</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Core compounder</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High-quality platforms or infrastructure names with durable cash flow</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Can be larger if valuation is reasonable and thesis is intact</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Cyclical AI beneficiary</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Memory, some server/infrastructure names, data-center supply chain</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Be more valuation and cycle aware</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Momentum / re-rating trade</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Names whose story improved faster than proof</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Smaller size; define add/trim levels</w:t>
            </w:r>
          </w:p>
        </w:tc>
      </w:tr>
      <w:tr>
        <w:trPr>
          <w:cantSplit/>
        </w:trPr>
        <w:tc>
          <w:tcPr>
            <w:tcW w:type="dxa" w:w="237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Speculative optionality</w:t>
            </w:r>
          </w:p>
        </w:tc>
        <w:tc>
          <w:tcPr>
            <w:tcW w:type="dxa" w:w="432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Robotics, space, smaller AI software, power/data-center adjacency</w:t>
            </w:r>
          </w:p>
        </w:tc>
        <w:tc>
          <w:tcPr>
            <w:tcW w:type="dxa" w:w="32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Small size unless evidence becomes stronger</w:t>
            </w:r>
          </w:p>
        </w:tc>
      </w:tr>
    </w:tbl>
    <w:p>
      <w:pPr>
        <w:spacing w:after="40"/>
      </w:pPr>
    </w:p>
    <w:p>
      <w:pPr>
        <w:pStyle w:val="Heading1"/>
        <w:keepNext/>
      </w:pPr>
      <w:r>
        <w:t>8. Research Workflow</w:t>
      </w:r>
    </w:p>
    <w:p>
      <w:pPr>
        <w:pStyle w:val="Heading2"/>
        <w:keepNext/>
      </w:pPr>
      <w:r>
        <w:t>Monthly quick check</w:t>
      </w:r>
    </w:p>
    <w:p>
      <w:pPr>
        <w:pStyle w:val="ListBullet"/>
        <w:spacing w:after="60"/>
        <w:ind w:left="360"/>
      </w:pPr>
      <w:r>
        <w:rPr>
          <w:sz w:val="21"/>
        </w:rPr>
        <w:t>Scan Nvidia, Broadcom, Dell, Micron, data-center, and power headlines for demand or delay signals.</w:t>
      </w:r>
    </w:p>
    <w:p>
      <w:pPr>
        <w:pStyle w:val="ListBullet"/>
        <w:spacing w:after="60"/>
        <w:ind w:left="360"/>
      </w:pPr>
      <w:r>
        <w:rPr>
          <w:sz w:val="21"/>
        </w:rPr>
        <w:t>Check cloud AI contract announcements and whether they include pricing, duration, customer concentration, or financing details.</w:t>
      </w:r>
    </w:p>
    <w:p>
      <w:pPr>
        <w:pStyle w:val="ListBullet"/>
        <w:spacing w:after="60"/>
        <w:ind w:left="360"/>
      </w:pPr>
      <w:r>
        <w:rPr>
          <w:sz w:val="21"/>
        </w:rPr>
        <w:t>Track API price changes and model releases to see whether model-layer pricing power is improving or eroding.</w:t>
      </w:r>
    </w:p>
    <w:p>
      <w:pPr>
        <w:pStyle w:val="ListBullet"/>
        <w:spacing w:after="60"/>
        <w:ind w:left="360"/>
      </w:pPr>
      <w:r>
        <w:rPr>
          <w:sz w:val="21"/>
        </w:rPr>
        <w:t>Review credible reports on OpenAI, Anthropic, or other private model-lab revenue, but mark confidence as medium-low.</w:t>
      </w:r>
    </w:p>
    <w:p>
      <w:pPr>
        <w:pStyle w:val="ListBullet"/>
        <w:spacing w:after="60"/>
        <w:ind w:left="360"/>
      </w:pPr>
      <w:r>
        <w:rPr>
          <w:sz w:val="21"/>
        </w:rPr>
        <w:t>Watch incidents: data leakage, AI hallucination failures, regulatory actions, content-safety failures, or AI-washing claims.</w:t>
      </w:r>
    </w:p>
    <w:p>
      <w:pPr>
        <w:pStyle w:val="Heading2"/>
        <w:keepNext/>
      </w:pPr>
      <w:r>
        <w:t>Quarterly deep update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79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Step</w:t>
            </w:r>
          </w:p>
        </w:tc>
        <w:tc>
          <w:tcPr>
            <w:tcW w:type="dxa" w:w="58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Action</w:t>
            </w:r>
          </w:p>
        </w:tc>
        <w:tc>
          <w:tcPr>
            <w:tcW w:type="dxa" w:w="338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7"/>
              </w:rPr>
              <w:t>Output</w:t>
            </w:r>
          </w:p>
        </w:tc>
      </w:tr>
      <w:tr>
        <w:trPr>
          <w:cantSplit/>
        </w:trPr>
        <w:tc>
          <w:tcPr>
            <w:tcW w:type="dxa" w:w="7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1</w:t>
            </w:r>
          </w:p>
        </w:tc>
        <w:tc>
          <w:tcPr>
            <w:tcW w:type="dxa" w:w="58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Update financials: revenue, growth, gross margin, operating margin, capex, FCF</w:t>
            </w:r>
          </w:p>
        </w:tc>
        <w:tc>
          <w:tcPr>
            <w:tcW w:type="dxa" w:w="33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Base company scorecard</w:t>
            </w:r>
          </w:p>
        </w:tc>
      </w:tr>
      <w:tr>
        <w:trPr>
          <w:cantSplit/>
        </w:trPr>
        <w:tc>
          <w:tcPr>
            <w:tcW w:type="dxa" w:w="7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2</w:t>
            </w:r>
          </w:p>
        </w:tc>
        <w:tc>
          <w:tcPr>
            <w:tcW w:type="dxa" w:w="58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Update AI-specific metrics: backlog, AI ACV, paid seats, cloud AI revenue, AI commentary</w:t>
            </w:r>
          </w:p>
        </w:tc>
        <w:tc>
          <w:tcPr>
            <w:tcW w:type="dxa" w:w="33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AI monetization score</w:t>
            </w:r>
          </w:p>
        </w:tc>
      </w:tr>
      <w:tr>
        <w:trPr>
          <w:cantSplit/>
        </w:trPr>
        <w:tc>
          <w:tcPr>
            <w:tcW w:type="dxa" w:w="7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3</w:t>
            </w:r>
          </w:p>
        </w:tc>
        <w:tc>
          <w:tcPr>
            <w:tcW w:type="dxa" w:w="58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Compare capex growth vs. monetization growth</w:t>
            </w:r>
          </w:p>
        </w:tc>
        <w:tc>
          <w:tcPr>
            <w:tcW w:type="dxa" w:w="33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Bridge health assessment</w:t>
            </w:r>
          </w:p>
        </w:tc>
      </w:tr>
      <w:tr>
        <w:trPr>
          <w:cantSplit/>
        </w:trPr>
        <w:tc>
          <w:tcPr>
            <w:tcW w:type="dxa" w:w="7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4</w:t>
            </w:r>
          </w:p>
        </w:tc>
        <w:tc>
          <w:tcPr>
            <w:tcW w:type="dxa" w:w="58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Evaluate guardrails: governance products, audit, compliance, security, incidents</w:t>
            </w:r>
          </w:p>
        </w:tc>
        <w:tc>
          <w:tcPr>
            <w:tcW w:type="dxa" w:w="33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Trust and adoption assessment</w:t>
            </w:r>
          </w:p>
        </w:tc>
      </w:tr>
      <w:tr>
        <w:trPr>
          <w:cantSplit/>
        </w:trPr>
        <w:tc>
          <w:tcPr>
            <w:tcW w:type="dxa" w:w="7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5</w:t>
            </w:r>
          </w:p>
        </w:tc>
        <w:tc>
          <w:tcPr>
            <w:tcW w:type="dxa" w:w="58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Re-score thesis: green/yellow/red</w:t>
            </w:r>
          </w:p>
        </w:tc>
        <w:tc>
          <w:tcPr>
            <w:tcW w:type="dxa" w:w="33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Add, hold, trim, or avoid decision framework</w:t>
            </w:r>
          </w:p>
        </w:tc>
      </w:tr>
      <w:tr>
        <w:trPr>
          <w:cantSplit/>
        </w:trPr>
        <w:tc>
          <w:tcPr>
            <w:tcW w:type="dxa" w:w="79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6</w:t>
            </w:r>
          </w:p>
        </w:tc>
        <w:tc>
          <w:tcPr>
            <w:tcW w:type="dxa" w:w="58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Write a one-paragraph thesis update</w:t>
            </w:r>
          </w:p>
        </w:tc>
        <w:tc>
          <w:tcPr>
            <w:tcW w:type="dxa" w:w="33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7"/>
              </w:rPr>
              <w:t>Prevents emotional trading</w:t>
            </w:r>
          </w:p>
        </w:tc>
      </w:tr>
    </w:tbl>
    <w:p>
      <w:pPr>
        <w:spacing w:after="40"/>
      </w:pPr>
    </w:p>
    <w:p>
      <w:pPr>
        <w:pStyle w:val="Heading2"/>
        <w:keepNext/>
      </w:pPr>
      <w:r>
        <w:t>The five quarterly questions</w:t>
      </w:r>
    </w:p>
    <w:p>
      <w:pPr>
        <w:spacing w:after="60"/>
        <w:ind w:left="475" w:hanging="346"/>
      </w:pPr>
      <w:r>
        <w:rPr>
          <w:sz w:val="21"/>
        </w:rPr>
        <w:t xml:space="preserve">1.   </w:t>
      </w:r>
      <w:r>
        <w:rPr>
          <w:sz w:val="21"/>
        </w:rPr>
        <w:t>Is upstream demand still strong and broad?</w:t>
      </w:r>
    </w:p>
    <w:p>
      <w:pPr>
        <w:spacing w:after="60"/>
        <w:ind w:left="475" w:hanging="346"/>
      </w:pPr>
      <w:r>
        <w:rPr>
          <w:sz w:val="21"/>
        </w:rPr>
        <w:t xml:space="preserve">2.   </w:t>
      </w:r>
      <w:r>
        <w:rPr>
          <w:sz w:val="21"/>
        </w:rPr>
        <w:t>Is cloud/platform AI monetization visible and profitable?</w:t>
      </w:r>
    </w:p>
    <w:p>
      <w:pPr>
        <w:spacing w:after="60"/>
        <w:ind w:left="475" w:hanging="346"/>
      </w:pPr>
      <w:r>
        <w:rPr>
          <w:sz w:val="21"/>
        </w:rPr>
        <w:t xml:space="preserve">3.   </w:t>
      </w:r>
      <w:r>
        <w:rPr>
          <w:sz w:val="21"/>
        </w:rPr>
        <w:t>Is downstream software/app monetization moving from pilots to production?</w:t>
      </w:r>
    </w:p>
    <w:p>
      <w:pPr>
        <w:spacing w:after="60"/>
        <w:ind w:left="475" w:hanging="346"/>
      </w:pPr>
      <w:r>
        <w:rPr>
          <w:sz w:val="21"/>
        </w:rPr>
        <w:t xml:space="preserve">4.   </w:t>
      </w:r>
      <w:r>
        <w:rPr>
          <w:sz w:val="21"/>
        </w:rPr>
        <w:t>Are margins and free cash flow holding despite AI cost?</w:t>
      </w:r>
    </w:p>
    <w:p>
      <w:pPr>
        <w:spacing w:after="60"/>
        <w:ind w:left="475" w:hanging="346"/>
      </w:pPr>
      <w:r>
        <w:rPr>
          <w:sz w:val="21"/>
        </w:rPr>
        <w:t xml:space="preserve">5.   </w:t>
      </w:r>
      <w:r>
        <w:rPr>
          <w:sz w:val="21"/>
        </w:rPr>
        <w:t>Is financing getting weird or circular?</w:t>
      </w:r>
    </w:p>
    <w:tbl>
      <w:tblPr>
        <w:tblW w:type="auto" w:w="0"/>
        <w:jc w:val="center"/>
        <w:tblLook w:firstColumn="1" w:firstRow="1" w:lastColumn="0" w:lastRow="0" w:noHBand="0" w:noVBand="1" w:val="04A0"/>
      </w:tblPr>
      <w:tblGrid>
        <w:gridCol w:w="10080"/>
      </w:tblGrid>
      <w:tr>
        <w:tc>
          <w:tcPr>
            <w:tcW w:type="dxa" w:w="10080"/>
            <w:shd w:fill="EAF3F8"/>
            <w:tcBorders>
              <w:top w:val="single" w:sz="10" w:color="7AA6C2"/>
              <w:start w:val="single" w:sz="10" w:color="7AA6C2"/>
              <w:bottom w:val="single" w:sz="10" w:color="7AA6C2"/>
              <w:end w:val="single" w:sz="10" w:color="7AA6C2"/>
            </w:tcBorders>
            <w:tcMar>
              <w:top w:w="160" w:type="dxa"/>
              <w:start w:w="180" w:type="dxa"/>
              <w:bottom w:w="160" w:type="dxa"/>
              <w:end w:w="180" w:type="dxa"/>
            </w:tcMar>
          </w:tcPr>
          <w:p>
            <w:pPr>
              <w:spacing w:after="60"/>
            </w:pPr>
            <w:r>
              <w:rPr>
                <w:b/>
                <w:color w:val="15405B"/>
                <w:sz w:val="21"/>
              </w:rPr>
              <w:t>Decision rule</w:t>
            </w:r>
          </w:p>
          <w:p>
            <w:pPr>
              <w:spacing w:after="0"/>
            </w:pPr>
            <w:r>
              <w:rPr>
                <w:sz w:val="21"/>
              </w:rPr>
              <w:t>If capex, cloud revenue, AI software monetization, and margins all improve together, the AI cycle is healthy. If capex accelerates while downstream monetization is vague or unprofitable, bubble risk is rising.</w:t>
            </w:r>
          </w:p>
        </w:tc>
      </w:tr>
    </w:tbl>
    <w:p>
      <w:pPr>
        <w:spacing w:after="40"/>
      </w:pPr>
    </w:p>
    <w:p>
      <w:pPr>
        <w:pStyle w:val="Heading1"/>
        <w:keepNext/>
      </w:pPr>
      <w:r>
        <w:t>9. Editable Tracker Templates</w:t>
      </w:r>
    </w:p>
    <w:p>
      <w:pPr>
        <w:pStyle w:val="Heading2"/>
        <w:keepNext/>
      </w:pPr>
      <w:r>
        <w:t>AI cycle health tracker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36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Layer</w:t>
            </w:r>
          </w:p>
        </w:tc>
        <w:tc>
          <w:tcPr>
            <w:tcW w:type="dxa" w:w="244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Metric</w:t>
            </w:r>
          </w:p>
        </w:tc>
        <w:tc>
          <w:tcPr>
            <w:tcW w:type="dxa" w:w="108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Latest</w:t>
            </w:r>
          </w:p>
        </w:tc>
        <w:tc>
          <w:tcPr>
            <w:tcW w:type="dxa" w:w="108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QoQ/YoY</w:t>
            </w:r>
          </w:p>
        </w:tc>
        <w:tc>
          <w:tcPr>
            <w:tcW w:type="dxa" w:w="108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Signal</w:t>
            </w:r>
          </w:p>
        </w:tc>
        <w:tc>
          <w:tcPr>
            <w:tcW w:type="dxa" w:w="129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Confidence</w:t>
            </w:r>
          </w:p>
        </w:tc>
        <w:tc>
          <w:tcPr>
            <w:tcW w:type="dxa" w:w="158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4"/>
              </w:rPr>
              <w:t>Notes</w:t>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Upstream</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Nvidia data-center revenue</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Upstream</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Broadcom AI semiconductor revenue</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Upstream</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Dell AI server backlog/orders</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Cloud</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Azure/GCP/AWS/OCI AI-related growth</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Cloud</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RPO/cRPO/backlog conversion</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Software</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AI ACV or paid seats</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Medium-high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Software</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Net retention / large deal count</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Model labs</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OpenAI/Anthropic revenue run-rate</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Medium-low</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Economics</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FCF after capex</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High</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Risk</w:t>
            </w:r>
          </w:p>
        </w:tc>
        <w:tc>
          <w:tcPr>
            <w:tcW w:type="dxa" w:w="244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Financing/circularity warning signs</w:t>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08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c>
          <w:tcPr>
            <w:tcW w:type="dxa" w:w="129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t>Medium</w:t>
            </w:r>
          </w:p>
        </w:tc>
        <w:tc>
          <w:tcPr>
            <w:tcW w:type="dxa" w:w="158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4"/>
              </w:rPr>
            </w:r>
          </w:p>
        </w:tc>
      </w:tr>
    </w:tbl>
    <w:p>
      <w:pPr>
        <w:spacing w:after="40"/>
      </w:pPr>
    </w:p>
    <w:p>
      <w:pPr>
        <w:pStyle w:val="Heading2"/>
        <w:keepNext/>
      </w:pPr>
      <w:r>
        <w:t>Company thesis tracker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4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Company</w:t>
            </w:r>
          </w:p>
        </w:tc>
        <w:tc>
          <w:tcPr>
            <w:tcW w:type="dxa" w:w="2736"/>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Thesis</w:t>
            </w:r>
          </w:p>
        </w:tc>
        <w:tc>
          <w:tcPr>
            <w:tcW w:type="dxa" w:w="22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What would prove it right</w:t>
            </w:r>
          </w:p>
        </w:tc>
        <w:tc>
          <w:tcPr>
            <w:tcW w:type="dxa" w:w="223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What would prove it wrong</w:t>
            </w:r>
          </w:p>
        </w:tc>
        <w:tc>
          <w:tcPr>
            <w:tcW w:type="dxa" w:w="14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Current action</w:t>
            </w:r>
          </w:p>
        </w:tc>
      </w:tr>
      <w:tr>
        <w:trPr>
          <w:cantSplit/>
        </w:trPr>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736"/>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223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bl>
    <w:p>
      <w:pPr>
        <w:spacing w:after="40"/>
      </w:pPr>
    </w:p>
    <w:p>
      <w:pPr>
        <w:pStyle w:val="Heading2"/>
        <w:keepNext/>
      </w:pPr>
      <w:r>
        <w:t>Guardrails tracker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36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Company</w:t>
            </w:r>
          </w:p>
        </w:tc>
        <w:tc>
          <w:tcPr>
            <w:tcW w:type="dxa" w:w="3168"/>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Guardrail capability</w:t>
            </w:r>
          </w:p>
        </w:tc>
        <w:tc>
          <w:tcPr>
            <w:tcW w:type="dxa" w:w="1512"/>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Revenue impact</w:t>
            </w:r>
          </w:p>
        </w:tc>
        <w:tc>
          <w:tcPr>
            <w:tcW w:type="dxa" w:w="14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Cost impact</w:t>
            </w:r>
          </w:p>
        </w:tc>
        <w:tc>
          <w:tcPr>
            <w:tcW w:type="dxa" w:w="1224"/>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Risk level</w:t>
            </w:r>
          </w:p>
        </w:tc>
        <w:tc>
          <w:tcPr>
            <w:tcW w:type="dxa" w:w="1440"/>
            <w:shd w:fill="1F4E79"/>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b/>
                <w:color w:val="FFFFFF"/>
                <w:sz w:val="16"/>
              </w:rPr>
              <w:t>Evidence</w:t>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AI inventory / model registry</w:t>
            </w:r>
          </w:p>
        </w:tc>
        <w:tc>
          <w:tcPr>
            <w:tcW w:type="dxa" w:w="15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22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Role-based permissions and audit logs</w:t>
            </w:r>
          </w:p>
        </w:tc>
        <w:tc>
          <w:tcPr>
            <w:tcW w:type="dxa" w:w="15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22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Human approvals for high-risk actions</w:t>
            </w:r>
          </w:p>
        </w:tc>
        <w:tc>
          <w:tcPr>
            <w:tcW w:type="dxa" w:w="15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22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Data privacy and vendor governance</w:t>
            </w:r>
          </w:p>
        </w:tc>
        <w:tc>
          <w:tcPr>
            <w:tcW w:type="dxa" w:w="15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22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r>
        <w:trPr>
          <w:cantSplit/>
        </w:trPr>
        <w:tc>
          <w:tcPr>
            <w:tcW w:type="dxa" w:w="13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3168"/>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t>AI claims substantiated in disclosures</w:t>
            </w:r>
          </w:p>
        </w:tc>
        <w:tc>
          <w:tcPr>
            <w:tcW w:type="dxa" w:w="1512"/>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224"/>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c>
          <w:tcPr>
            <w:tcW w:type="dxa" w:w="1440"/>
            <w:vAlign w:val="center"/>
            <w:tcMar>
              <w:top w:w="90" w:type="dxa"/>
              <w:start w:w="110" w:type="dxa"/>
              <w:bottom w:w="90" w:type="dxa"/>
              <w:end w:w="110" w:type="dxa"/>
            </w:tcMar>
            <w:tcBorders>
              <w:top w:val="single" w:sz="6" w:color="C9D3DF"/>
              <w:start w:val="single" w:sz="6" w:color="C9D3DF"/>
              <w:bottom w:val="single" w:sz="6" w:color="C9D3DF"/>
              <w:end w:val="single" w:sz="6" w:color="C9D3DF"/>
            </w:tcBorders>
          </w:tcPr>
          <w:p>
            <w:pPr>
              <w:spacing w:after="0"/>
            </w:pPr>
            <w:r/>
            <w:r>
              <w:rPr>
                <w:sz w:val="16"/>
              </w:rPr>
            </w:r>
          </w:p>
        </w:tc>
      </w:tr>
    </w:tbl>
    <w:p>
      <w:pPr>
        <w:spacing w:after="40"/>
      </w:pPr>
    </w:p>
    <w:p>
      <w:pPr>
        <w:pStyle w:val="Heading1"/>
        <w:keepNext/>
      </w:pPr>
      <w:r>
        <w:t>10. Source Notes and Reference Anchors</w:t>
      </w:r>
    </w:p>
    <w:p>
      <w:pPr>
        <w:spacing w:after="200"/>
      </w:pPr>
      <w:r>
        <w:t>These sources are not a complete research library. They are anchors for the governance and guardrails section and should be refreshed periodically.</w:t>
      </w:r>
    </w:p>
    <w:p>
      <w:pPr>
        <w:spacing w:after="60"/>
      </w:pPr>
      <w:r>
        <w:rPr>
          <w:b/>
          <w:color w:val="1F4E79"/>
        </w:rPr>
        <w:t xml:space="preserve">European Commission AI Act Service Desk - implementation timeline: </w:t>
      </w:r>
      <w:hyperlink r:id="rId9">
        <w:r>
          <w:rPr>
            <w:color w:val="1F5E99"/>
            <w:u w:val="single"/>
          </w:rPr>
          <w:t>source link</w:t>
        </w:r>
      </w:hyperlink>
    </w:p>
    <w:p>
      <w:pPr>
        <w:pStyle w:val="SmallNote"/>
        <w:ind w:left="317"/>
      </w:pPr>
      <w:r>
        <w:t>Useful for phased EU AI Act timing, including general provisions, prohibitions, GPAI obligations, transparency rules, and later high-risk system requirements.</w:t>
      </w:r>
    </w:p>
    <w:p>
      <w:pPr>
        <w:spacing w:after="60"/>
      </w:pPr>
      <w:r>
        <w:rPr>
          <w:b/>
          <w:color w:val="1F4E79"/>
        </w:rPr>
        <w:t xml:space="preserve">NIST AI Risk Management Framework: Generative AI Profile: </w:t>
      </w:r>
      <w:hyperlink r:id="rId10">
        <w:r>
          <w:rPr>
            <w:color w:val="1F5E99"/>
            <w:u w:val="single"/>
          </w:rPr>
          <w:t>source link</w:t>
        </w:r>
      </w:hyperlink>
    </w:p>
    <w:p>
      <w:pPr>
        <w:pStyle w:val="SmallNote"/>
        <w:ind w:left="317"/>
      </w:pPr>
      <w:r>
        <w:t>Useful for the govern, map, measure, manage framing and generative AI risk-management actions.</w:t>
      </w:r>
    </w:p>
    <w:p>
      <w:pPr>
        <w:spacing w:after="60"/>
      </w:pPr>
      <w:r>
        <w:rPr>
          <w:b/>
          <w:color w:val="1F4E79"/>
        </w:rPr>
        <w:t xml:space="preserve">OECD AI Principles: </w:t>
      </w:r>
      <w:hyperlink r:id="rId11">
        <w:r>
          <w:rPr>
            <w:color w:val="1F5E99"/>
            <w:u w:val="single"/>
          </w:rPr>
          <w:t>source link</w:t>
        </w:r>
      </w:hyperlink>
    </w:p>
    <w:p>
      <w:pPr>
        <w:pStyle w:val="SmallNote"/>
        <w:ind w:left="317"/>
      </w:pPr>
      <w:r>
        <w:t>Useful for high-level principles around trustworthy AI, transparency, robustness, safety, accountability, and international interoperability.</w:t>
      </w:r>
    </w:p>
    <w:p>
      <w:pPr>
        <w:spacing w:after="60"/>
      </w:pPr>
      <w:r>
        <w:rPr>
          <w:b/>
          <w:color w:val="1F4E79"/>
        </w:rPr>
        <w:t xml:space="preserve">SEC press release on AI-washing enforcement: </w:t>
      </w:r>
      <w:hyperlink r:id="rId12">
        <w:r>
          <w:rPr>
            <w:color w:val="1F5E99"/>
            <w:u w:val="single"/>
          </w:rPr>
          <w:t>source link</w:t>
        </w:r>
      </w:hyperlink>
    </w:p>
    <w:p>
      <w:pPr>
        <w:pStyle w:val="SmallNote"/>
        <w:ind w:left="317"/>
      </w:pPr>
      <w:r>
        <w:t>Useful reminder that public AI claims need substantiation and disclosure controls.</w:t>
      </w:r>
    </w:p>
    <w:p>
      <w:pPr>
        <w:pStyle w:val="Heading2"/>
        <w:keepNext/>
      </w:pPr>
      <w:r>
        <w:t>Final reminder</w:t>
      </w:r>
    </w:p>
    <w:tbl>
      <w:tblPr>
        <w:tblW w:type="auto" w:w="0"/>
        <w:jc w:val="center"/>
        <w:tblLook w:firstColumn="1" w:firstRow="1" w:lastColumn="0" w:lastRow="0" w:noHBand="0" w:noVBand="1" w:val="04A0"/>
      </w:tblPr>
      <w:tblGrid>
        <w:gridCol w:w="10080"/>
      </w:tblGrid>
      <w:tr>
        <w:tc>
          <w:tcPr>
            <w:tcW w:type="dxa" w:w="10080"/>
            <w:shd w:fill="EAF3F8"/>
            <w:tcBorders>
              <w:top w:val="single" w:sz="10" w:color="7AA6C2"/>
              <w:start w:val="single" w:sz="10" w:color="7AA6C2"/>
              <w:bottom w:val="single" w:sz="10" w:color="7AA6C2"/>
              <w:end w:val="single" w:sz="10" w:color="7AA6C2"/>
            </w:tcBorders>
            <w:tcMar>
              <w:top w:w="160" w:type="dxa"/>
              <w:start w:w="180" w:type="dxa"/>
              <w:bottom w:w="160" w:type="dxa"/>
              <w:end w:w="180" w:type="dxa"/>
            </w:tcMar>
          </w:tcPr>
          <w:p>
            <w:pPr>
              <w:spacing w:after="60"/>
            </w:pPr>
            <w:r>
              <w:rPr>
                <w:b/>
                <w:color w:val="15405B"/>
                <w:sz w:val="21"/>
              </w:rPr>
              <w:t>How to avoid getting fooled</w:t>
            </w:r>
          </w:p>
          <w:p>
            <w:pPr>
              <w:spacing w:after="0"/>
            </w:pPr>
            <w:r>
              <w:rPr>
                <w:sz w:val="21"/>
              </w:rPr>
              <w:t>Do not stop at usage. Translate every AI usage claim into revenue, gross profit, free cash flow, retention, and valuation. The cleanest AI stocks are not always the ones with the loudest AI story; they are the ones where AI strengthens a durable profit pool.</w:t>
            </w:r>
          </w:p>
        </w:tc>
      </w:tr>
    </w:tbl>
    <w:p>
      <w:pPr>
        <w:spacing w:after="40"/>
      </w:pP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53E5C"/>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2F5B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ptos" w:hAnsi="Aptos" w:eastAsia="Aptos"/>
      <w:b/>
      <w:bCs/>
      <w:i/>
      <w:color w:val="5A66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eastAsia="Aptos"/>
      <w:i w:val="0"/>
      <w:color w:val="5A66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i-act-service-desk.ec.europa.eu/en/ai-act/eu-ai-act-implementation-timeline" TargetMode="External"/><Relationship Id="rId10" Type="http://schemas.openxmlformats.org/officeDocument/2006/relationships/hyperlink" Target="https://www.nist.gov/publications/artificial-intelligence-risk-management-framework-generative-artificial-intelligence" TargetMode="External"/><Relationship Id="rId11" Type="http://schemas.openxmlformats.org/officeDocument/2006/relationships/hyperlink" Target="https://oecd.ai/en/dashboards/policy-initiatives/oecd-ai-principles-9705" TargetMode="External"/><Relationship Id="rId12" Type="http://schemas.openxmlformats.org/officeDocument/2006/relationships/hyperlink" Target="https://www.sec.gov/newsroom/press-releases/202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Tech Investment Framework</dc:title>
  <dc:subject>AI capex, downstream monetization, guardrails, and investment monitoring</dc:subject>
  <dc:creator>OpenAI</dc:creator>
  <cp:keywords>AI, investment, capex, monetization, guardrails, governance, valuation</cp:keywords>
  <dc:description>Created as an editable research handbook.</dc:description>
  <cp:lastModifiedBy/>
  <cp:revision>1</cp:revision>
  <dcterms:created xsi:type="dcterms:W3CDTF">2013-12-23T23:15:00Z</dcterms:created>
  <dcterms:modified xsi:type="dcterms:W3CDTF">2013-12-23T23:15:00Z</dcterms:modified>
  <cp:category/>
</cp:coreProperties>
</file>