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6FCCC3D4" w14:textId="55842C3E" w:rsidR="00A64A5A" w:rsidRPr="002D36F6" w:rsidRDefault="00EB7518" w:rsidP="009A32D1">
      <w:pPr>
        <w:spacing w:before="120"/>
        <w:jc w:val="center"/>
        <w:rPr>
          <w:rFonts w:asciiTheme="majorHAnsi" w:eastAsia="Corbel" w:hAnsiTheme="majorHAnsi" w:cstheme="majorHAnsi"/>
          <w:b/>
          <w:bCs/>
          <w:sz w:val="26"/>
          <w:szCs w:val="26"/>
        </w:rPr>
      </w:pPr>
      <w:r>
        <w:rPr>
          <w:rFonts w:asciiTheme="majorHAnsi" w:eastAsia="Corbel" w:hAnsiTheme="majorHAnsi" w:cstheme="majorHAnsi"/>
          <w:b/>
          <w:bCs/>
          <w:sz w:val="26"/>
          <w:szCs w:val="26"/>
        </w:rPr>
        <w:t xml:space="preserve">Senior </w:t>
      </w:r>
      <w:r w:rsidR="00EB6809">
        <w:rPr>
          <w:rFonts w:asciiTheme="majorHAnsi" w:eastAsia="Corbel" w:hAnsiTheme="majorHAnsi" w:cstheme="majorHAnsi"/>
          <w:b/>
          <w:bCs/>
          <w:sz w:val="26"/>
          <w:szCs w:val="26"/>
        </w:rPr>
        <w:t>Project</w:t>
      </w:r>
      <w:r w:rsidRPr="00EB7518">
        <w:rPr>
          <w:rFonts w:asciiTheme="majorHAnsi" w:eastAsia="Corbel" w:hAnsiTheme="majorHAnsi" w:cstheme="majorHAnsi"/>
          <w:b/>
          <w:bCs/>
          <w:sz w:val="26"/>
          <w:szCs w:val="26"/>
        </w:rPr>
        <w:t xml:space="preserve"> </w:t>
      </w:r>
      <w:r>
        <w:rPr>
          <w:rFonts w:asciiTheme="majorHAnsi" w:eastAsia="Corbel" w:hAnsiTheme="majorHAnsi" w:cstheme="majorHAnsi"/>
          <w:b/>
          <w:bCs/>
          <w:sz w:val="26"/>
          <w:szCs w:val="26"/>
        </w:rPr>
        <w:t>Manager</w:t>
      </w:r>
    </w:p>
    <w:p w14:paraId="52DFE15B" w14:textId="1EDC7300" w:rsidR="00BE7178" w:rsidRDefault="009706B5" w:rsidP="008E2C44">
      <w:pPr>
        <w:pBdr>
          <w:top w:val="nil"/>
          <w:left w:val="nil"/>
          <w:bottom w:val="nil"/>
          <w:right w:val="nil"/>
          <w:between w:val="nil"/>
        </w:pBdr>
        <w:spacing w:before="243" w:after="43"/>
        <w:rPr>
          <w:rFonts w:asciiTheme="majorHAnsi" w:eastAsia="Times New Roman" w:hAnsiTheme="majorHAnsi" w:cstheme="majorHAnsi"/>
        </w:rPr>
      </w:pPr>
      <w:r w:rsidRPr="009706B5">
        <w:rPr>
          <w:rFonts w:asciiTheme="majorHAnsi" w:eastAsia="Times New Roman" w:hAnsiTheme="majorHAnsi" w:cstheme="majorHAnsi"/>
        </w:rPr>
        <w:t xml:space="preserve">Senior Project Manager with over 15 years’ experience driving enterprise-scale GTM and SaaS platform initiatives. Expert in managing the full lifecycle of complex commercial ecosystems, bridging the gap between Product, </w:t>
      </w:r>
      <w:r w:rsidR="00750C84">
        <w:rPr>
          <w:rFonts w:asciiTheme="majorHAnsi" w:eastAsia="Times New Roman" w:hAnsiTheme="majorHAnsi" w:cstheme="majorHAnsi"/>
        </w:rPr>
        <w:t>Commercial Stakeholders</w:t>
      </w:r>
      <w:r w:rsidRPr="009706B5">
        <w:rPr>
          <w:rFonts w:asciiTheme="majorHAnsi" w:eastAsia="Times New Roman" w:hAnsiTheme="majorHAnsi" w:cstheme="majorHAnsi"/>
        </w:rPr>
        <w:t xml:space="preserve"> and Engineering. Proven track record in delivery of flagship SaaS products, ensuring commercial readiness and platform stability for global user bases of 300k+</w:t>
      </w:r>
      <w:r w:rsidR="00BE7178" w:rsidRPr="00BE7178">
        <w:rPr>
          <w:rFonts w:asciiTheme="majorHAnsi" w:eastAsia="Times New Roman" w:hAnsiTheme="majorHAnsi" w:cstheme="majorHAnsi"/>
        </w:rPr>
        <w:t>.</w:t>
      </w:r>
    </w:p>
    <w:p w14:paraId="2E51D076" w14:textId="53007045"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Embedded scaled agile practices and technical design reviews across 15 teams, reducing release lead times from quarterly to fortnightly and improving feedback speed by 85 percent.</w:t>
      </w:r>
    </w:p>
    <w:p w14:paraId="5D801C5A"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Directed portfolio</w:t>
      </w:r>
      <w:r w:rsidRPr="00E11B5A">
        <w:rPr>
          <w:rFonts w:asciiTheme="majorHAnsi" w:eastAsia="Corbel" w:hAnsiTheme="majorHAnsi" w:cstheme="majorHAnsi"/>
        </w:rPr>
        <w:noBreakHyphen/>
        <w:t>wide governance and coached Project Managers, embedding RAID controls that achieved a 90 percent KPI success rate across Product and Engineering groups.</w:t>
      </w:r>
    </w:p>
    <w:p w14:paraId="16CC9618"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 Managed a £20m+ cluster budget and workforce strategy, delivering £1m annual savings and completing the migration of 30 percent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00D1F8CB" w:rsidR="00A64A5A" w:rsidRPr="002D36F6" w:rsidRDefault="009706B5">
      <w:pPr>
        <w:spacing w:before="240" w:after="240" w:line="276" w:lineRule="auto"/>
        <w:jc w:val="both"/>
        <w:rPr>
          <w:rFonts w:asciiTheme="majorHAnsi" w:eastAsia="Corbel" w:hAnsiTheme="majorHAnsi" w:cstheme="majorHAnsi"/>
          <w:b/>
          <w:bCs/>
        </w:rPr>
      </w:pPr>
      <w:r w:rsidRPr="009706B5">
        <w:rPr>
          <w:rFonts w:asciiTheme="majorHAnsi" w:eastAsia="Corbel" w:hAnsiTheme="majorHAnsi" w:cstheme="majorHAnsi"/>
          <w:b/>
          <w:bCs/>
        </w:rPr>
        <w:t>Managed a £3M+ enterprise platform modernization program, driving a two-vendor RFP selection process and hands-on proof-of-concept testing to replace fragmented legacy architecture with a scalable enterprise business application on time and within budget.</w:t>
      </w:r>
    </w:p>
    <w:p w14:paraId="3BD3057D" w14:textId="07B19DB1" w:rsidR="00EC4E52" w:rsidRPr="002D36F6" w:rsidRDefault="00067D0D" w:rsidP="00716A55">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Introduced a comprehensive partner integration framework to onboard the selected vendor into the internal delivery model, upskilling core engineering teams and aligning external professional services with corporate best practices.</w:t>
      </w:r>
    </w:p>
    <w:p w14:paraId="276E0D71" w14:textId="4601063C" w:rsidR="00A1380C" w:rsidRDefault="00000000" w:rsidP="00A1380C">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Delivered enterprise COTS solution replacing legacy systems</w:t>
      </w:r>
      <w:r w:rsidR="00B57311" w:rsidRPr="002D36F6">
        <w:rPr>
          <w:rFonts w:asciiTheme="majorHAnsi" w:eastAsia="Times New Roman" w:hAnsiTheme="majorHAnsi" w:cstheme="majorHAnsi"/>
          <w:sz w:val="21"/>
          <w:szCs w:val="21"/>
        </w:rPr>
        <w:t>.</w:t>
      </w:r>
      <w:r w:rsidRPr="002D36F6">
        <w:rPr>
          <w:rFonts w:asciiTheme="majorHAnsi" w:eastAsia="Times New Roman" w:hAnsiTheme="majorHAnsi" w:cstheme="majorHAnsi"/>
          <w:sz w:val="21"/>
          <w:szCs w:val="21"/>
        </w:rPr>
        <w:t xml:space="preserve"> </w:t>
      </w:r>
      <w:r w:rsidR="00B57311" w:rsidRPr="002D36F6">
        <w:rPr>
          <w:rFonts w:asciiTheme="majorHAnsi" w:eastAsia="Times New Roman" w:hAnsiTheme="majorHAnsi" w:cstheme="majorHAnsi"/>
          <w:sz w:val="21"/>
          <w:szCs w:val="21"/>
        </w:rPr>
        <w:t>E</w:t>
      </w:r>
      <w:r w:rsidRPr="002D36F6">
        <w:rPr>
          <w:rFonts w:asciiTheme="majorHAnsi" w:eastAsia="Times New Roman" w:hAnsiTheme="majorHAnsi" w:cstheme="majorHAnsi"/>
          <w:sz w:val="21"/>
          <w:szCs w:val="21"/>
        </w:rPr>
        <w:t>nabled digital content strategy</w:t>
      </w:r>
      <w:r w:rsidR="00B57311" w:rsidRPr="002D36F6">
        <w:rPr>
          <w:rFonts w:asciiTheme="majorHAnsi" w:eastAsia="Times New Roman" w:hAnsiTheme="majorHAnsi" w:cstheme="majorHAnsi"/>
          <w:sz w:val="21"/>
          <w:szCs w:val="21"/>
        </w:rPr>
        <w:t xml:space="preserve"> and </w:t>
      </w:r>
      <w:r w:rsidRPr="002D36F6">
        <w:rPr>
          <w:rFonts w:asciiTheme="majorHAnsi" w:eastAsia="Times New Roman" w:hAnsiTheme="majorHAnsi" w:cstheme="majorHAnsi"/>
          <w:sz w:val="21"/>
          <w:szCs w:val="21"/>
        </w:rPr>
        <w:t>ensured architecture alignment for stability, performance, and capacity requirements</w:t>
      </w:r>
    </w:p>
    <w:p w14:paraId="0D92E021" w14:textId="677CE9BF" w:rsidR="00A1380C" w:rsidRDefault="00A1380C" w:rsidP="00B57311">
      <w:pPr>
        <w:pStyle w:val="ListParagraph"/>
        <w:numPr>
          <w:ilvl w:val="0"/>
          <w:numId w:val="3"/>
        </w:numPr>
        <w:spacing w:line="300" w:lineRule="atLeast"/>
        <w:rPr>
          <w:rFonts w:asciiTheme="majorHAnsi" w:eastAsia="Times New Roman" w:hAnsiTheme="majorHAnsi" w:cstheme="majorHAnsi"/>
          <w:sz w:val="21"/>
          <w:szCs w:val="21"/>
        </w:rPr>
      </w:pPr>
      <w:r>
        <w:rPr>
          <w:rFonts w:asciiTheme="majorHAnsi" w:eastAsia="Times New Roman" w:hAnsiTheme="majorHAnsi" w:cstheme="majorHAnsi"/>
          <w:sz w:val="21"/>
          <w:szCs w:val="21"/>
        </w:rPr>
        <w:t>A</w:t>
      </w:r>
      <w:r w:rsidRPr="00A1380C">
        <w:rPr>
          <w:rFonts w:asciiTheme="majorHAnsi" w:eastAsia="Times New Roman" w:hAnsiTheme="majorHAnsi" w:cstheme="majorHAnsi"/>
          <w:sz w:val="21"/>
          <w:szCs w:val="21"/>
        </w:rPr>
        <w:t>pplied structured stage</w:t>
      </w:r>
      <w:r>
        <w:rPr>
          <w:rFonts w:asciiTheme="majorHAnsi" w:eastAsia="Times New Roman" w:hAnsiTheme="majorHAnsi" w:cstheme="majorHAnsi"/>
          <w:sz w:val="21"/>
          <w:szCs w:val="21"/>
        </w:rPr>
        <w:t xml:space="preserve"> </w:t>
      </w:r>
      <w:r w:rsidRPr="00A1380C">
        <w:rPr>
          <w:rFonts w:asciiTheme="majorHAnsi" w:eastAsia="Times New Roman" w:hAnsiTheme="majorHAnsi" w:cstheme="majorHAnsi"/>
          <w:sz w:val="21"/>
          <w:szCs w:val="21"/>
        </w:rPr>
        <w:t>gate delivery (Alpha → Beta → MVP)</w:t>
      </w:r>
      <w:r w:rsidR="003C2B80">
        <w:rPr>
          <w:rFonts w:asciiTheme="majorHAnsi" w:eastAsia="Times New Roman" w:hAnsiTheme="majorHAnsi" w:cstheme="majorHAnsi"/>
          <w:sz w:val="21"/>
          <w:szCs w:val="21"/>
        </w:rPr>
        <w:t>,</w:t>
      </w:r>
      <w:r w:rsidRPr="00A1380C">
        <w:rPr>
          <w:rFonts w:asciiTheme="majorHAnsi" w:eastAsia="Times New Roman" w:hAnsiTheme="majorHAnsi" w:cstheme="majorHAnsi"/>
          <w:sz w:val="21"/>
          <w:szCs w:val="21"/>
        </w:rPr>
        <w:t xml:space="preserve"> </w:t>
      </w:r>
      <w:r w:rsidR="003C2B80">
        <w:rPr>
          <w:rFonts w:asciiTheme="majorHAnsi" w:eastAsia="Times New Roman" w:hAnsiTheme="majorHAnsi" w:cstheme="majorHAnsi"/>
          <w:sz w:val="21"/>
          <w:szCs w:val="21"/>
        </w:rPr>
        <w:t xml:space="preserve">focusing on </w:t>
      </w:r>
      <w:r w:rsidRPr="00A1380C">
        <w:rPr>
          <w:rFonts w:asciiTheme="majorHAnsi" w:eastAsia="Times New Roman" w:hAnsiTheme="majorHAnsi" w:cstheme="majorHAnsi"/>
          <w:sz w:val="21"/>
          <w:szCs w:val="21"/>
        </w:rPr>
        <w:t xml:space="preserve">scope and </w:t>
      </w:r>
      <w:r w:rsidR="003C2B80">
        <w:rPr>
          <w:rFonts w:asciiTheme="majorHAnsi" w:eastAsia="Times New Roman" w:hAnsiTheme="majorHAnsi" w:cstheme="majorHAnsi"/>
          <w:sz w:val="21"/>
          <w:szCs w:val="21"/>
        </w:rPr>
        <w:t>stakeholder expectations</w:t>
      </w:r>
      <w:r w:rsidRPr="00A1380C">
        <w:rPr>
          <w:rFonts w:asciiTheme="majorHAnsi" w:eastAsia="Times New Roman" w:hAnsiTheme="majorHAnsi" w:cstheme="majorHAnsi"/>
          <w:sz w:val="21"/>
          <w:szCs w:val="21"/>
        </w:rPr>
        <w:t>, using SOW</w:t>
      </w:r>
      <w:r w:rsidRPr="00A1380C">
        <w:rPr>
          <w:rFonts w:asciiTheme="majorHAnsi" w:eastAsia="Times New Roman" w:hAnsiTheme="majorHAnsi" w:cstheme="majorHAnsi"/>
          <w:sz w:val="21"/>
          <w:szCs w:val="21"/>
        </w:rPr>
        <w:noBreakHyphen/>
        <w:t>level governance despite operating under a flexible Time &amp; Materials contract</w:t>
      </w:r>
    </w:p>
    <w:p w14:paraId="10A8D3A4" w14:textId="2966F6D8" w:rsidR="001A2F4F" w:rsidRPr="002D36F6" w:rsidRDefault="00067D0D" w:rsidP="00B57311">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Optimised the environment deployment pipelines to reduce release cycles from weeks to days, successfully enabling rapid system iteration while significantly reducing the platform risk profile</w:t>
      </w:r>
      <w:r w:rsidR="00000000" w:rsidRPr="002D36F6">
        <w:rPr>
          <w:rFonts w:asciiTheme="majorHAnsi" w:eastAsia="Times New Roman" w:hAnsiTheme="majorHAnsi" w:cstheme="majorHAnsi"/>
          <w:sz w:val="21"/>
          <w:szCs w:val="21"/>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566B" w14:textId="77777777" w:rsidR="00B02562" w:rsidRPr="002D36F6" w:rsidRDefault="00B02562">
      <w:r w:rsidRPr="002D36F6">
        <w:separator/>
      </w:r>
    </w:p>
  </w:endnote>
  <w:endnote w:type="continuationSeparator" w:id="0">
    <w:p w14:paraId="49FB036E" w14:textId="77777777" w:rsidR="00B02562" w:rsidRPr="002D36F6" w:rsidRDefault="00B02562">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959C387-A227-40DB-8742-76E47B5161A0}"/>
  </w:font>
  <w:font w:name="Calibri">
    <w:panose1 w:val="020F0502020204030204"/>
    <w:charset w:val="00"/>
    <w:family w:val="swiss"/>
    <w:pitch w:val="variable"/>
    <w:sig w:usb0="E4002EFF" w:usb1="C200247B" w:usb2="00000009" w:usb3="00000000" w:csb0="000001FF" w:csb1="00000000"/>
    <w:embedRegular r:id="rId2" w:fontKey="{82A0886D-B79D-4F2C-B93C-3C403F7CE904}"/>
    <w:embedBold r:id="rId3" w:fontKey="{4C717099-2E3E-4EEC-8CAE-B24B3AA089A1}"/>
    <w:embedBoldItalic r:id="rId4" w:fontKey="{F7EC7A16-9D1F-4425-8CCE-7B4E94CC14CC}"/>
  </w:font>
  <w:font w:name="Georgia">
    <w:panose1 w:val="02040502050405020303"/>
    <w:charset w:val="00"/>
    <w:family w:val="roman"/>
    <w:pitch w:val="variable"/>
    <w:sig w:usb0="00000287" w:usb1="00000000" w:usb2="00000000" w:usb3="00000000" w:csb0="0000009F" w:csb1="00000000"/>
    <w:embedItalic r:id="rId5" w:fontKey="{D335FFAC-E1AD-470C-B1CA-AFC10FF269DD}"/>
  </w:font>
  <w:font w:name="Corbel">
    <w:panose1 w:val="020B0503020204020204"/>
    <w:charset w:val="00"/>
    <w:family w:val="swiss"/>
    <w:pitch w:val="variable"/>
    <w:sig w:usb0="A00002EF" w:usb1="4000A44B" w:usb2="00000000" w:usb3="00000000" w:csb0="0000019F" w:csb1="00000000"/>
    <w:embedRegular r:id="rId6" w:fontKey="{F47BDC71-BD2E-4D6C-9E89-383F418DB5A7}"/>
    <w:embedBold r:id="rId7" w:fontKey="{D15C14A3-A670-4B0C-8DC4-EA983DC432B7}"/>
    <w:embedItalic r:id="rId8" w:fontKey="{48193B12-9ED1-4E06-9B76-3879A5D99CB8}"/>
    <w:embedBoldItalic r:id="rId9" w:fontKey="{DFFD03BC-F82F-4401-A435-1FA2B0FDB9A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AAA263DE-2BB8-43A4-8E82-D1ECE13E42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4252" w14:textId="77777777" w:rsidR="00B02562" w:rsidRPr="002D36F6" w:rsidRDefault="00B02562">
      <w:r w:rsidRPr="002D36F6">
        <w:separator/>
      </w:r>
    </w:p>
  </w:footnote>
  <w:footnote w:type="continuationSeparator" w:id="0">
    <w:p w14:paraId="61CD51B8" w14:textId="77777777" w:rsidR="00B02562" w:rsidRPr="002D36F6" w:rsidRDefault="00B02562">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61922"/>
    <w:rsid w:val="00164CF8"/>
    <w:rsid w:val="0017172B"/>
    <w:rsid w:val="001A2F4F"/>
    <w:rsid w:val="001E5A6A"/>
    <w:rsid w:val="001F374A"/>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B1623"/>
    <w:rsid w:val="005C0113"/>
    <w:rsid w:val="005C59C0"/>
    <w:rsid w:val="005D1577"/>
    <w:rsid w:val="005D2874"/>
    <w:rsid w:val="005F35E4"/>
    <w:rsid w:val="0060009F"/>
    <w:rsid w:val="0060211B"/>
    <w:rsid w:val="0061205C"/>
    <w:rsid w:val="00630A5E"/>
    <w:rsid w:val="00653256"/>
    <w:rsid w:val="00664D84"/>
    <w:rsid w:val="00686055"/>
    <w:rsid w:val="00697F34"/>
    <w:rsid w:val="006B2F4D"/>
    <w:rsid w:val="006C1366"/>
    <w:rsid w:val="006C3CAD"/>
    <w:rsid w:val="00705AB9"/>
    <w:rsid w:val="00716A55"/>
    <w:rsid w:val="00735795"/>
    <w:rsid w:val="00741E09"/>
    <w:rsid w:val="00746C02"/>
    <w:rsid w:val="00750C84"/>
    <w:rsid w:val="00757AAD"/>
    <w:rsid w:val="00774995"/>
    <w:rsid w:val="007760FD"/>
    <w:rsid w:val="0078264F"/>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64F7"/>
    <w:rsid w:val="00B02562"/>
    <w:rsid w:val="00B06514"/>
    <w:rsid w:val="00B40E73"/>
    <w:rsid w:val="00B4381A"/>
    <w:rsid w:val="00B57311"/>
    <w:rsid w:val="00B861E8"/>
    <w:rsid w:val="00BA05E9"/>
    <w:rsid w:val="00BA5879"/>
    <w:rsid w:val="00BB03EA"/>
    <w:rsid w:val="00BB4CEA"/>
    <w:rsid w:val="00BC5245"/>
    <w:rsid w:val="00BE34D4"/>
    <w:rsid w:val="00BE703B"/>
    <w:rsid w:val="00BE7178"/>
    <w:rsid w:val="00C23110"/>
    <w:rsid w:val="00C539D0"/>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60861"/>
    <w:rsid w:val="00F6529E"/>
    <w:rsid w:val="00F7247C"/>
    <w:rsid w:val="00F90408"/>
    <w:rsid w:val="00F93911"/>
    <w:rsid w:val="00F94284"/>
    <w:rsid w:val="00FA1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3</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8</cp:revision>
  <cp:lastPrinted>2026-05-23T18:09:00Z</cp:lastPrinted>
  <dcterms:created xsi:type="dcterms:W3CDTF">2026-05-25T14:46:00Z</dcterms:created>
  <dcterms:modified xsi:type="dcterms:W3CDTF">2026-05-25T15:32:00Z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