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header2.xml" ContentType="application/vnd.openxmlformats-officedocument.wordprocessingml.header+xml"/>
  <Override PartName="/word/numbering.xml" ContentType="application/vnd.openxmlformats-officedocument.wordprocessingml.numbering+xml"/>
  <Override PartName="/word/header3.xml" ContentType="application/vnd.openxmlformats-officedocument.wordprocessingml.head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t xml:space="preserve"> in the American Museum of Natural History</w:t>
      </w:r>
    </w:p>
    <w:p>
      <w:pPr>
        <w:pStyle w:val="Author"/>
        <w:rPr/>
      </w:pPr>
      <w:r>
        <w:rPr/>
      </w:r>
    </w:p>
    <w:p>
      <w:pPr>
        <w:pStyle w:val="Author"/>
        <w:rPr/>
      </w:pPr>
      <w:r>
        <w:rPr>
          <w:b/>
          <w:bCs/>
          <w:i w:val="false"/>
        </w:rPr>
        <w:t>Michael P. Taylor.</w:t>
      </w:r>
      <w:r>
        <w:rPr>
          <w:i w:val="false"/>
        </w:rPr>
        <w:t xml:space="preserve"> Department of Earth Sciences, University of Bristol, Bristol BS8 1RJ, UK. </w:t>
      </w:r>
      <w:hyperlink r:id="rId2">
        <w:r>
          <w:rPr>
            <w:rStyle w:val="Hyperlink"/>
            <w:i w:val="false"/>
          </w:rPr>
          <w:t>dino@miketaylor.org.uk</w:t>
        </w:r>
      </w:hyperlink>
      <w:r>
        <w:rPr>
          <w:i w:val="false"/>
        </w:rPr>
        <w:t xml:space="preserve"> (corresponding author)</w:t>
      </w:r>
    </w:p>
    <w:p>
      <w:pPr>
        <w:pStyle w:val="Author"/>
        <w:rPr/>
      </w:pPr>
      <w:r>
        <w:rPr>
          <w:b/>
          <w:bCs/>
          <w:i w:val="false"/>
        </w:rPr>
        <w:t>Peter May.</w:t>
      </w:r>
      <w:r>
        <w:rPr>
          <w:i w:val="false"/>
        </w:rPr>
        <w:t xml:space="preserve"> Research Casting International, 15 Dufferin Ave, Trenton, Ontario K8V 5C8, Canada. </w:t>
      </w:r>
      <w:hyperlink r:id="rId3">
        <w:r>
          <w:rPr>
            <w:rStyle w:val="Hyperlink"/>
            <w:i w:val="false"/>
          </w:rPr>
          <w:t>pmay@rescast.com</w:t>
        </w:r>
      </w:hyperlink>
    </w:p>
    <w:p>
      <w:pPr>
        <w:pStyle w:val="Author"/>
        <w:rPr/>
      </w:pPr>
      <w:r>
        <w:rPr>
          <w:b/>
          <w:bCs/>
          <w:i w:val="false"/>
        </w:rPr>
        <w:t>Lowell Dingus.</w:t>
      </w:r>
      <w:r>
        <w:rPr>
          <w:i w:val="false"/>
        </w:rPr>
        <w:t xml:space="preserve"> Division of Paleontology, American Museum of Natural History, New York, New York, USA. </w:t>
      </w:r>
      <w:hyperlink r:id="rId4">
        <w:r>
          <w:rPr>
            <w:rStyle w:val="Hyperlink"/>
            <w:i w:val="false"/>
          </w:rPr>
          <w:t>dinglowell@gmail.com</w:t>
        </w:r>
      </w:hyperlink>
    </w:p>
    <w:p>
      <w:pPr>
        <w:pStyle w:val="Author"/>
        <w:rPr/>
      </w:pPr>
      <w:r>
        <w:rPr>
          <w:b/>
          <w:bCs/>
          <w:i w:val="false"/>
        </w:rPr>
        <w:t>Eugene S. Gaffney.</w:t>
      </w:r>
      <w:r>
        <w:rPr>
          <w:i w:val="false"/>
        </w:rPr>
        <w:t xml:space="preserve"> </w:t>
      </w:r>
      <w:bookmarkStart w:id="0" w:name="__DdeLink__2703_3823776798"/>
      <w:r>
        <w:rPr>
          <w:i w:val="false"/>
        </w:rPr>
        <w:t xml:space="preserve">Division of Paleontology, American Museum of Natural History, New York, New York, USA. </w:t>
      </w:r>
      <w:hyperlink r:id="rId5">
        <w:r>
          <w:rPr>
            <w:rStyle w:val="Hyperlink"/>
            <w:i w:val="false"/>
          </w:rPr>
          <w:t>genegaffney373@comcast.net</w:t>
        </w:r>
      </w:hyperlink>
      <w:bookmarkEnd w:id="0"/>
    </w:p>
    <w:p>
      <w:pPr>
        <w:pStyle w:val="Author"/>
        <w:rPr>
          <w:i w:val="false"/>
        </w:rPr>
      </w:pPr>
      <w:r>
        <w:rPr>
          <w:i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i w:val="false"/>
          <w:iCs w:val="false"/>
        </w:rPr>
      </w:pPr>
      <w:r>
        <w:rPr>
          <w:i w:val="false"/>
          <w:iCs w:val="false"/>
        </w:rPr>
        <w:t xml:space="preserve">The rearing mounted skeleton of </w:t>
      </w:r>
      <w:r>
        <w:rPr/>
        <w:t>Barosaurus lentus</w:t>
      </w:r>
      <w:r>
        <w:rPr>
          <w:i w:val="false"/>
          <w:iCs w:val="false"/>
        </w:rPr>
        <w:t xml:space="preserve"> in the Roosevelt Memorial Hall of the American Museum of Natural History (AMNH) is among the most culturally influential of all dinosaur exhibits. We review the history of the genus and of AMNH 6341, the specimen on which the mount is principally based. Excavated by Earl Douglass from the Carnegie Quarry at what is now Dinosaur National Monument, this skeleton was divided between three institutions before Barnum Brown reunited it at the AMNH around 1930. It was then largely neglected for six decades. We document the conception of the rearing mount during the 1986–1991 renovation of the fossil halls, when Lowell Dingus and Eugene Gaffney independently arrived at the idea of a rearing sauropod inspired in part by Gregory S. Paul’s painting </w:t>
      </w:r>
      <w:r>
        <w:rPr/>
        <w:t>Ambush at Como Creek</w:t>
      </w:r>
      <w:r>
        <w:rPr>
          <w:i w:val="false"/>
          <w:iCs w:val="false"/>
        </w:rPr>
        <w:t xml:space="preserve">, and the construction of the cast by Research Casting International. At about 15 m, it is the tallest free-standing mounted skeleton in the world. Crucially, the mount’s purpose was not to assert that </w:t>
      </w:r>
      <w:r>
        <w:rPr/>
        <w:t>Barosaurus</w:t>
      </w:r>
      <w:r>
        <w:rPr>
          <w:i w:val="false"/>
          <w:iCs w:val="false"/>
        </w:rPr>
        <w:t xml:space="preserve"> habitually reared, but to provoke visitors to think about what fossils can and cannot tell us about extinct animals. About 80% of the material in the mount was cast from AMNH 6341. Most of the rest cast from second-generation molds of the Carnegie </w:t>
      </w:r>
      <w:r>
        <w:rPr/>
        <w:t>Diplodocus</w:t>
      </w:r>
      <w:r>
        <w:rPr>
          <w:i w:val="false"/>
          <w:iCs w:val="false"/>
        </w:rPr>
        <w:t>, including a third of the neck and some residual camarasaurid material in the manus. We summarise the controversy the pose provoked, trace the longer history of rearing sauropods in science and art, and assess the mount’s substantial impact on popular culture.</w:t>
      </w:r>
    </w:p>
    <w:p>
      <w:pPr>
        <w:pStyle w:val="Abstract"/>
        <w:rPr/>
      </w:pPr>
      <w:r>
        <w:rPr>
          <w:b/>
          <w:bCs/>
          <w:i w:val="false"/>
          <w:iCs w:val="false"/>
        </w:rPr>
        <w:t>Keywords:</w:t>
      </w:r>
      <w:r>
        <w:rPr>
          <w:i w:val="false"/>
          <w:iCs w:val="false"/>
        </w:rPr>
        <w:t xml:space="preserve"> </w:t>
      </w:r>
      <w:r>
        <w:rPr/>
        <w:t>Barosaurus</w:t>
      </w:r>
      <w:r>
        <w:rPr>
          <w:i w:val="false"/>
          <w:iCs w:val="false"/>
        </w:rPr>
        <w:t>, sauropod, neck, rearing, skeletal mount, cast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3784_1986291683" w:tooltip="Introduction">
            <w:r>
              <w:rPr>
                <w:rStyle w:val="IndexLink"/>
              </w:rPr>
              <w:t>Introduction</w:t>
              <w:tab/>
              <w:t>2</w:t>
            </w:r>
          </w:hyperlink>
        </w:p>
        <w:p>
          <w:pPr>
            <w:pStyle w:val="TOC2"/>
            <w:tabs>
              <w:tab w:val="clear" w:pos="9355"/>
              <w:tab w:val="right" w:pos="9637" w:leader="dot"/>
            </w:tabs>
            <w:rPr/>
          </w:pPr>
          <w:hyperlink w:anchor="__RefHeading___Toc3323_2187837281" w:tooltip="Anatomical nomenclature">
            <w:r>
              <w:rPr>
                <w:rStyle w:val="IndexLink"/>
              </w:rPr>
              <w:t>Anatomical nomenclature</w:t>
              <w:tab/>
              <w:t>3</w:t>
            </w:r>
          </w:hyperlink>
        </w:p>
        <w:p>
          <w:pPr>
            <w:pStyle w:val="TOC2"/>
            <w:tabs>
              <w:tab w:val="clear" w:pos="9355"/>
              <w:tab w:val="right" w:pos="9637" w:leader="dot"/>
            </w:tabs>
            <w:rPr/>
          </w:pPr>
          <w:hyperlink w:anchor="__RefHeading___Toc5349_68767826" w:tooltip="Institutional abbreviations">
            <w:r>
              <w:rPr>
                <w:rStyle w:val="IndexLink"/>
              </w:rPr>
              <w:t>Institutional abbreviations</w:t>
              <w:tab/>
              <w:t>3</w:t>
            </w:r>
          </w:hyperlink>
        </w:p>
        <w:p>
          <w:pPr>
            <w:pStyle w:val="TOC1"/>
            <w:tabs>
              <w:tab w:val="clear" w:pos="9638"/>
              <w:tab w:val="right" w:pos="9637" w:leader="dot"/>
            </w:tabs>
            <w:rPr/>
          </w:pPr>
          <w:hyperlink w:anchor="__RefHeading___Toc4316_68767826" w:tooltip="Historical background">
            <w:r>
              <w:rPr>
                <w:rStyle w:val="IndexLink"/>
              </w:rPr>
              <w:t>Historical background</w:t>
              <w:tab/>
              <w:t>3</w:t>
            </w:r>
          </w:hyperlink>
        </w:p>
        <w:p>
          <w:pPr>
            <w:pStyle w:val="TOC2"/>
            <w:tabs>
              <w:tab w:val="clear" w:pos="9355"/>
              <w:tab w:val="right" w:pos="9637" w:leader="dot"/>
            </w:tabs>
            <w:rPr/>
          </w:pPr>
          <w:hyperlink w:anchor="__RefHeading___Toc12350_68767826" w:tooltip="Early discoveries of Barosaurus">
            <w:r>
              <w:rPr>
                <w:rStyle w:val="IndexLink"/>
              </w:rPr>
              <w:t xml:space="preserve">Early discoveries of </w:t>
            </w:r>
            <w:r>
              <w:rPr>
                <w:rStyle w:val="IndexLink"/>
                <w:i/>
                <w:iCs/>
              </w:rPr>
              <w:t>Barosaurus</w:t>
            </w:r>
            <w:r>
              <w:rPr>
                <w:rStyle w:val="IndexLink"/>
              </w:rPr>
              <w:tab/>
              <w:t>3</w:t>
            </w:r>
          </w:hyperlink>
        </w:p>
        <w:p>
          <w:pPr>
            <w:pStyle w:val="TOC2"/>
            <w:tabs>
              <w:tab w:val="clear" w:pos="9355"/>
              <w:tab w:val="right" w:pos="9637" w:leader="dot"/>
            </w:tabs>
            <w:rPr/>
          </w:pPr>
          <w:hyperlink w:anchor="__RefHeading___Toc12352_68767826" w:tooltip="The AMNH specimen of Barosaurus">
            <w:r>
              <w:rPr>
                <w:rStyle w:val="IndexLink"/>
              </w:rPr>
              <w:t xml:space="preserve">The AMNH specimen of </w:t>
            </w:r>
            <w:r>
              <w:rPr>
                <w:rStyle w:val="IndexLink"/>
                <w:i/>
                <w:iCs/>
              </w:rPr>
              <w:t>Barosaurus</w:t>
            </w:r>
            <w:r>
              <w:rPr>
                <w:rStyle w:val="IndexLink"/>
              </w:rPr>
              <w:tab/>
              <w:t>4</w:t>
            </w:r>
          </w:hyperlink>
        </w:p>
        <w:p>
          <w:pPr>
            <w:pStyle w:val="TOC3"/>
            <w:tabs>
              <w:tab w:val="clear" w:pos="9072"/>
              <w:tab w:val="right" w:pos="9637" w:leader="dot"/>
            </w:tabs>
            <w:rPr/>
          </w:pPr>
          <w:hyperlink w:anchor="__RefHeading___Toc25848_1820571732" w:tooltip="The Carnegie Quarry at Dinosaur National Monument">
            <w:r>
              <w:rPr>
                <w:rStyle w:val="IndexLink"/>
              </w:rPr>
              <w:t>The Carnegie Quarry at Dinosaur National Monument</w:t>
              <w:tab/>
              <w:t>4</w:t>
            </w:r>
          </w:hyperlink>
        </w:p>
        <w:p>
          <w:pPr>
            <w:pStyle w:val="TOC3"/>
            <w:tabs>
              <w:tab w:val="clear" w:pos="9072"/>
              <w:tab w:val="right" w:pos="9637" w:leader="dot"/>
            </w:tabs>
            <w:rPr/>
          </w:pPr>
          <w:hyperlink w:anchor="__RefHeading___Toc25850_1820571732" w:tooltip="USNM work at Dinosaur National Monument">
            <w:r>
              <w:rPr>
                <w:rStyle w:val="IndexLink"/>
              </w:rPr>
              <w:t>USNM work at Dinosaur National Monument</w:t>
              <w:tab/>
              <w:t>5</w:t>
            </w:r>
          </w:hyperlink>
        </w:p>
        <w:p>
          <w:pPr>
            <w:pStyle w:val="TOC3"/>
            <w:tabs>
              <w:tab w:val="clear" w:pos="9072"/>
              <w:tab w:val="right" w:pos="9637" w:leader="dot"/>
            </w:tabs>
            <w:rPr/>
          </w:pPr>
          <w:hyperlink w:anchor="__RefHeading___Toc25852_1820571732" w:tooltip="The skeleton reunited">
            <w:r>
              <w:rPr>
                <w:rStyle w:val="IndexLink"/>
              </w:rPr>
              <w:t>The skeleton reunited</w:t>
              <w:tab/>
              <w:t>6</w:t>
            </w:r>
          </w:hyperlink>
        </w:p>
        <w:p>
          <w:pPr>
            <w:pStyle w:val="TOC1"/>
            <w:tabs>
              <w:tab w:val="clear" w:pos="9638"/>
              <w:tab w:val="right" w:pos="9637" w:leader="dot"/>
            </w:tabs>
            <w:rPr/>
          </w:pPr>
          <w:hyperlink w:anchor="__RefHeading___Toc5351_68767826" w:tooltip="The AMNH mounted Barosaurus">
            <w:r>
              <w:rPr>
                <w:rStyle w:val="IndexLink"/>
              </w:rPr>
              <w:t xml:space="preserve">The AMNH mounted </w:t>
            </w:r>
            <w:r>
              <w:rPr>
                <w:rStyle w:val="IndexLink"/>
                <w:i/>
                <w:iCs/>
              </w:rPr>
              <w:t>Barosaurus</w:t>
            </w:r>
            <w:r>
              <w:rPr>
                <w:rStyle w:val="IndexLink"/>
              </w:rPr>
              <w:tab/>
              <w:t>8</w:t>
            </w:r>
          </w:hyperlink>
        </w:p>
        <w:p>
          <w:pPr>
            <w:pStyle w:val="TOC2"/>
            <w:tabs>
              <w:tab w:val="clear" w:pos="9355"/>
              <w:tab w:val="right" w:pos="9637" w:leader="dot"/>
            </w:tabs>
            <w:rPr/>
          </w:pPr>
          <w:hyperlink w:anchor="__RefHeading___Toc5354_68767826" w:tooltip="The conception of the mount">
            <w:r>
              <w:rPr>
                <w:rStyle w:val="IndexLink"/>
              </w:rPr>
              <w:t>The conception of the mount</w:t>
              <w:tab/>
              <w:t>8</w:t>
            </w:r>
          </w:hyperlink>
        </w:p>
        <w:p>
          <w:pPr>
            <w:pStyle w:val="TOC2"/>
            <w:tabs>
              <w:tab w:val="clear" w:pos="9355"/>
              <w:tab w:val="right" w:pos="9637" w:leader="dot"/>
            </w:tabs>
            <w:rPr/>
          </w:pPr>
          <w:hyperlink w:anchor="__RefHeading___Toc1099_1709072779" w:tooltip="The purpose of the mount">
            <w:r>
              <w:rPr>
                <w:rStyle w:val="IndexLink"/>
              </w:rPr>
              <w:t>The purpose of the mount</w:t>
              <w:tab/>
              <w:t>9</w:t>
            </w:r>
          </w:hyperlink>
        </w:p>
        <w:p>
          <w:pPr>
            <w:pStyle w:val="TOC2"/>
            <w:tabs>
              <w:tab w:val="clear" w:pos="9355"/>
              <w:tab w:val="right" w:pos="9637" w:leader="dot"/>
            </w:tabs>
            <w:rPr/>
          </w:pPr>
          <w:hyperlink w:anchor="__RefHeading___Toc18297_68767826" w:tooltip="The creation of the mount">
            <w:r>
              <w:rPr>
                <w:rStyle w:val="IndexLink"/>
              </w:rPr>
              <w:t>The creation of the mount</w:t>
              <w:tab/>
              <w:t>10</w:t>
            </w:r>
          </w:hyperlink>
        </w:p>
        <w:p>
          <w:pPr>
            <w:pStyle w:val="TOC2"/>
            <w:tabs>
              <w:tab w:val="clear" w:pos="9355"/>
              <w:tab w:val="right" w:pos="9637" w:leader="dot"/>
            </w:tabs>
            <w:rPr/>
          </w:pPr>
          <w:hyperlink w:anchor="__RefHeading___Toc5632_2187837281" w:tooltip="Photography of the mount">
            <w:r>
              <w:rPr>
                <w:rStyle w:val="IndexLink"/>
              </w:rPr>
              <w:t>Photography of the mount</w:t>
              <w:tab/>
              <w:t>13</w:t>
            </w:r>
          </w:hyperlink>
        </w:p>
        <w:p>
          <w:pPr>
            <w:pStyle w:val="TOC2"/>
            <w:tabs>
              <w:tab w:val="clear" w:pos="9355"/>
              <w:tab w:val="right" w:pos="9637" w:leader="dot"/>
            </w:tabs>
            <w:rPr/>
          </w:pPr>
          <w:hyperlink w:anchor="__RefHeading___Toc5356_68767826" w:tooltip="The composition of the mount">
            <w:r>
              <w:rPr>
                <w:rStyle w:val="IndexLink"/>
              </w:rPr>
              <w:t>The composition of the mount</w:t>
              <w:tab/>
              <w:t>13</w:t>
            </w:r>
          </w:hyperlink>
        </w:p>
        <w:p>
          <w:pPr>
            <w:pStyle w:val="TOC3"/>
            <w:tabs>
              <w:tab w:val="clear" w:pos="9072"/>
              <w:tab w:val="right" w:pos="9637" w:leader="dot"/>
            </w:tabs>
            <w:rPr/>
          </w:pPr>
          <w:hyperlink w:anchor="__RefHeading___Toc16585_68767826" w:tooltip="Overview">
            <w:r>
              <w:rPr>
                <w:rStyle w:val="IndexLink"/>
              </w:rPr>
              <w:t>Overview</w:t>
              <w:tab/>
              <w:t>13</w:t>
            </w:r>
          </w:hyperlink>
        </w:p>
        <w:p>
          <w:pPr>
            <w:pStyle w:val="TOC3"/>
            <w:tabs>
              <w:tab w:val="clear" w:pos="9072"/>
              <w:tab w:val="right" w:pos="9637" w:leader="dot"/>
            </w:tabs>
            <w:rPr/>
          </w:pPr>
          <w:hyperlink w:anchor="__RefHeading___Toc4995_537823704" w:tooltip="Barosaurus material in the mount">
            <w:r>
              <w:rPr>
                <w:rStyle w:val="IndexLink"/>
                <w:i/>
                <w:iCs/>
              </w:rPr>
              <w:t>Barosaurus</w:t>
            </w:r>
            <w:r>
              <w:rPr>
                <w:rStyle w:val="IndexLink"/>
              </w:rPr>
              <w:t xml:space="preserve"> material in the mount</w:t>
              <w:tab/>
              <w:t>14</w:t>
            </w:r>
          </w:hyperlink>
        </w:p>
        <w:p>
          <w:pPr>
            <w:pStyle w:val="TOC3"/>
            <w:tabs>
              <w:tab w:val="clear" w:pos="9072"/>
              <w:tab w:val="right" w:pos="9637" w:leader="dot"/>
            </w:tabs>
            <w:rPr/>
          </w:pPr>
          <w:hyperlink w:anchor="__RefHeading___Toc25854_1820571732" w:tooltip="Non-Barosaurus material in the mount">
            <w:r>
              <w:rPr>
                <w:rStyle w:val="IndexLink"/>
              </w:rPr>
              <w:t>Non-</w:t>
            </w:r>
            <w:r>
              <w:rPr>
                <w:rStyle w:val="IndexLink"/>
                <w:i/>
                <w:iCs/>
              </w:rPr>
              <w:t>Barosaurus</w:t>
            </w:r>
            <w:r>
              <w:rPr>
                <w:rStyle w:val="IndexLink"/>
              </w:rPr>
              <w:t xml:space="preserve"> material in the mount</w:t>
              <w:tab/>
              <w:t>15</w:t>
            </w:r>
          </w:hyperlink>
        </w:p>
        <w:p>
          <w:pPr>
            <w:pStyle w:val="TOC3"/>
            <w:tabs>
              <w:tab w:val="clear" w:pos="9072"/>
              <w:tab w:val="right" w:pos="9637" w:leader="dot"/>
            </w:tabs>
            <w:rPr/>
          </w:pPr>
          <w:hyperlink w:anchor="__RefHeading___Toc16587_68767826" w:tooltip="Skull">
            <w:r>
              <w:rPr>
                <w:rStyle w:val="IndexLink"/>
              </w:rPr>
              <w:t>Skull</w:t>
              <w:tab/>
              <w:t>16</w:t>
            </w:r>
          </w:hyperlink>
        </w:p>
        <w:p>
          <w:pPr>
            <w:pStyle w:val="TOC3"/>
            <w:tabs>
              <w:tab w:val="clear" w:pos="9072"/>
              <w:tab w:val="right" w:pos="9637" w:leader="dot"/>
            </w:tabs>
            <w:rPr/>
          </w:pPr>
          <w:hyperlink w:anchor="__RefHeading___Toc16589_68767826" w:tooltip="Neck">
            <w:r>
              <w:rPr>
                <w:rStyle w:val="IndexLink"/>
              </w:rPr>
              <w:t>Neck</w:t>
              <w:tab/>
              <w:t>16</w:t>
            </w:r>
          </w:hyperlink>
        </w:p>
        <w:p>
          <w:pPr>
            <w:pStyle w:val="TOC3"/>
            <w:tabs>
              <w:tab w:val="clear" w:pos="9072"/>
              <w:tab w:val="right" w:pos="9637" w:leader="dot"/>
            </w:tabs>
            <w:rPr/>
          </w:pPr>
          <w:hyperlink w:anchor="__RefHeading___Toc2466_2187837281" w:tooltip="Torso, sacrum and tail">
            <w:r>
              <w:rPr>
                <w:rStyle w:val="IndexLink"/>
              </w:rPr>
              <w:t>Torso, sacrum and tail</w:t>
              <w:tab/>
              <w:t>17</w:t>
            </w:r>
          </w:hyperlink>
        </w:p>
        <w:p>
          <w:pPr>
            <w:pStyle w:val="TOC3"/>
            <w:tabs>
              <w:tab w:val="clear" w:pos="9072"/>
              <w:tab w:val="right" w:pos="9637" w:leader="dot"/>
            </w:tabs>
            <w:rPr/>
          </w:pPr>
          <w:hyperlink w:anchor="__RefHeading___Toc2470_2187837281" w:tooltip="Forelimbs and girdles">
            <w:r>
              <w:rPr>
                <w:rStyle w:val="IndexLink"/>
              </w:rPr>
              <w:t>Forelimbs and girdles</w:t>
              <w:tab/>
              <w:t>17</w:t>
            </w:r>
          </w:hyperlink>
        </w:p>
        <w:p>
          <w:pPr>
            <w:pStyle w:val="TOC3"/>
            <w:tabs>
              <w:tab w:val="clear" w:pos="9072"/>
              <w:tab w:val="right" w:pos="9637" w:leader="dot"/>
            </w:tabs>
            <w:rPr/>
          </w:pPr>
          <w:hyperlink w:anchor="__RefHeading___Toc25856_1820571732" w:tooltip="Hindlimbs and girdles">
            <w:r>
              <w:rPr>
                <w:rStyle w:val="IndexLink"/>
              </w:rPr>
              <w:t>Hindlimbs and girdles</w:t>
              <w:tab/>
              <w:t>18</w:t>
            </w:r>
          </w:hyperlink>
        </w:p>
        <w:p>
          <w:pPr>
            <w:pStyle w:val="TOC1"/>
            <w:tabs>
              <w:tab w:val="clear" w:pos="9638"/>
              <w:tab w:val="right" w:pos="9637" w:leader="dot"/>
            </w:tabs>
            <w:rPr/>
          </w:pPr>
          <w:hyperlink w:anchor="__RefHeading___Toc3401_68767826" w:tooltip="Discussion">
            <w:r>
              <w:rPr>
                <w:rStyle w:val="IndexLink"/>
              </w:rPr>
              <w:t>Discussion</w:t>
              <w:tab/>
              <w:t>18</w:t>
            </w:r>
          </w:hyperlink>
        </w:p>
        <w:p>
          <w:pPr>
            <w:pStyle w:val="TOC2"/>
            <w:tabs>
              <w:tab w:val="clear" w:pos="9355"/>
              <w:tab w:val="right" w:pos="9637" w:leader="dot"/>
            </w:tabs>
            <w:rPr/>
          </w:pPr>
          <w:hyperlink w:anchor="__RefHeading___Toc2476_2187837281" w:tooltip="Rearing pose">
            <w:r>
              <w:rPr>
                <w:rStyle w:val="IndexLink"/>
              </w:rPr>
              <w:t>Rearing pose</w:t>
              <w:tab/>
              <w:t>18</w:t>
            </w:r>
          </w:hyperlink>
        </w:p>
        <w:p>
          <w:pPr>
            <w:pStyle w:val="TOC2"/>
            <w:tabs>
              <w:tab w:val="clear" w:pos="9355"/>
              <w:tab w:val="right" w:pos="9637" w:leader="dot"/>
            </w:tabs>
            <w:rPr/>
          </w:pPr>
          <w:hyperlink w:anchor="__RefHeading___Toc3786_1986291683" w:tooltip="A short history of rearing sauropods">
            <w:r>
              <w:rPr>
                <w:rStyle w:val="IndexLink"/>
              </w:rPr>
              <w:t>A short history of rearing sauropods</w:t>
              <w:tab/>
              <w:t>20</w:t>
            </w:r>
          </w:hyperlink>
        </w:p>
        <w:p>
          <w:pPr>
            <w:pStyle w:val="TOC2"/>
            <w:tabs>
              <w:tab w:val="clear" w:pos="9355"/>
              <w:tab w:val="right" w:pos="9637" w:leader="dot"/>
            </w:tabs>
            <w:rPr/>
          </w:pPr>
          <w:hyperlink w:anchor="__RefHeading___Toc11689_675290491" w:tooltip="Cultural impact">
            <w:r>
              <w:rPr>
                <w:rStyle w:val="IndexLink"/>
              </w:rPr>
              <w:t>Cultural impact</w:t>
              <w:tab/>
              <w:t>21</w:t>
            </w:r>
          </w:hyperlink>
        </w:p>
        <w:p>
          <w:pPr>
            <w:pStyle w:val="TOC2"/>
            <w:tabs>
              <w:tab w:val="clear" w:pos="9355"/>
              <w:tab w:val="right" w:pos="9637" w:leader="dot"/>
            </w:tabs>
            <w:rPr/>
          </w:pPr>
          <w:hyperlink w:anchor="__RefHeading___Toc21934_68767826" w:tooltip="Size of the AMNH 6341 animal">
            <w:r>
              <w:rPr>
                <w:rStyle w:val="IndexLink"/>
              </w:rPr>
              <w:t>Size of the AMNH 6341 animal</w:t>
              <w:tab/>
              <w:t>22</w:t>
            </w:r>
          </w:hyperlink>
        </w:p>
        <w:p>
          <w:pPr>
            <w:pStyle w:val="TOC1"/>
            <w:tabs>
              <w:tab w:val="clear" w:pos="9638"/>
              <w:tab w:val="right" w:pos="9637" w:leader="dot"/>
            </w:tabs>
            <w:rPr/>
          </w:pPr>
          <w:hyperlink w:anchor="__RefHeading___Toc3403_68767826" w:tooltip="Acknowledgements">
            <w:r>
              <w:rPr>
                <w:rStyle w:val="IndexLink"/>
              </w:rPr>
              <w:t>Acknowledgements</w:t>
              <w:tab/>
              <w:t>22</w:t>
            </w:r>
          </w:hyperlink>
        </w:p>
        <w:p>
          <w:pPr>
            <w:pStyle w:val="TOC1"/>
            <w:tabs>
              <w:tab w:val="clear" w:pos="9638"/>
              <w:tab w:val="right" w:pos="9637" w:leader="dot"/>
            </w:tabs>
            <w:rPr/>
          </w:pPr>
          <w:hyperlink w:anchor="__RefHeading___Toc3405_68767826" w:tooltip="References">
            <w:r>
              <w:rPr>
                <w:rStyle w:val="IndexLink"/>
              </w:rPr>
              <w:t>References</w:t>
              <w:tab/>
              <w:t>24</w:t>
            </w:r>
          </w:hyperlink>
        </w:p>
        <w:p>
          <w:pPr>
            <w:pStyle w:val="TOC1"/>
            <w:tabs>
              <w:tab w:val="clear" w:pos="9638"/>
              <w:tab w:val="right" w:pos="9637" w:leader="dot"/>
            </w:tabs>
            <w:rPr/>
          </w:pPr>
          <w:hyperlink w:anchor="__RefHeading___Toc3407_68767826" w:tooltip="Figure Captions">
            <w:r>
              <w:rPr>
                <w:rStyle w:val="IndexLink"/>
              </w:rPr>
              <w:t>Figure Captions</w:t>
              <w:tab/>
              <w:t>30</w:t>
            </w:r>
          </w:hyperlink>
        </w:p>
        <w:p>
          <w:pPr>
            <w:pStyle w:val="TOC1"/>
            <w:tabs>
              <w:tab w:val="clear" w:pos="9638"/>
              <w:tab w:val="right" w:pos="9637" w:leader="dot"/>
            </w:tabs>
            <w:rPr/>
          </w:pPr>
          <w:hyperlink w:anchor="__RefHeading___Toc25858_1820571732" w:tooltip="Tables">
            <w:r>
              <w:rPr>
                <w:rStyle w:val="IndexLink"/>
              </w:rPr>
              <w:t>Tables</w:t>
              <w:tab/>
              <w:t>34</w:t>
            </w:r>
          </w:hyperlink>
        </w:p>
        <w:p>
          <w:pPr>
            <w:pStyle w:val="TOC2"/>
            <w:tabs>
              <w:tab w:val="clear" w:pos="9355"/>
              <w:tab w:val="right" w:pos="9637" w:leader="dot"/>
            </w:tabs>
            <w:rPr/>
          </w:pPr>
          <w:hyperlink w:anchor="__RefHeading___Toc25860_1820571732" w:tooltip="Table 1">
            <w:r>
              <w:rPr>
                <w:rStyle w:val="IndexLink"/>
              </w:rPr>
              <w:t>Table 1</w:t>
              <w:tab/>
              <w:t>34</w:t>
            </w:r>
          </w:hyperlink>
          <w:r>
            <w:rPr>
              <w:rStyle w:val="IndexLink"/>
            </w:rPr>
            <w:fldChar w:fldCharType="end"/>
          </w:r>
        </w:p>
      </w:sdtContent>
    </w:sdt>
    <w:p>
      <w:pPr>
        <w:pStyle w:val="BodyText"/>
        <w:rPr>
          <w:i/>
          <w:iCs/>
        </w:rPr>
      </w:pPr>
      <w:r>
        <w:rPr>
          <w:i/>
          <w:iCs/>
        </w:rPr>
      </w:r>
    </w:p>
    <w:p>
      <w:pPr>
        <w:pStyle w:val="Heading1"/>
        <w:rPr/>
      </w:pPr>
      <w:bookmarkStart w:id="1" w:name="__RefHeading___Toc3784_1986291683"/>
      <w:bookmarkEnd w:id="1"/>
      <w:r>
        <w:rPr/>
        <w:t>Introduction</w:t>
      </w:r>
    </w:p>
    <w:p>
      <w:pPr>
        <w:pStyle w:val="BodyText"/>
        <w:rPr/>
      </w:pPr>
      <w:r>
        <w:rPr>
          <w:i/>
          <w:iCs/>
        </w:rPr>
        <w:t>Barosaurus</w:t>
      </w:r>
      <w:r>
        <w:rPr/>
        <w:t xml:space="preserve"> is a diplodocid sauropod from the Late Jurassic of North America, found in the extensive Morrison Formation of the </w:t>
      </w:r>
      <w:r>
        <w:rPr/>
        <w:t>American West</w:t>
      </w:r>
      <w:r>
        <w:rPr/>
        <w:t xml:space="preserve">.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1).</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We will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the pose was decided on, summarize the controversy generated by the mount, survey the history of rearing sauropods, and consider the cultural impact of the AMNH exhibit.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t xml:space="preserve">We follow McIntosh’s (2005) interpretation of the presacral vertebrae of </w:t>
      </w:r>
      <w:r>
        <w:rPr>
          <w:i/>
          <w:iCs/>
        </w:rPr>
        <w:t>Barosaurus</w:t>
      </w:r>
      <w:r>
        <w:rPr/>
        <w:t xml:space="preserve"> consisting of 16 cervicals and nine dorsals, rather than 15 and 10 as in </w:t>
      </w:r>
      <w:r>
        <w:rPr>
          <w:i/>
          <w:iCs/>
        </w:rPr>
        <w:t>Diplodocus</w:t>
      </w:r>
      <w:r>
        <w:rPr/>
        <w:t xml:space="preserve"> (although see discussion below).</w:t>
      </w:r>
    </w:p>
    <w:p>
      <w:pPr>
        <w:pStyle w:val="Heading2"/>
        <w:rPr/>
      </w:pPr>
      <w:bookmarkStart w:id="3" w:name="__RefHeading___Toc5349_68767826"/>
      <w:bookmarkEnd w:id="3"/>
      <w:r>
        <w:rPr/>
        <w:t>Institutional abbreviations</w:t>
      </w:r>
    </w:p>
    <w:p>
      <w:pPr>
        <w:pStyle w:val="BodyText"/>
        <w:numPr>
          <w:ilvl w:val="0"/>
          <w:numId w:val="4"/>
        </w:numPr>
        <w:rPr/>
      </w:pPr>
      <w:r>
        <w:rPr/>
        <w:t>AMNH — American Museum of Natural History, New York, New York, USA.</w:t>
      </w:r>
    </w:p>
    <w:p>
      <w:pPr>
        <w:pStyle w:val="BodyText"/>
        <w:numPr>
          <w:ilvl w:val="0"/>
          <w:numId w:val="4"/>
        </w:numPr>
        <w:rPr/>
      </w:pPr>
      <w:r>
        <w:rPr/>
        <w:t>CM — Carnegie Museum of Natural History, Pittsburgh, Pennsylvania, USA.</w:t>
      </w:r>
    </w:p>
    <w:p>
      <w:pPr>
        <w:pStyle w:val="BodyText"/>
        <w:numPr>
          <w:ilvl w:val="0"/>
          <w:numId w:val="4"/>
        </w:numPr>
        <w:rPr/>
      </w:pPr>
      <w:r>
        <w:rPr/>
        <w:t>HMNS — Houston Museum of Nature and Science, Houston, Texas, USA.</w:t>
      </w:r>
    </w:p>
    <w:p>
      <w:pPr>
        <w:pStyle w:val="BodyText"/>
        <w:numPr>
          <w:ilvl w:val="0"/>
          <w:numId w:val="4"/>
        </w:numPr>
        <w:rPr/>
      </w:pPr>
      <w:r>
        <w:rPr/>
        <w:t>MB — Museum für Naturkunde Berlin, Berlin, Germany; specimen numbers for fossil reptiles take the form MB.R.</w:t>
      </w:r>
      <w:r>
        <w:rPr>
          <w:i/>
          <w:iCs/>
        </w:rPr>
        <w:t>nnnn</w:t>
      </w:r>
      <w:r>
        <w:rPr/>
        <w:t>.</w:t>
      </w:r>
    </w:p>
    <w:p>
      <w:pPr>
        <w:pStyle w:val="BodyText"/>
        <w:numPr>
          <w:ilvl w:val="0"/>
          <w:numId w:val="4"/>
        </w:numPr>
        <w:rPr/>
      </w:pPr>
      <w:r>
        <w:rPr/>
        <w:t>ROM — Royal Ontario Museum, Toronto, Ontario, Canada.</w:t>
      </w:r>
    </w:p>
    <w:p>
      <w:pPr>
        <w:pStyle w:val="BodyText"/>
        <w:numPr>
          <w:ilvl w:val="0"/>
          <w:numId w:val="4"/>
        </w:numPr>
        <w:rPr/>
      </w:pPr>
      <w:r>
        <w:rPr/>
        <w:t>USNM – United States National Museum, Washington, D.C., USA.</w:t>
      </w:r>
    </w:p>
    <w:p>
      <w:pPr>
        <w:pStyle w:val="BodyText"/>
        <w:numPr>
          <w:ilvl w:val="0"/>
          <w:numId w:val="4"/>
        </w:numPr>
        <w:rPr/>
      </w:pPr>
      <w:r>
        <w:rPr/>
        <w:t>YPM — Yale Peabody Museum, New Haven, Connecticut, USA.</w:t>
      </w:r>
    </w:p>
    <w:p>
      <w:pPr>
        <w:pStyle w:val="Heading1"/>
        <w:numPr>
          <w:ilvl w:val="0"/>
          <w:numId w:val="2"/>
        </w:numPr>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on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Heading3"/>
        <w:numPr>
          <w:ilvl w:val="2"/>
          <w:numId w:val="5"/>
        </w:numPr>
        <w:rPr/>
      </w:pPr>
      <w:bookmarkStart w:id="7" w:name="__RefHeading___Toc25848_1820571732"/>
      <w:bookmarkEnd w:id="7"/>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w:t>
      </w:r>
      <w:r>
        <w:rPr/>
        <w:t xml:space="preserve">correspondence collection </w:t>
      </w:r>
      <w:r>
        <w:rPr/>
        <w:t xml:space="preserve">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w:t>
      </w:r>
      <w:r>
        <w:rPr/>
        <w:t xml:space="preserve">once </w:t>
      </w:r>
      <w:r>
        <w:rPr/>
        <w:t xml:space="preserve">excavated, would be mounted in the Carnegie Museum in 1913. </w:t>
      </w:r>
      <w:r>
        <w:rPr/>
        <w:t xml:space="preserve">It would be </w:t>
      </w:r>
      <w:r>
        <w:rPr/>
        <w:t xml:space="preserve">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and described in detail by Gilmore (1936).</w:t>
      </w:r>
    </w:p>
    <w:p>
      <w:pPr>
        <w:pStyle w:val="BodyText"/>
        <w:rPr/>
      </w:pPr>
      <w:r>
        <w:rPr/>
        <w:t>As Douglass and his colleagues excavated, it quickly became apparent that there were many more dinosaurs in the rock. Excavating these fossils now became Douglass’s full-time job (Figure 2). The Carnegie Quarry, as it was named, would become one of the most fruitful in palaeontological history. The Museum funded the excavations for 13 years, shipping 700,000 lb of material to Pittsburgh (Gilmore 1936:170) — 318 tonnes.</w:t>
      </w:r>
    </w:p>
    <w:p>
      <w:pPr>
        <w:pStyle w:val="Heading3"/>
        <w:numPr>
          <w:ilvl w:val="2"/>
          <w:numId w:val="5"/>
        </w:numPr>
        <w:rPr/>
      </w:pPr>
      <w:bookmarkStart w:id="8" w:name="__RefHeading___Toc25850_1820571732"/>
      <w:bookmarkEnd w:id="8"/>
      <w:r>
        <w:rPr/>
        <w:t>USNM work at Dinosaur National Monument</w:t>
      </w:r>
    </w:p>
    <w:p>
      <w:pPr>
        <w:pStyle w:val="BodyText"/>
        <w:rPr/>
      </w:pPr>
      <w:r>
        <w:rPr/>
        <w:t xml:space="preserve">By 1922 the Carnegie Museum had more fossils from this locality than it could use. Douglas Stewart, Holland’s successor as Director of the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USNM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 xml:space="preserve">In a brief telegram on 10 November, Douglass reported to Merrill the existence of two sauropods in the quarry (Douglass 1922a). The next day, Merrill wrote to Douglass requesting technical and logistical information. Douglass replied on 22 November (Douglass 1922b) with a long and helpful letter explaining how the two sauropod skeletons, both thought to be </w:t>
      </w:r>
      <w:r>
        <w:rPr>
          <w:i/>
          <w:iCs/>
        </w:rPr>
        <w:t>Diplodocus</w:t>
      </w:r>
      <w:r>
        <w:rPr/>
        <w:t xml:space="preserve">, were positioned — #355 and #340, the former lying partly above the latter (Figure 3) — and stating that blocks containing most of the neck of #340 had been taken out of the quarry. </w:t>
      </w:r>
    </w:p>
    <w:p>
      <w:pPr>
        <w:pStyle w:val="BodyText"/>
        <w:rPr/>
      </w:pPr>
      <w:r>
        <w:rPr/>
        <w:t>Douglass listed 10 skeletons that had been partly or completely taken out during the year. Among those listed was “No. 340 — </w:t>
      </w:r>
      <w:r>
        <w:rPr>
          <w:i/>
          <w:iCs/>
        </w:rPr>
        <w:t>Diplodocus</w:t>
      </w:r>
      <w:r>
        <w:rPr/>
        <w:t xml:space="preserve">. Apparently nearly complete skeleton but only neck taken out. The remainder still in the ledge” (Douglass 1922c). By the end of the 1922 season, “all but two skeletons — those of </w:t>
      </w:r>
      <w:r>
        <w:rPr>
          <w:i/>
          <w:iCs/>
        </w:rPr>
        <w:t>Diplodocus</w:t>
      </w:r>
      <w:r>
        <w:rPr/>
        <w:t xml:space="preserve"> — were removed” (Douglass 1923).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1923b). Gilmore inherited the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 xml:space="preserve">Douglass also handed over to Gilmore four large blocks and several smaller ones containing much of the neck of #340, which as noted above had been extracted from the quarry but not prepared out. It was Gilmore’s intention to extract #355 (the more complete of the two) for the USNM, then secure the parts of #340 necessary to complete the skeleton (Gilmore 1923b). </w:t>
      </w:r>
      <w:r>
        <w:rPr/>
        <w:t xml:space="preserve">Skeleton </w:t>
      </w:r>
      <w:r>
        <w:rPr/>
        <w:t xml:space="preserve">#355 was subsequently accessioned as USNM 10865 and mounted in Washington D.C. </w:t>
      </w:r>
      <w:r>
        <w:rPr/>
        <w:t>(Gilmore 1932)</w:t>
      </w:r>
      <w:r>
        <w:rPr/>
        <w:t>, where it remains in the public gallery to this day.</w:t>
      </w:r>
    </w:p>
    <w:p>
      <w:pPr>
        <w:pStyle w:val="BodyText"/>
        <w:rPr/>
      </w:pPr>
      <w:r>
        <w:rPr/>
        <w:t>On 8 August 1923, Gilmore wrote briefly to Ravenel to say that work in the quarry was complete and the extracted blocks would be shipped to the USNM soon after 19 August (Gilmore 1923a), and sent a more comprehensive report in 30 August (Gilmore 1923b). In 1924, all excavation at the quarry ended.</w:t>
      </w:r>
    </w:p>
    <w:p>
      <w:pPr>
        <w:pStyle w:val="BodyText"/>
        <w:rPr/>
      </w:pPr>
      <w:r>
        <w:rPr/>
        <w:t xml:space="preserve">USNM’s only interest in #340 was apparently in using elements of the skeleton to complete #355 for a gallery mount (Gilmore 1923b:1), so only the cervicals, three anterior dorsals, right scapula, humerus and radius and a sternal plate were sent there (Gilmore 1923b:3). Some material of #340 went to the Carnegie Museum: Gilmore (1923b:1) wrote that “One block belonging to this specimen was shipped to Pittsburgh, but will, I understand, be turned over to the National Museum as soon as certain bones of another individual are extracted from it”. It seems however that at least </w:t>
      </w:r>
      <w:r>
        <w:rPr>
          <w:i/>
          <w:iCs/>
        </w:rPr>
        <w:t>three</w:t>
      </w:r>
      <w:r>
        <w:rPr/>
        <w:t xml:space="preserve"> blocks went to Pittsburgh. One, containing part of the neck, was shipped from there to the USNM in October 1924 (Coggeshall 1924); but there were also caudals, which would still be at the Carnegie at the end of 1929: “nine or ten vertebrae in the Carnegie Museum are preserved in two blocks 348/A and 348/B” (Brown 1929).</w:t>
      </w:r>
    </w:p>
    <w:p>
      <w:pPr>
        <w:pStyle w:val="BodyText"/>
        <w:rPr/>
      </w:pPr>
      <w:r>
        <w:rPr/>
        <w:t>In April 1924, Earl Douglass was offered a position at the University of Utah and resigned his position with Carnegie Museum (Douglass 1879–1953). He excavated the remainder of #340 and sent it to the University of Utah. This left the skeleton now spread across three institutions in Salt Lake City, Pittsburgh, and Washington, D.C. It is perhaps for this reason that, although the portion of the skeleton at the University of Utah was prepared, it was never mounted.</w:t>
      </w:r>
    </w:p>
    <w:p>
      <w:pPr>
        <w:pStyle w:val="BodyText"/>
        <w:rPr/>
      </w:pPr>
      <w:r>
        <w:rPr/>
        <w:t xml:space="preserve">The material of #340 in Washington was accessioned as USNM 11647 on 11 April 1927 (Abby Telfer, pers. comm., 2025). When it was prepared, what had been thought in the field to be two cervicals proved to be a single long cervical (McIntosh 2005:43). It was then apparent that the cervicals (and the rest of #340) did not belong to </w:t>
      </w:r>
      <w:r>
        <w:rPr>
          <w:i/>
          <w:iCs/>
        </w:rPr>
        <w:t>Diplodocus</w:t>
      </w:r>
      <w:r>
        <w:rPr/>
        <w:t xml:space="preserve"> after all but to </w:t>
      </w:r>
      <w:r>
        <w:rPr>
          <w:i/>
          <w:iCs/>
        </w:rPr>
        <w:t>Barosaurus</w:t>
      </w:r>
      <w:r>
        <w:rPr/>
        <w:t xml:space="preserve"> (Gilmore 1932:4). This material could therefore not be used in the mount of USNM 10865, which was instead completed with casts of the Carnegie </w:t>
      </w:r>
      <w:r>
        <w:rPr>
          <w:i/>
          <w:iCs/>
        </w:rPr>
        <w:t>Diplodocus</w:t>
      </w:r>
      <w:r>
        <w:rPr/>
        <w:t xml:space="preserve"> CM 84 and unveiled in 1932 (Gilmore 1932).</w:t>
      </w:r>
    </w:p>
    <w:p>
      <w:pPr>
        <w:pStyle w:val="Heading3"/>
        <w:numPr>
          <w:ilvl w:val="2"/>
          <w:numId w:val="5"/>
        </w:numPr>
        <w:rPr/>
      </w:pPr>
      <w:bookmarkStart w:id="9" w:name="__RefHeading___Toc25852_1820571732"/>
      <w:bookmarkEnd w:id="9"/>
      <w:r>
        <w:rPr/>
        <w:t>The skeleton reunited</w:t>
      </w:r>
    </w:p>
    <w:p>
      <w:pPr>
        <w:pStyle w:val="BodyText"/>
        <w:rPr/>
      </w:pPr>
      <w:r>
        <w:rPr/>
        <w:t xml:space="preserve">In 1929, Barnum Brown, acting for the American Museum of Natural History, visited most of the nation’s major natural history museums to assess their collections. He realised that the neck, anterior torso and forelimb material at the USNM, and the tail segment still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xml:space="preserve"> (AMNH 5428, now USNM 12814), the University of Utah made a cash-plus-fossils deal in which they were paid $2,500 cash plus the equivalent value in fossil mammal specimens (Brown 1929). The process of bringing the skeleton back together dragged on: the thirteen crates of material at the USNM were transported to the AMNH only in February 1933 (Wetmore 1933), perhaps because Wetmore himself — Secretary of the USNM — did “not favour disposal of this </w:t>
      </w:r>
      <w:r>
        <w:rPr>
          <w:i/>
          <w:iCs/>
        </w:rPr>
        <w:t>Barosaurus</w:t>
      </w:r>
      <w:r>
        <w:rPr/>
        <w:t xml:space="preserve"> neck” (Gilmore, reported in Brown 1929). The reunited specimen was given the specimen number AMNH 6341. (See Norell et al. 1991:36–38, Dingus 1996:21–22, McIntosh 2005:42–43).</w:t>
      </w:r>
    </w:p>
    <w:p>
      <w:pPr>
        <w:pStyle w:val="BodyText"/>
        <w:rPr/>
      </w:pPr>
      <w:r>
        <w:rPr/>
        <w:t xml:space="preserve">Brown’s (1929) memorandum on the trading he did for fossils provided a list of </w:t>
      </w:r>
      <w:r>
        <w:rPr>
          <w:i/>
          <w:iCs/>
        </w:rPr>
        <w:t>Barosaurus</w:t>
      </w:r>
      <w:r>
        <w:rPr/>
        <w:t xml:space="preserve"> material at the USNM rather different than that which Gilmore (1923b:3) had specified when sending the fossils there. Where Gilmore had listed 13 cervicals, three dorsals, right scapula, humerus and radius and a sternal plate, Brown listed 10 cervicals, three anterior dorsals, left scapula and humerus. The left/right differences for the appendicular material are simply errors on Brown’s part (see below). The radius and sternal plate mentioned by Gilmore seem to have gone missing: they are not included in the material list below. It is possible that they still lurk unrecognised in the USNM collections.</w:t>
      </w:r>
    </w:p>
    <w:p>
      <w:pPr>
        <w:pStyle w:val="BodyText"/>
        <w:rPr/>
      </w:pPr>
      <w:r>
        <w:rPr/>
        <w:t xml:space="preserve">The issue of the number of cervicals is complex. Gilmore’s count of 13 cervicals is compatible with Douglass’s (1922b:3) report that “the skull and two or three of the anterior cervicals of no. 340 had been detached and were not in place” — an absence that would leave 13 cervicals remaining in an animal with 15 of 16  neck vertebrae. The reduction to 10 in Brown’s list, made after the material had been prepared at USNM, can be explained as a consequence of supposed pairs turning out to be single long vertebrae. This lower count is also in accord with the quarry map of Gilmore (1932:figure 1; Figure 3). This shows nine dorsals and ten cervicals belonging to the </w:t>
      </w:r>
      <w:r>
        <w:rPr>
          <w:i/>
          <w:iCs/>
        </w:rPr>
        <w:t>Barosaurus</w:t>
      </w:r>
      <w:r>
        <w:rPr/>
        <w:t xml:space="preserve"> skeleton (although the line-drawings of the cervicals do not at all resemble the actual vertebrae: compare Figure 4). If the cervical count of ten in the quarry map and Brown’s memo is correct, the most anterior of the cervicals (C7) seems to have been lost or destroyed some time in the next 30 years, since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photographs from that time (Figure 5B) show the anteriormost cervical vertebra on display, and it is recognizable as the C8 that is the anteriormost currently preserved vertebra; and the signage that accompanied the exhibit (Figure 6) indicates that nine cervicals were present.</w:t>
      </w:r>
    </w:p>
    <w:p>
      <w:pPr>
        <w:pStyle w:val="Heading1"/>
        <w:numPr>
          <w:ilvl w:val="0"/>
          <w:numId w:val="2"/>
        </w:numPr>
        <w:rPr/>
      </w:pPr>
      <w:bookmarkStart w:id="10" w:name="__RefHeading___Toc5351_68767826"/>
      <w:bookmarkEnd w:id="10"/>
      <w:r>
        <w:rPr/>
        <w:t xml:space="preserve">The AMNH mounted </w:t>
      </w:r>
      <w:r>
        <w:rPr>
          <w:i/>
          <w:iCs/>
        </w:rPr>
        <w:t>Barosaurus</w:t>
      </w:r>
    </w:p>
    <w:p>
      <w:pPr>
        <w:pStyle w:val="Heading2"/>
        <w:rPr/>
      </w:pPr>
      <w:bookmarkStart w:id="11" w:name="__RefHeading___Toc5354_68767826"/>
      <w:bookmarkEnd w:id="11"/>
      <w:r>
        <w:rPr/>
        <w:t>The conception of the mount</w:t>
      </w:r>
    </w:p>
    <w:p>
      <w:pPr>
        <w:pStyle w:val="BodyText"/>
        <w:rPr/>
      </w:pPr>
      <w:r>
        <w:rPr/>
        <w:t xml:space="preserve">The three parts of AMNH 6341 had been reunited from their layovers in the USNM, Utah University and Carnegie Museum by 1933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rPr>
        <w:t>Apatosaurus</w:t>
      </w:r>
      <w:r>
        <w:rPr/>
        <w:t xml:space="preserve"> in the Hall of Early Dinosaurs on 17 April 1939 (Figure 5, Figure 6).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 Ralph Appelbaum Associates were hired as the designers.</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 with its impressive, barrel-vaulted ceiling.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long-neglected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palaeontologist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rPr>
        <w:t>Allosaurus</w:t>
      </w:r>
      <w:r>
        <w:rPr/>
        <w:t xml:space="preserve">. As the carnivore attacks, one </w:t>
      </w:r>
      <w:r>
        <w:rPr>
          <w:i/>
          <w:iCs/>
        </w:rPr>
        <w:t>Diplodocus</w:t>
      </w:r>
      <w:r>
        <w:rPr/>
        <w:t xml:space="preserve"> provides cover for its retreating allies by facing down the predator in a rearing threat display. This initial version of the painting was reproduced in Bird (1985:59), but Paul became dissatisfied with it and painted over parts of the original in 1983 and 1985 to produce the better known final version (Figure 7)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palaeontologist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had told Gaffney that the museum had one of the best </w:t>
      </w:r>
      <w:r>
        <w:rPr/>
        <w:t>preserved</w:t>
      </w:r>
      <w:r>
        <w:rPr/>
        <w:t xml:space="preserve">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2" w:name="__RefHeading___Toc1099_1709072779"/>
      <w:bookmarkEnd w:id="12"/>
      <w:r>
        <w:rPr/>
        <w:t>The purpose of the mount</w:t>
      </w:r>
    </w:p>
    <w:p>
      <w:pPr>
        <w:pStyle w:val="BodyText"/>
        <w:rPr/>
      </w:pPr>
      <w:r>
        <w:rPr/>
        <w:t>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extinct animals, and what can’t we know based on the limited kinds of data preserved in their fossils? The exhibition label for the mount clearly stated this conundrum in a section entitled “Did this really happen?” (Figure 8):</w:t>
      </w:r>
    </w:p>
    <w:p>
      <w:pPr>
        <w:pStyle w:val="BlockQuotation"/>
        <w:rPr/>
      </w:pPr>
      <w:r>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t xml:space="preserve">) or on their two hind legs (like </w:t>
      </w:r>
      <w:r>
        <w:rPr>
          <w:i/>
          <w:iCs/>
        </w:rPr>
        <w:t>Allosaurus</w:t>
      </w:r>
      <w:r>
        <w:rPr/>
        <w:t xml:space="preserve">). They do not tell us, however, if </w:t>
      </w:r>
      <w:r>
        <w:rPr>
          <w:i/>
          <w:iCs/>
        </w:rPr>
        <w:t>Barosaurus</w:t>
      </w:r>
      <w:r>
        <w:rPr/>
        <w:t xml:space="preserve"> could rear up or if </w:t>
      </w:r>
      <w:r>
        <w:rPr>
          <w:i/>
          <w:iCs/>
        </w:rPr>
        <w:t>Allosaurus</w:t>
      </w:r>
      <w:r>
        <w:rPr/>
        <w:t xml:space="preserve"> hunted alone or in groups.</w:t>
      </w:r>
    </w:p>
    <w:p>
      <w:pPr>
        <w:pStyle w:val="Heading2"/>
        <w:rPr/>
      </w:pPr>
      <w:bookmarkStart w:id="13" w:name="__RefHeading___Toc18297_68767826"/>
      <w:bookmarkEnd w:id="13"/>
      <w:r>
        <w:rPr/>
        <w:t>The creation of the mount</w:t>
      </w:r>
    </w:p>
    <w:p>
      <w:pPr>
        <w:pStyle w:val="BodyText"/>
        <w:rPr/>
      </w:pPr>
      <w:r>
        <w:rPr/>
        <w:t>At the time of the casting-and-mounting project, the process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 and the relatively few documents that were recovered from AMNH archives.</w:t>
      </w:r>
    </w:p>
    <w:p>
      <w:pPr>
        <w:pStyle w:val="BodyText"/>
        <w:rPr/>
      </w:pPr>
      <w:r>
        <w:rPr/>
        <w:t>Early in the process, around March 1990, a prototype model at about 1/16 full size was commissioned at a cost of $3,980 (Galiano 1990), to allow the scene to be created and manipulated at a workable scale (Figure 9). This was created by a model-maker at Maxilla and Mandible,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replicas.</w:t>
      </w:r>
    </w:p>
    <w:p>
      <w:pPr>
        <w:pStyle w:val="BodyText"/>
        <w:rPr/>
      </w:pPr>
      <w:r>
        <w:rPr/>
        <w:t xml:space="preserve">The bones of AMNH 6341, the </w:t>
      </w:r>
      <w:r>
        <w:rPr>
          <w:i/>
          <w:iCs/>
        </w:rPr>
        <w:t>Barosaurus</w:t>
      </w:r>
      <w:r>
        <w:rPr/>
        <w:t xml:space="preserve"> specimen that was to provide most of the mount, were in poor condition by 1990. The presacral vertebrae, scapulocoracoid and humerus had been in collections for the best part of 40 years, since Colbert’s early-1950s renovation; the rest of the bones had been there for 60 years, ever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a recently established organization specializing in mounting prehistoric animals. Founder Peter May had started working with fossil mounts at the Royal Ontario Museum, beginning in 1977, where he learned the techniques from paleontology technician Gordon Gyrmov and former WW2 Luftwaffe rocket-plane test pilot Rudy Zimmermann. May rose to become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 May’s first meeting with Lowell Dingus, Gene Gaffney, Jack MacIntosh and Phil Currie was on 30 January 1990 at the AMNH.</w:t>
      </w:r>
    </w:p>
    <w:p>
      <w:pPr>
        <w:pStyle w:val="BodyText"/>
        <w:rPr/>
      </w:pPr>
      <w:r>
        <w:rPr/>
        <w:t xml:space="preserve">On 28 March 1990, an agreement was made between Lowell Dingus, acting for the AMNH, and Peter May and Andrew Leitch, acting for RCI, to provide the fully mounted and painted cast skeletons of a rearing adult </w:t>
      </w:r>
      <w:r>
        <w:rPr>
          <w:i/>
          <w:iCs/>
        </w:rPr>
        <w:t>Barosaurus</w:t>
      </w:r>
      <w:r>
        <w:rPr/>
        <w:t xml:space="preserve">, a juvenile, and an </w:t>
      </w:r>
      <w:r>
        <w:rPr>
          <w:i/>
          <w:iCs/>
        </w:rPr>
        <w:t>Allosaurus</w:t>
      </w:r>
      <w:r>
        <w:rPr/>
        <w:t xml:space="preserve"> (Dingus 1990). The total agreed cost was $184,675 (equivalent to $472,000 in 2026 according to usinflationcalculator.com). This amount was made up of $72,721 for the adult </w:t>
      </w:r>
      <w:r>
        <w:rPr>
          <w:i/>
          <w:iCs/>
        </w:rPr>
        <w:t>Barosaurus</w:t>
      </w:r>
      <w:r>
        <w:rPr/>
        <w:t xml:space="preserve">, $75,136 for the juvenile, $16,660 for the </w:t>
      </w:r>
      <w:r>
        <w:rPr>
          <w:i/>
          <w:iCs/>
        </w:rPr>
        <w:t>Allosaurus</w:t>
      </w:r>
      <w:r>
        <w:rPr/>
        <w:t xml:space="preserve">, $15,411 for a duplicate model of the juvenile </w:t>
      </w:r>
      <w:r>
        <w:rPr>
          <w:i/>
          <w:iCs/>
        </w:rPr>
        <w:t>Barosaurus</w:t>
      </w:r>
      <w:r>
        <w:rPr/>
        <w:t xml:space="preserve"> for Dinosaur National Monument, and $4,748 for travel and transport. (Surprisingly, the small juvenile cost more than the adult!). The agreement was signed by Dingus on 28 March, by May and Leitch on 30 March, and by AMNH director William J, Moynihan on 3 April.</w:t>
      </w:r>
    </w:p>
    <w:p>
      <w:pPr>
        <w:pStyle w:val="BodyText"/>
        <w:rPr/>
      </w:pPr>
      <w:r>
        <w:rPr/>
        <w:t xml:space="preserve">In the fall 1990, the RCI crew took the repaired and cleaned </w:t>
      </w:r>
      <w:r>
        <w:rPr>
          <w:i/>
          <w:iCs/>
        </w:rPr>
        <w:t>Barosaurus</w:t>
      </w:r>
      <w:r>
        <w:rPr/>
        <w:t xml:space="preserve"> fossils in a semi truck from New York to Toronto, where they remained for the best part of a year. There, the bones were duplicated. First, they were coated with latex, which was then cured to form rubber molds (Figure 10). The bones were then cast, first with a layer of gel coat inside the molds, and then in various materials. As noted by 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vertebrae. (These fragile projections are rarely preserved intact.) The missing parts of the skeleton were mostly replaced by elements cast from the Carnegie </w:t>
      </w:r>
      <w:r>
        <w:rPr>
          <w:i/>
          <w:iCs/>
        </w:rPr>
        <w:t>Diplodocus</w:t>
      </w:r>
      <w:r>
        <w:rPr/>
        <w:t>, though some were fabricated in Toronto. Records do not show exactly which 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11).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mount (Figure 12). Also present were photographers including National Geographic’s Louie Psihoyos, a television crew, at least one observer from another museum, and a crowd of local workers on their lunch 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 xml:space="preserve">In November 1991, the work in Toronto was complete, and Blakelock Moving were contracted to ship the completed exhibit in sections for mounting to New York on 7 November (Clark 1991; Figure 13).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14).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C11 and C13 in Figures 1 and 14B and in other contemporary photos such as those of Dingus (1996:26) and Lindsay (1992:18–20). It was soon corrected, however, in a near-disastrous but ultimately successful late-night operation (Dingus 1996:28), and the resulting line of the neck </w:t>
      </w:r>
      <w:r>
        <w:rPr/>
        <w:t>is</w:t>
      </w:r>
      <w:r>
        <w:rPr/>
        <w:t xml:space="preserve"> smooth and elegant.</w:t>
      </w:r>
    </w:p>
    <w:p>
      <w:pPr>
        <w:pStyle w:val="BodyText"/>
        <w:rPr/>
      </w:pPr>
      <w:r>
        <w:rPr/>
        <w:t>In a non-technical children’s book simply titled, “</w:t>
      </w:r>
      <w:r>
        <w:rPr>
          <w:i/>
          <w:iCs/>
        </w:rPr>
        <w:t>Barosaurus</w:t>
      </w:r>
      <w:r>
        <w:rPr/>
        <w:t>”, 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w:t>
      </w:r>
      <w:r>
        <w:rPr/>
        <w:t>(</w:t>
      </w:r>
      <w:r>
        <w:rPr/>
        <w:t xml:space="preserve">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Heading2"/>
        <w:rPr/>
      </w:pPr>
      <w:bookmarkStart w:id="14" w:name="__RefHeading___Toc5632_2187837281"/>
      <w:bookmarkEnd w:id="14"/>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5" w:name="__RefHeading___Toc5356_68767826"/>
      <w:bookmarkEnd w:id="15"/>
      <w:r>
        <w:rPr/>
        <w:t>The composition of the mount</w:t>
      </w:r>
    </w:p>
    <w:p>
      <w:pPr>
        <w:pStyle w:val="Heading3"/>
        <w:numPr>
          <w:ilvl w:val="2"/>
          <w:numId w:val="5"/>
        </w:numPr>
        <w:rPr/>
      </w:pPr>
      <w:bookmarkStart w:id="16" w:name="__RefHeading___Toc16585_68767826"/>
      <w:bookmarkEnd w:id="16"/>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seems to be in error regarding numerous elements being modeled from scratch. A complete list of the elements of AMNH 6341 itself can be assembled from the published works and notes of McIntosh, old signage, and letters between Gilmore and the USNM (see below). Peter May recalls that with some exceptions discussed below, the missing bones were filled in with casts taken from molds made from the Utah Field House’s concrete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numPr>
          <w:ilvl w:val="2"/>
          <w:numId w:val="5"/>
        </w:numPr>
        <w:rPr/>
      </w:pPr>
      <w:bookmarkStart w:id="17" w:name="__RefHeading___Toc4995_537823704"/>
      <w:bookmarkEnd w:id="17"/>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with observations of materials on exhibition in the past and present, and in light of historical correspondence, it is possible to arrive at a complete list of material as follows:</w:t>
      </w:r>
    </w:p>
    <w:p>
      <w:pPr>
        <w:pStyle w:val="BodyText"/>
        <w:numPr>
          <w:ilvl w:val="0"/>
          <w:numId w:val="8"/>
        </w:numPr>
        <w:rPr/>
      </w:pPr>
      <w:r>
        <w:rPr/>
        <w:t>the posterior part of the neck (cervicals 8–16)</w:t>
      </w:r>
    </w:p>
    <w:p>
      <w:pPr>
        <w:pStyle w:val="BodyText"/>
        <w:numPr>
          <w:ilvl w:val="0"/>
          <w:numId w:val="8"/>
        </w:numPr>
        <w:rPr/>
      </w:pPr>
      <w:r>
        <w:rPr/>
        <w:t>all nine dorsal vertebrae (dorsals 1–9)</w:t>
      </w:r>
    </w:p>
    <w:p>
      <w:pPr>
        <w:pStyle w:val="BodyText"/>
        <w:numPr>
          <w:ilvl w:val="0"/>
          <w:numId w:val="8"/>
        </w:numPr>
        <w:rPr/>
      </w:pPr>
      <w:r>
        <w:rPr/>
        <w:t>the complete sacrum (sacral vertebrae 1–5)</w:t>
      </w:r>
    </w:p>
    <w:p>
      <w:pPr>
        <w:pStyle w:val="BodyText"/>
        <w:numPr>
          <w:ilvl w:val="0"/>
          <w:numId w:val="8"/>
        </w:numPr>
        <w:rPr/>
      </w:pPr>
      <w:r>
        <w:rPr/>
        <w:t>the anterior part of the tail (caudals 1–29)</w:t>
      </w:r>
    </w:p>
    <w:p>
      <w:pPr>
        <w:pStyle w:val="BodyText"/>
        <w:numPr>
          <w:ilvl w:val="0"/>
          <w:numId w:val="8"/>
        </w:numPr>
        <w:rPr/>
      </w:pPr>
      <w:bookmarkStart w:id="18" w:name="__DdeLink__31298_802501007"/>
      <w:r>
        <w:rPr/>
        <w:t>six partial ribs, of which one is the first or possibly second on the left side, and another is probably its counterpart</w:t>
      </w:r>
      <w:bookmarkEnd w:id="18"/>
    </w:p>
    <w:p>
      <w:pPr>
        <w:pStyle w:val="BodyText"/>
        <w:numPr>
          <w:ilvl w:val="0"/>
          <w:numId w:val="8"/>
        </w:numPr>
        <w:rPr/>
      </w:pPr>
      <w:r>
        <w:rPr/>
        <w:t>a single chevron, from further back than Ca13 and likely in the region Ca22–Ca28.</w:t>
      </w:r>
    </w:p>
    <w:p>
      <w:pPr>
        <w:pStyle w:val="BodyText"/>
        <w:numPr>
          <w:ilvl w:val="0"/>
          <w:numId w:val="8"/>
        </w:numPr>
        <w:rPr/>
      </w:pPr>
      <w:r>
        <w:rPr/>
        <w:t>right (not left as in McIntosh 2005:43) scapulocoracoid, fully fused together; distal end of left scapula; left coracoid</w:t>
      </w:r>
    </w:p>
    <w:p>
      <w:pPr>
        <w:pStyle w:val="BodyText"/>
        <w:numPr>
          <w:ilvl w:val="0"/>
          <w:numId w:val="8"/>
        </w:numPr>
        <w:rPr/>
      </w:pPr>
      <w:r>
        <w:rPr/>
        <w:t>right (not left as in McIntosh 2005:43) humerus</w:t>
      </w:r>
    </w:p>
    <w:p>
      <w:pPr>
        <w:pStyle w:val="BodyText"/>
        <w:numPr>
          <w:ilvl w:val="0"/>
          <w:numId w:val="8"/>
        </w:numPr>
        <w:rPr/>
      </w:pPr>
      <w:r>
        <w:rPr/>
        <w:t>right ilium complete except small part of the upper border; acetabular portion and “distal ends” of left ilium</w:t>
      </w:r>
    </w:p>
    <w:p>
      <w:pPr>
        <w:pStyle w:val="BodyText"/>
        <w:numPr>
          <w:ilvl w:val="0"/>
          <w:numId w:val="8"/>
        </w:numPr>
        <w:rPr/>
      </w:pPr>
      <w:r>
        <w:rPr/>
        <w:t>both pubes and ischia complete except parts of the proximal ends of both pubes and the right ischium</w:t>
      </w:r>
    </w:p>
    <w:p>
      <w:pPr>
        <w:pStyle w:val="BodyText"/>
        <w:numPr>
          <w:ilvl w:val="0"/>
          <w:numId w:val="8"/>
        </w:numPr>
        <w:rPr/>
      </w:pPr>
      <w:r>
        <w:rPr/>
        <w:t>complete right hindlimb (femur, tibia, fibula, astragalus)</w:t>
      </w:r>
    </w:p>
    <w:p>
      <w:pPr>
        <w:pStyle w:val="BodyText"/>
        <w:numPr>
          <w:ilvl w:val="0"/>
          <w:numId w:val="8"/>
        </w:numPr>
        <w:rPr/>
      </w:pPr>
      <w:r>
        <w:rPr/>
        <w:t>elements of the right pes: metatarsals I, II and V, phalanges I-I and V-I, two 2nd phalanges, one ungual</w:t>
      </w:r>
    </w:p>
    <w:p>
      <w:pPr>
        <w:pStyle w:val="BodyText"/>
        <w:numPr>
          <w:ilvl w:val="0"/>
          <w:numId w:val="8"/>
        </w:numPr>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15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6).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assignments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5B)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numPr>
          <w:ilvl w:val="2"/>
          <w:numId w:val="5"/>
        </w:numPr>
        <w:rPr/>
      </w:pPr>
      <w:bookmarkStart w:id="19" w:name="__RefHeading___Toc25854_1820571732"/>
      <w:bookmarkEnd w:id="19"/>
      <w:r>
        <w:rPr/>
        <w:t>Non-</w:t>
      </w:r>
      <w:r>
        <w:rPr>
          <w:i/>
          <w:iCs/>
        </w:rPr>
        <w:t>Barosaurus</w:t>
      </w:r>
      <w:r>
        <w:rPr/>
        <w:t xml:space="preserve"> material in the mount</w:t>
      </w:r>
    </w:p>
    <w:p>
      <w:pPr>
        <w:pStyle w:val="BodyText"/>
        <w:rPr>
          <w:lang w:val="en-US"/>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These new molds were then used to create several additional </w:t>
      </w:r>
      <w:r>
        <w:rPr>
          <w:i/>
          <w:iCs/>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lang w:val="en-US"/>
        </w:rPr>
        <w:t>With this in mind, we will now consider the source of specific elements of the cast.</w:t>
      </w:r>
    </w:p>
    <w:p>
      <w:pPr>
        <w:pStyle w:val="Heading3"/>
        <w:numPr>
          <w:ilvl w:val="2"/>
          <w:numId w:val="6"/>
        </w:numPr>
        <w:rPr/>
      </w:pPr>
      <w:bookmarkStart w:id="20" w:name="__RefHeading___Toc16587_68767826"/>
      <w:bookmarkEnd w:id="20"/>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16A–B).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16C).</w:t>
      </w:r>
    </w:p>
    <w:p>
      <w:pPr>
        <w:pStyle w:val="Heading3"/>
        <w:numPr>
          <w:ilvl w:val="2"/>
          <w:numId w:val="7"/>
        </w:numPr>
        <w:rPr/>
      </w:pPr>
      <w:bookmarkStart w:id="21" w:name="__RefHeading___Toc16589_68767826"/>
      <w:bookmarkEnd w:id="21"/>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an additional cervical vertebra (C7), at present it preserves the last nine cervical vertebrae. These are therefore considered to be C8–C16.</w:t>
      </w:r>
    </w:p>
    <w:p>
      <w:pPr>
        <w:pStyle w:val="BodyText"/>
        <w:rPr/>
      </w:pPr>
      <w:r>
        <w:rPr/>
        <w:t xml:space="preserve">The anterior part of the neck of the mount was completed using seven casts of anterior vertebrae from the Carnegie </w:t>
      </w:r>
      <w:r>
        <w:rPr>
          <w:i/>
          <w:iCs/>
        </w:rPr>
        <w:t>Diplodocus</w:t>
      </w:r>
      <w:r>
        <w:rPr/>
        <w:t xml:space="preserve">, but the anteriormost seven </w:t>
      </w:r>
      <w:r>
        <w:rPr>
          <w:i/>
          <w:iCs/>
        </w:rPr>
        <w:t>Diplodocus</w:t>
      </w:r>
      <w:r>
        <w:rPr/>
        <w:t xml:space="preserve">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 </w:t>
      </w:r>
      <w:r>
        <w:rPr>
          <w:i/>
          <w:iCs/>
        </w:rPr>
        <w:t>Diplodocus</w:t>
      </w:r>
      <w:r>
        <w:rPr/>
        <w:t xml:space="preserve"> cervicals was used to obtain a smoother transition. By comparison of </w:t>
      </w:r>
      <w:r>
        <w:rPr>
          <w:i/>
          <w:iCs/>
        </w:rPr>
        <w:t>Barosaurus</w:t>
      </w:r>
      <w:r>
        <w:rPr/>
        <w:t xml:space="preserve">-mounting photos (Figure 17) with Hatcher (1901:plate III) and photographs of various Carnegie </w:t>
      </w:r>
      <w:r>
        <w:rPr>
          <w:i/>
          <w:iCs/>
        </w:rPr>
        <w:t>Diplodocus</w:t>
      </w:r>
      <w:r>
        <w:rPr/>
        <w:t xml:space="preserve"> mounts, the anterior cervicals cast from </w:t>
      </w:r>
      <w:r>
        <w:rPr>
          <w:i/>
          <w:iCs/>
        </w:rPr>
        <w:t>Diplodocus</w:t>
      </w:r>
      <w:r>
        <w:rPr/>
        <w:t xml:space="preserve"> can be seen to be C3–6 and C8 (512 mm) — and presumably the atlas and axis, though these are not in place in Figures 13 and 17.</w:t>
      </w:r>
    </w:p>
    <w:p>
      <w:pPr>
        <w:pStyle w:val="BodyText"/>
        <w:rPr/>
      </w:pPr>
      <w:r>
        <w:rPr/>
        <w:t xml:space="preserve">To make matters more complicated, photographs show that the completed mount actually has 17 cervicals rather than 16 (e.g. Figure 1; Lindsay 1992:20–21; Taylor and Wedel 2016:figure 1). McIntosh (2005:45) implicitly left open the possibility that </w:t>
      </w:r>
      <w:r>
        <w:rPr>
          <w:i/>
          <w:iCs/>
        </w:rPr>
        <w:t>Barosaurus</w:t>
      </w:r>
      <w:r>
        <w:rPr/>
        <w:t xml:space="preserve"> had 17 cervicals, due to his uncertainty about the correct interpretation of the 9th</w:t>
      </w:r>
      <w:r>
        <w:rPr>
          <w:vertAlign w:val="superscript"/>
        </w:rPr>
        <w:t xml:space="preserve"> </w:t>
      </w:r>
      <w:r>
        <w:rPr/>
        <w:t>presacral, which he tentatively designated as the first dorsal vertebra but considered possibly the last cervical. However, the existence of a 17th cervical on this basis is predicated on a reduced dorsal count of eight, and the mounted skeleton has nine dorsals with free ribs. The additional cervical therefore appears to be an insert not warranted by the evidence available at the time of mounting.</w:t>
      </w:r>
    </w:p>
    <w:p>
      <w:pPr>
        <w:pStyle w:val="BodyText"/>
        <w:rPr/>
      </w:pPr>
      <w:r>
        <w:rPr/>
        <w:t xml:space="preserve">However, photos of the mounting process in the AMNH (e.g. Figure 13) show that the neck section used in the mount had only 14 cervical vertebrae — C3–16, not counting the atlas and axis which were not in place at that time but which, when added, would bring the total to 16. The assembly process was complex. The neck section containing the head and C1–16 was welded to the torso leaving a stretch of bare armature. The two halves of the seventeenth vertebra (visible on the right side of Figure 13) were then glued together around the armature, bridging the gap between the bones of the neck section and the torso. The special 17th vertebra can be seen in Figure 11B, distinctly darker than the cervicals above it and the dorsals below. Since there are no duplicate vertebrae in the neck, the special C17 must have come from elsewhere. Careful comparisons suggest it is a cast of C14 of the Carnegie </w:t>
      </w:r>
      <w:r>
        <w:rPr>
          <w:i/>
          <w:iCs/>
        </w:rPr>
        <w:t>Diplodocus</w:t>
      </w:r>
      <w:r>
        <w:rPr/>
        <w:t xml:space="preserve"> (see e.g. Hatcher 1901:plate III), supplied by DinoLab. The selection of C14 rather than C15, the last dorsal in </w:t>
      </w:r>
      <w:r>
        <w:rPr>
          <w:i/>
          <w:iCs/>
        </w:rPr>
        <w:t>Diplodocus</w:t>
      </w:r>
      <w:r>
        <w:rPr/>
        <w:t xml:space="preserve">, makes sense as C14 is more elongate and so a better morphological match for the </w:t>
      </w:r>
      <w:r>
        <w:rPr>
          <w:i/>
          <w:iCs/>
        </w:rPr>
        <w:t>Barosaurus</w:t>
      </w:r>
      <w:r>
        <w:rPr/>
        <w:t xml:space="preserve"> vertebrae that precede and follow it in the mounted skeleton.</w:t>
      </w:r>
    </w:p>
    <w:p>
      <w:pPr>
        <w:pStyle w:val="BodyText"/>
        <w:rPr/>
      </w:pPr>
      <w:r>
        <w:rPr/>
        <w:t xml:space="preserve">(Note: it is quite possible that </w:t>
      </w:r>
      <w:r>
        <w:rPr>
          <w:i/>
          <w:iCs/>
        </w:rPr>
        <w:t>Barosaurus</w:t>
      </w:r>
      <w:r>
        <w:rPr/>
        <w:t xml:space="preserve"> did indeed have 17 cervicals — or even more, as in the 18 of </w:t>
      </w:r>
      <w:r>
        <w:rPr>
          <w:i/>
          <w:iCs/>
        </w:rPr>
        <w:t>Mamenchisaurus youngi</w:t>
      </w:r>
      <w:r>
        <w:rPr/>
        <w:t xml:space="preserve"> (Ouyang and Ye 2002:24–30) or the 19 of </w:t>
      </w:r>
      <w:r>
        <w:rPr>
          <w:i/>
          <w:iCs/>
        </w:rPr>
        <w:t>Mamenchisaurus hochuanensis</w:t>
      </w:r>
      <w:r>
        <w:rPr/>
        <w:t xml:space="preserve"> (Young and Zhao 1972). Currently available </w:t>
      </w:r>
      <w:r>
        <w:rPr>
          <w:i/>
          <w:iCs/>
        </w:rPr>
        <w:t>Barosaurus</w:t>
      </w:r>
      <w:r>
        <w:rPr/>
        <w:t xml:space="preserve"> fossils are not complete enough to determine the point.)</w:t>
      </w:r>
    </w:p>
    <w:p>
      <w:pPr>
        <w:pStyle w:val="BodyText"/>
        <w:rPr/>
      </w:pPr>
      <w:r>
        <w:rPr/>
        <w:t xml:space="preserve">CM 84, the specimen that forms most of the Carnegie mount, includes C2–8 (and the subsequent cervicals), but not the atlas (C1). As discussed by Taylor et al. (2025:71–72), it is not clear which specimen supplied the atlas in the Carnegie mount, and it seems most likely that this element was a sculpture not based on any specific fossil specimen — and so the same would be true in the mounted </w:t>
      </w:r>
      <w:r>
        <w:rPr>
          <w:i/>
          <w:iCs/>
        </w:rPr>
        <w:t>Barosaurus</w:t>
      </w:r>
      <w:r>
        <w:rPr/>
        <w:t>.</w:t>
      </w:r>
    </w:p>
    <w:p>
      <w:pPr>
        <w:pStyle w:val="Heading3"/>
        <w:numPr>
          <w:ilvl w:val="2"/>
          <w:numId w:val="1"/>
        </w:numPr>
        <w:rPr/>
      </w:pPr>
      <w:bookmarkStart w:id="22" w:name="__RefHeading___Toc2466_2187837281"/>
      <w:bookmarkEnd w:id="22"/>
      <w:r>
        <w:rPr/>
        <w:t>Torso, sacrum and tail</w:t>
      </w:r>
    </w:p>
    <w:p>
      <w:pPr>
        <w:pStyle w:val="BodyText"/>
        <w:rPr/>
      </w:pPr>
      <w:r>
        <w:rPr/>
        <w:t>The complete dorsal sequence (of nine vertebrae) and complete sacrum (of five vertebrae) are present in AMNH 6341. However, McIntosh’s (2005:43) account says that only “six ribs and fragments” were included from a total of 18 (two per dorsal vertebra), and as noted above the identification of these ribs is uncertain.</w:t>
      </w:r>
    </w:p>
    <w:p>
      <w:pPr>
        <w:pStyle w:val="BodyText"/>
        <w:rPr/>
      </w:pPr>
      <w:r>
        <w:rPr/>
        <w:t xml:space="preserve">AMNH 6341 includes the first 29 caudals (or perhaps caudals 1–20 and 22–30, see above) but only one chevron. The missing caudals and chevrons were most likely provided once more by casts of the Carnegie </w:t>
      </w:r>
      <w:r>
        <w:rPr>
          <w:i/>
          <w:iCs/>
        </w:rPr>
        <w:t>Diplodocus</w:t>
      </w:r>
      <w:r>
        <w:rPr/>
        <w:t>.</w:t>
      </w:r>
    </w:p>
    <w:p>
      <w:pPr>
        <w:pStyle w:val="Heading3"/>
        <w:numPr>
          <w:ilvl w:val="2"/>
          <w:numId w:val="1"/>
        </w:numPr>
        <w:rPr/>
      </w:pPr>
      <w:bookmarkStart w:id="23" w:name="__RefHeading___Toc2470_2187837281"/>
      <w:bookmarkEnd w:id="23"/>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instead of one,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molds,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numPr>
          <w:ilvl w:val="2"/>
          <w:numId w:val="5"/>
        </w:numPr>
        <w:rPr/>
      </w:pPr>
      <w:bookmarkStart w:id="24" w:name="__RefHeading___Toc25856_1820571732"/>
      <w:bookmarkEnd w:id="24"/>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w:t>
      </w:r>
      <w:r>
        <w:rPr/>
        <w:t xml:space="preserve">the </w:t>
      </w:r>
      <w:r>
        <w:rPr/>
        <w:t xml:space="preserve">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w:t>
      </w:r>
      <w:r>
        <w:rPr/>
        <w:t xml:space="preserve">on both the original mounted </w:t>
      </w:r>
      <w:r>
        <w:rPr>
          <w:i/>
          <w:iCs/>
        </w:rPr>
        <w:t>Diplodocus</w:t>
      </w:r>
      <w:r>
        <w:rPr/>
        <w:t xml:space="preserve"> and the casts</w:t>
      </w:r>
      <w:r>
        <w:rPr/>
        <w:t xml:space="preserve">). And the </w:t>
      </w:r>
      <w:r>
        <w:rPr>
          <w:i/>
          <w:iCs/>
        </w:rPr>
        <w:t>Barosaurus</w:t>
      </w:r>
      <w:r>
        <w:rPr/>
        <w:t xml:space="preserve"> cast probably used second-generation casts of these sculptures.</w:t>
      </w:r>
    </w:p>
    <w:p>
      <w:pPr>
        <w:pStyle w:val="Heading1"/>
        <w:numPr>
          <w:ilvl w:val="0"/>
          <w:numId w:val="3"/>
        </w:numPr>
        <w:rPr/>
      </w:pPr>
      <w:bookmarkStart w:id="25" w:name="__RefHeading___Toc3401_68767826"/>
      <w:bookmarkEnd w:id="25"/>
      <w:r>
        <w:rPr/>
        <w:t>Discussion</w:t>
      </w:r>
    </w:p>
    <w:p>
      <w:pPr>
        <w:pStyle w:val="Heading2"/>
        <w:rPr/>
      </w:pPr>
      <w:bookmarkStart w:id="26" w:name="__RefHeading___Toc2476_2187837281"/>
      <w:bookmarkEnd w:id="26"/>
      <w:r>
        <w:rPr/>
        <w:t>Rearing pose</w:t>
      </w:r>
    </w:p>
    <w:p>
      <w:pPr>
        <w:pStyle w:val="BodyText"/>
        <w:rPr/>
      </w:pPr>
      <w:r>
        <w:rPr/>
        <w:t xml:space="preserve">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18),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xml:space="preserve">, or any sauropod, practiced parental care </w:t>
      </w:r>
      <w:r>
        <w:rPr/>
        <w:t>(Sander et al. 2008)</w:t>
      </w:r>
      <w:r>
        <w:rPr/>
        <w:t>.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 xml:space="preserve">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w:t>
      </w:r>
      <w:r>
        <w:rPr/>
        <w:t>mount’s</w:t>
      </w:r>
      <w:r>
        <w:rPr/>
        <w:t xml:space="preserve"> critics were encouraging the public to think about the controversy for themselves.</w:t>
      </w:r>
    </w:p>
    <w:p>
      <w:pPr>
        <w:pStyle w:val="Heading2"/>
        <w:rPr/>
      </w:pPr>
      <w:bookmarkStart w:id="27" w:name="__RefHeading___Toc3786_1986291683"/>
      <w:bookmarkEnd w:id="27"/>
      <w:r>
        <w:rPr/>
        <w:t>A short history of rearing sauropods</w:t>
      </w:r>
    </w:p>
    <w:p>
      <w:pPr>
        <w:pStyle w:val="BodyText"/>
        <w:rPr/>
      </w:pPr>
      <w:r>
        <w:rPr/>
        <w:t xml:space="preserve">The notion of rearing sauropods has a long heritage.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on land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t xml:space="preserve">” (= </w:t>
      </w:r>
      <w:r>
        <w:rPr>
          <w:i/>
          <w:iCs/>
        </w:rPr>
        <w:t>Neuquensaurus</w:t>
      </w:r>
      <w:r>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 1978). In his widely read popular-science book </w:t>
      </w:r>
      <w:r>
        <w:rPr>
          <w:i/>
          <w:iCs/>
        </w:rPr>
        <w:t>The Dinosaur Heresies</w:t>
      </w:r>
      <w:r>
        <w:rPr/>
        <w:t xml:space="preserve">, Bakker (1986:190–192) reiterated and expanded his own argument that diplodocids, including </w:t>
      </w:r>
      <w:r>
        <w:rPr>
          <w:i/>
          <w:iCs/>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influential painting </w:t>
      </w:r>
      <w:r>
        <w:rPr>
          <w:i/>
          <w:iCs/>
        </w:rPr>
        <w:t>Ambush at Como Creek</w:t>
      </w:r>
      <w:r>
        <w:rPr/>
        <w:t xml:space="preserve"> (see above), argued that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t xml:space="preserve"> (considered by McIntosh et al. (1996) to be a species of </w:t>
      </w:r>
      <w:r>
        <w:rPr>
          <w:i/>
          <w:iCs/>
        </w:rPr>
        <w:t>Camarasaurus</w:t>
      </w:r>
      <w:r>
        <w:rPr/>
        <w:t xml:space="preserve"> but regarded as its own genus by Tschopp et al. 2014). Jensen (1988:124–128)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supracostal plates in the sacral vertebrae, and 20-degree forward rotation of the ilia relative to the sacrum. While some of these features do not seem directly related to rearing and others are likely age-related, the rotation of the ilium remains unique and is difficult to interpret as anything other than a rearing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biomechanically justified.</w:t>
      </w:r>
    </w:p>
    <w:p>
      <w:pPr>
        <w:pStyle w:val="Heading2"/>
        <w:rPr/>
      </w:pPr>
      <w:bookmarkStart w:id="28" w:name="__RefHeading___Toc11689_675290491"/>
      <w:bookmarkEnd w:id="28"/>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in </w:t>
      </w:r>
      <w:r>
        <w:rPr>
          <w:i/>
          <w:iCs/>
        </w:rPr>
        <w:t>Prehistoric Planet</w:t>
      </w:r>
      <w:r>
        <w:rPr/>
        <w:t xml:space="preserve"> (2022). Episode 2 (</w:t>
      </w:r>
      <w:r>
        <w:rPr>
          <w:i/>
          <w:iCs/>
        </w:rPr>
        <w:t>Deserts</w:t>
      </w:r>
      <w:r>
        <w:rPr/>
        <w:t xml:space="preserve">) included a lengthy scene beginning at four minutes, in which </w:t>
      </w:r>
      <w:r>
        <w:rPr>
          <w:i/>
          <w:iCs/>
        </w:rPr>
        <w:t>Dreadnoughtus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(Adam Smith, pers. comm., 2024), including 50 versions of </w:t>
      </w:r>
      <w:r>
        <w:rPr>
          <w:i/>
          <w:iCs/>
        </w:rPr>
        <w:t>Brachiosaurus</w:t>
      </w:r>
      <w:r>
        <w:rPr/>
        <w:t xml:space="preserve">, 38 of </w:t>
      </w:r>
      <w:r>
        <w:rPr>
          <w:i/>
          <w:iCs/>
        </w:rPr>
        <w:t>Apatosaurus</w:t>
      </w:r>
      <w:r>
        <w:rPr/>
        <w:t xml:space="preserve"> and 22 of </w:t>
      </w:r>
      <w:r>
        <w:rPr>
          <w:i/>
          <w:iCs/>
        </w:rPr>
        <w:t>Diplodocus</w:t>
      </w:r>
      <w:r>
        <w:rPr/>
        <w:t xml:space="preserve"> — but not a single </w:t>
      </w:r>
      <w:r>
        <w:rPr>
          <w:i/>
          <w:iCs/>
        </w:rPr>
        <w:t>Barosaurus</w:t>
      </w:r>
      <w:r>
        <w:rPr/>
        <w:t xml:space="preserve"> toy. The only </w:t>
      </w:r>
      <w:r>
        <w:rPr>
          <w:i/>
          <w:iCs/>
        </w:rPr>
        <w:t>Barosaurus</w:t>
      </w:r>
      <w:r>
        <w:rPr/>
        <w:t xml:space="preserve"> “toys” on the market at the time of writing seem to be large museum-quality maquettes costing $500 or more. A Lego model of the rearing AMNH </w:t>
      </w:r>
      <w:r>
        <w:rPr>
          <w:i/>
          <w:iCs/>
        </w:rPr>
        <w:t>Barosaurus</w:t>
      </w:r>
      <w:r>
        <w:rPr/>
        <w:t xml:space="preserve"> has been created by Ambrosino (a pseudonym) and its instructions made freely available (Ambrosino 2023; Figure 19).</w:t>
      </w:r>
    </w:p>
    <w:p>
      <w:pPr>
        <w:pStyle w:val="Heading2"/>
        <w:rPr/>
      </w:pPr>
      <w:bookmarkStart w:id="29" w:name="__RefHeading___Toc21934_68767826"/>
      <w:bookmarkEnd w:id="29"/>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rPr/>
      </w:pPr>
      <w:bookmarkStart w:id="30" w:name="__RefHeading___Toc3403_68767826"/>
      <w:bookmarkEnd w:id="30"/>
      <w:r>
        <w:rPr/>
        <w:t>Acknowledgements</w:t>
      </w:r>
    </w:p>
    <w:p>
      <w:pPr>
        <w:pStyle w:val="BodyText"/>
        <w:rPr/>
      </w:pPr>
      <w:r>
        <w:rPr/>
        <w:t xml:space="preserve">We are grateful to Gregory S. Paul for permission to reproduce his artwork </w:t>
      </w:r>
      <w:r>
        <w:rPr>
          <w:i/>
          <w:iCs/>
        </w:rPr>
        <w:t>Ambush at Como Creek</w:t>
      </w:r>
      <w:r>
        <w:rPr/>
        <w:t xml:space="preserve"> (Figure 7), to Scott Hartman (University of Wisconsin-Madison) for allowing us to use his </w:t>
      </w:r>
      <w:r>
        <w:rPr>
          <w:i/>
          <w:iCs/>
        </w:rPr>
        <w:t>Barosaurus lentus</w:t>
      </w:r>
      <w:r>
        <w:rPr/>
        <w:t xml:space="preserve"> skeletal reconstruction in Figure 15, to John Gurche for permission to reproduce his life restoration of the rearing </w:t>
      </w:r>
      <w:r>
        <w:rPr>
          <w:i/>
          <w:iCs/>
        </w:rPr>
        <w:t>Barosaurus</w:t>
      </w:r>
      <w:r>
        <w:rPr/>
        <w:t xml:space="preserve"> (Figure 18), and to Ambrosino for permission to use a photograph of his Lego </w:t>
      </w:r>
      <w:r>
        <w:rPr>
          <w:i/>
          <w:iCs/>
        </w:rPr>
        <w:t>Barosaurus</w:t>
      </w:r>
      <w:r>
        <w:rPr/>
        <w:t xml:space="preserve"> model (Figure 19). Jarrod Davis created the high-quality image of Paul’s </w:t>
      </w:r>
      <w:r>
        <w:rPr>
          <w:i/>
          <w:iCs/>
        </w:rPr>
        <w:t>Ambush</w:t>
      </w:r>
      <w:r>
        <w:rPr/>
        <w:t xml:space="preserve"> painting by combining several scans created by Mathew J. Wedel (Western University of Health Sciences); we thank them both. Mick Ellison (AMNH) kindly photographed for us both the 1939 public gallery exhibit panel (Figure 6) and the prototype model (Figure 9), having had the model repaired. Photography of the model was courtesy of the AMNH Main Archives.</w:t>
      </w:r>
    </w:p>
    <w:p>
      <w:pPr>
        <w:pStyle w:val="BodyText"/>
        <w:rPr/>
      </w:pPr>
      <w:r>
        <w:rPr/>
        <w:t xml:space="preserve">Melissa Posen, Dingus’s administrative assistant on the </w:t>
      </w:r>
      <w:r>
        <w:rPr>
          <w:i/>
          <w:iCs/>
        </w:rPr>
        <w:t>Barosaurus</w:t>
      </w:r>
      <w:r>
        <w:rPr/>
        <w:t xml:space="preserve"> mounting project, took most of the photographs of the initial assembly in Toronto. Denis Finnin, the Museum Photographer, took most of the photos of the assembly in the Rotunda. It is likely that their work is included in one or more of our illustrations, but individual photo credits have been lost.</w:t>
      </w:r>
    </w:p>
    <w:p>
      <w:pPr>
        <w:pStyle w:val="BodyText"/>
        <w:rPr/>
      </w:pPr>
      <w:r>
        <w:rPr/>
        <w:t>Mai Reitmeyer (Department of Library Services, AMNH) helped us to obtain historical photographs. Kiana Clark (AMNH Vertebrate Paleontology Archives), provided numerous historical documents and photographs. Abby Telfer (United States National Museum), provided helpful documents in establish the early history of the AMNH 6341 material. ReBecca Hunt-Forster (Dinosaur National Monument) provided an invaluable archive of correspondence relating to the early years of the quarry. Amelia Zietlow (Richard Gilder Graduate School at the AMNH) provided helpful photographs and information about the present public exhibits (Figure 8). We thank Ray Wilhite (Auburn University College of Veterinary Medicine) and Brooks Britt and Rod Scheetz (both Brigham Young University) for help in accessing the archived notebooks of John S. McIntosh. Matt Wedel helped with the interpretation and identification of some vertebrae.</w:t>
      </w:r>
    </w:p>
    <w:p>
      <w:pPr>
        <w:pStyle w:val="BodyText"/>
        <w:rPr/>
      </w:pPr>
      <w:r>
        <w:rPr/>
        <w:t>Carl Mehling (AMNH) searched collections for the missing C7 and concluded it was absent. Mick Ellison, Lynton Gardiner, Jack Horner (Chapman University), Carl Mehling, Gregory S. Paul. Paul Sereno (University of Chicago), Adam Smith (Nottingham Natural History Museum) and Abby Telfer (USNM) allowed us to cite personal communications.</w:t>
      </w:r>
      <w:r>
        <w:br w:type="page"/>
      </w:r>
    </w:p>
    <w:p>
      <w:pPr>
        <w:pStyle w:val="Heading1"/>
        <w:numPr>
          <w:ilvl w:val="0"/>
          <w:numId w:val="3"/>
        </w:numPr>
        <w:spacing w:before="0" w:after="142"/>
        <w:rPr/>
      </w:pPr>
      <w:bookmarkStart w:id="31" w:name="__RefHeading___Toc3405_68767826"/>
      <w:bookmarkEnd w:id="31"/>
      <w:r>
        <w:rPr/>
        <w:t>References</w:t>
      </w:r>
    </w:p>
    <w:p>
      <w:pPr>
        <w:pStyle w:val="Reference"/>
        <w:rPr/>
      </w:pPr>
      <w:r>
        <w:rPr/>
        <w:t xml:space="preserve">Alexander, R. McNeill. 1985. Mechanics of posture and gait of some large dinosaurs: </w:t>
      </w:r>
      <w:r>
        <w:rPr>
          <w:i/>
          <w:iCs/>
        </w:rPr>
        <w:t>Zoological Journal of the Linnean Society</w:t>
      </w:r>
      <w:r>
        <w:rPr/>
        <w:t xml:space="preserve"> </w:t>
      </w:r>
      <w:r>
        <w:rPr>
          <w:b/>
          <w:bCs/>
        </w:rPr>
        <w:t>83</w:t>
      </w:r>
      <w:r>
        <w:rPr/>
        <w:t>:1–25.</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Reproduced on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Clark, Robert J. 1991. Letter to Peter May, Research Casting International. 28 October 1991. Department of Vertebrate Paleontology building and exhibit records, VPA 100, Series 3, Box 28, Folder 35, American Museum of Natural History Vertebrate Paleontology Archive.</w:t>
      </w:r>
    </w:p>
    <w:p>
      <w:pPr>
        <w:pStyle w:val="Reference"/>
        <w:rPr/>
      </w:pPr>
      <w:r>
        <w:rPr/>
        <w:t>Coggeshall, Arthur S. 1924. Letter to Charles W. Gilmore reporting that neck section is ready to be shipped from Caregie Museum to USNM. About 21 October 1924.</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Dingus, Lowell. 1990. Letter of agreement to Peter May and Andrew Leitch, Research Casting International. 28 March 1990. Department of Vertebrate Paleontology building and exhibit records, VPA 100, Series 3, Box 28, Folder 35, American Museum of Natural History Vertebrate Paleontology Archive.</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1922c. Report of Work Done by the Carnegie Museum at the Dinosaur National Monument in Uinta County, Utah, under the Supervision of Earl Douglass, in the year 1922. 24 March 1923.</w:t>
      </w:r>
    </w:p>
    <w:p>
      <w:pPr>
        <w:pStyle w:val="Reference"/>
        <w:rPr/>
      </w:pPr>
      <w:r>
        <w:rPr/>
        <w:t>Douglass, Earl. 1923. Report of Work Done by the Carnegie Museum at the Dinosaur National Monument in Uinta County, Utah, under the Supervision of Earl Douglass, in the year 1922. 24 March 1923. 2 pages.</w:t>
      </w:r>
    </w:p>
    <w:p>
      <w:pPr>
        <w:pStyle w:val="Reference"/>
        <w:rPr/>
      </w:pPr>
      <w:r>
        <w:rPr/>
        <w:t>Galiano, Henry. 1990. Letter to James “Chip” Jeffries, Ralph Appelbaum Associates. 22 March 1990. Department of Vertebrate Paleontology building and exhibit records, VPA 100, Series 3, Box 28, Folder 35, American Museum of Natural History Vertebrate Paleontology Archive.</w:t>
      </w:r>
    </w:p>
    <w:p>
      <w:pPr>
        <w:pStyle w:val="Reference"/>
        <w:rPr/>
      </w:pPr>
      <w:r>
        <w:rPr/>
        <w:t>Gilmore, Charles W. 1923a. Handwritten letter to William de C. Ravenel briefly summarising the outcome of the field season at the Dinosaur National Monument quarry. 8 August 1923.</w:t>
      </w:r>
    </w:p>
    <w:p>
      <w:pPr>
        <w:pStyle w:val="Reference"/>
        <w:rPr/>
      </w:pPr>
      <w:r>
        <w:rPr/>
        <w:t>Gilmore, Charles W. 1923b.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2" w:name="__DdeLink__2788_55120580"/>
      <w:r>
        <w:rPr>
          <w:i/>
          <w:iCs/>
        </w:rPr>
        <w:t>Proceedings of the United States National Museum</w:t>
      </w:r>
      <w:bookmarkEnd w:id="32"/>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Huene, Friedrich von. 1929. Die Besonderheit der Titanosaurier [The characteristics of titanosaurs]. </w:t>
      </w:r>
      <w:r>
        <w:rPr>
          <w:i/>
          <w:iCs/>
        </w:rPr>
        <w:t>Centralblatt für Mineralogie, Geologie und Palaontologie</w:t>
      </w:r>
      <w:r>
        <w:rPr/>
        <w:t xml:space="preserve"> </w:t>
      </w:r>
      <w:r>
        <w:rPr>
          <w:b/>
          <w:bCs/>
        </w:rPr>
        <w:t>1929(B)</w:t>
      </w:r>
      <w:r>
        <w:rPr/>
        <w:t>:493–499.</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Janensch, Werner. 1950. Die Skelettrekonstruktion von </w:t>
      </w:r>
      <w:r>
        <w:rPr>
          <w:i/>
          <w:iCs/>
        </w:rPr>
        <w:t>Brachiosaurus brancai</w:t>
      </w:r>
      <w:r>
        <w:rPr/>
        <w:t xml:space="preserve">. </w:t>
      </w:r>
      <w:r>
        <w:rPr>
          <w:i/>
          <w:iCs/>
        </w:rPr>
        <w:t>Palaeontographica</w:t>
      </w:r>
      <w:r>
        <w:rPr/>
        <w:t xml:space="preserve"> (Supplement 7) </w:t>
      </w:r>
      <w:r>
        <w:rPr>
          <w:b/>
          <w:bCs/>
        </w:rPr>
        <w:t>3</w:t>
      </w:r>
      <w:r>
        <w:rPr/>
        <w:t>:97–103, and plates VI–VIII.</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t xml:space="preserve"> </w:t>
      </w:r>
      <w:r>
        <w:rPr>
          <w:b/>
          <w:bCs/>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 xml:space="preserve">:81–86. </w:t>
      </w:r>
      <w:hyperlink r:id="rId9">
        <w:r>
          <w:rPr>
            <w:rStyle w:val="Hyperlink"/>
          </w:rPr>
          <w:t>doi:10.2475/ajs.s3-39.229.81</w:t>
        </w:r>
      </w:hyperlink>
    </w:p>
    <w:p>
      <w:pPr>
        <w:pStyle w:val="Reference"/>
        <w:rPr/>
      </w:pPr>
      <w:r>
        <w:rPr/>
        <w:t xml:space="preserve">Marsh, Othniel C. 1891. Restoration of </w:t>
      </w:r>
      <w:r>
        <w:rPr>
          <w:i/>
          <w:iCs/>
        </w:rPr>
        <w:t>Triceratops</w:t>
      </w:r>
      <w:r>
        <w:rPr/>
        <w:t xml:space="preserve"> (with plates XV and XVI). </w:t>
      </w:r>
      <w:r>
        <w:rPr>
          <w:i/>
          <w:iCs/>
        </w:rPr>
        <w:t>American Journal of Science</w:t>
      </w:r>
      <w:r>
        <w:rPr/>
        <w:t xml:space="preserve">, 3rd series, </w:t>
      </w:r>
      <w:r>
        <w:rPr>
          <w:b/>
          <w:bCs/>
        </w:rPr>
        <w:t>41(244)</w:t>
      </w:r>
      <w:r>
        <w:rPr/>
        <w:t>:339–342.</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3" w:name="__DdeLink__16582_68767826"/>
      <w:r>
        <w:rPr/>
        <w:t>Nieuwland</w:t>
      </w:r>
      <w:bookmarkEnd w:id="33"/>
      <w:r>
        <w:rPr/>
        <w:t xml:space="preserve">, Ilja. 2019. </w:t>
      </w:r>
      <w:r>
        <w:rPr>
          <w:i/>
          <w:iCs/>
        </w:rPr>
        <w:t xml:space="preserve">American dinosaur abroad: a cultural history of Carnegie’s plaster </w:t>
      </w:r>
      <w:r>
        <w:rPr/>
        <w:t>Diplodocus.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10">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Osborn, Henry F. 1923. Letter to Charles D. Walcott with vague but ominous contents. 14 April 1923.</w:t>
      </w:r>
    </w:p>
    <w:p>
      <w:pPr>
        <w:pStyle w:val="Reference"/>
        <w:rPr/>
      </w:pPr>
      <w:r>
        <w:rPr/>
        <w:t xml:space="preserve">Osborn, Henry F.,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11">
        <w:r>
          <w:rPr>
            <w:rStyle w:val="Hyperlink"/>
          </w:rPr>
          <w:t>doi:10.1130/GSAB-30-379</w:t>
        </w:r>
      </w:hyperlink>
    </w:p>
    <w:p>
      <w:pPr>
        <w:pStyle w:val="Reference"/>
        <w:rPr/>
      </w:pPr>
      <w:r>
        <w:rPr/>
        <w:t xml:space="preserve">Ouyang Hui and Ye Yong. 2002. </w:t>
      </w:r>
      <w:r>
        <w:rPr>
          <w:i/>
          <w:iCs/>
        </w:rPr>
        <w:t xml:space="preserve">The first mamenchisaurian skeleton with complete skull: </w:t>
      </w:r>
      <w:r>
        <w:rPr/>
        <w:t>Mamenchisaurus youngi. 111 pages + 20 plates. Sichuan Science and Technology Press, Chengdu.</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Sander, P. Martin, Christian Peitz, Frankie D. Jackson and Luis M. Chiappe. 2008. Upper Cretaceous titanosaur nesting sites and their implications for sauropod dinosaur reproductive biology. </w:t>
      </w:r>
      <w:r>
        <w:rPr>
          <w:i/>
          <w:iCs/>
        </w:rPr>
        <w:t>Palaeontographica Abteilung A</w:t>
      </w:r>
      <w:r>
        <w:rPr/>
        <w:t xml:space="preserve"> </w:t>
      </w:r>
      <w:r>
        <w:rPr>
          <w:b/>
          <w:bCs/>
        </w:rPr>
        <w:t>284</w:t>
      </w:r>
      <w:r>
        <w:rPr/>
        <w:t>:69–107. doi:10.1127/pala/284/2008/69</w:t>
      </w:r>
    </w:p>
    <w:p>
      <w:pPr>
        <w:pStyle w:val="Reference"/>
        <w:rPr/>
      </w:pPr>
      <w:r>
        <w:rPr/>
        <w:t xml:space="preserve">Smith, Adam S. (with contributions from 20 other authors). 2007. Dinosaur Toy Blog. </w:t>
      </w:r>
      <w:hyperlink r:id="rId12">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2016. The neck of </w:t>
      </w:r>
      <w:r>
        <w:rPr>
          <w:i/>
          <w:iCs/>
        </w:rPr>
        <w:t>Barosaurus</w:t>
      </w:r>
      <w:r>
        <w:rPr/>
        <w:t xml:space="preserve">: longer, wider and weirder than those of </w:t>
      </w:r>
      <w:r>
        <w:rPr>
          <w:i/>
          <w:iCs/>
        </w:rPr>
        <w:t>Diplodocus</w:t>
      </w:r>
      <w:r>
        <w:rPr/>
        <w:t xml:space="preserve"> and other diplodocines. </w:t>
      </w:r>
      <w:r>
        <w:rPr>
          <w:i/>
          <w:iCs/>
        </w:rPr>
        <w:t>PeerJ PrePrints</w:t>
      </w:r>
      <w:r>
        <w:rPr/>
        <w:t xml:space="preserve"> 1:e67v2. doi:10.7287/peerj.preprints.67v2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3">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t xml:space="preserve">. </w:t>
      </w:r>
      <w:r>
        <w:rPr>
          <w:i/>
          <w:iCs/>
        </w:rPr>
        <w:t>Annals of the Carnegie Museum</w:t>
      </w:r>
      <w:r>
        <w:rPr/>
        <w:t xml:space="preserve"> </w:t>
      </w:r>
      <w:r>
        <w:rPr>
          <w:b/>
          <w:bCs/>
        </w:rPr>
        <w:t>91(1)</w:t>
      </w:r>
      <w:r>
        <w:rPr/>
        <w:t>:55–91. doi:10.2992/007.091.0104</w:t>
      </w:r>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4">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 XXXXX is this right?</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Wetmore, F. Alexander. 1933. Letter to George H. Sherwood stating that </w:t>
      </w:r>
      <w:r>
        <w:rPr>
          <w:i/>
          <w:iCs/>
        </w:rPr>
        <w:t>Barosaurus</w:t>
      </w:r>
      <w:r>
        <w:rPr/>
        <w:t xml:space="preserve"> material had been sent to the AMNH.</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Reference"/>
        <w:rPr/>
      </w:pPr>
      <w:r>
        <w:rPr/>
        <w:t xml:space="preserve">Young, Chung-Chien, and X. Zhao. 1972. [Chinese title. Paper is a description of the type material of </w:t>
      </w:r>
      <w:r>
        <w:rPr>
          <w:i/>
          <w:iCs/>
        </w:rPr>
        <w:t>Mamenchisaurus hochuanensis</w:t>
      </w:r>
      <w:r>
        <w:rPr/>
        <w:t xml:space="preserve">]. Institute of Vertebrate Paleontology and Paleoanthropology Monograph Series I, No. 8:1–30. English translation by W. Downs. </w:t>
      </w:r>
      <w:hyperlink r:id="rId15">
        <w:r>
          <w:rPr>
            <w:rStyle w:val="Hyperlink"/>
          </w:rPr>
          <w:t>https://naturalhistory.si.edu/sites/default/files/media/translated_publications/Young%26amp%3BZhao_72.pdf</w:t>
        </w:r>
      </w:hyperlink>
      <w:r>
        <w:rPr/>
        <w:t xml:space="preserve"> </w:t>
      </w:r>
      <w:r>
        <w:br w:type="page"/>
      </w:r>
    </w:p>
    <w:p>
      <w:pPr>
        <w:pStyle w:val="Heading1"/>
        <w:numPr>
          <w:ilvl w:val="0"/>
          <w:numId w:val="3"/>
        </w:numPr>
        <w:spacing w:before="0" w:after="142"/>
        <w:rPr/>
      </w:pPr>
      <w:bookmarkStart w:id="34" w:name="__RefHeading___Toc3407_68767826"/>
      <w:bookmarkEnd w:id="34"/>
      <w:r>
        <w:rPr/>
        <w:t>Figure Captions</w:t>
      </w:r>
    </w:p>
    <w:p>
      <w:pPr>
        <w:pStyle w:val="FigureCaption"/>
        <w:rPr/>
      </w:pPr>
      <w:r>
        <w:rPr>
          <w:b/>
          <w:bCs/>
        </w:rPr>
        <w:t>Figure 1.</w:t>
      </w:r>
      <w:r>
        <w:rPr/>
        <w:t xml:space="preserve"> The mounted skeleton of </w:t>
      </w:r>
      <w:r>
        <w:rPr>
          <w:i/>
          <w:iCs/>
        </w:rPr>
        <w:t>Barosaurus lentus</w:t>
      </w:r>
      <w:r>
        <w:rPr/>
        <w:t xml:space="preserve"> AMNH 6341 in the Theodore Roosevelt Rotunda of the American Museum of Natural History, New York, as it appeared after the initial mounting and before repairs to the middle of the neck (see text). Photograph provided by Department of Vertebrate Paleontology Archive, Copyright © AMNH.</w:t>
      </w:r>
    </w:p>
    <w:p>
      <w:pPr>
        <w:pStyle w:val="FigureCaption"/>
        <w:rPr/>
      </w:pPr>
      <w:r>
        <w:rPr>
          <w:b/>
          <w:bCs/>
        </w:rPr>
        <w:t>Figure 2.</w:t>
      </w:r>
      <w:r>
        <w:rPr/>
        <w:t xml:space="preserve"> Earl Douglass, aged 60, at the Carnegie Quarry in August 1922. He is seen here standing in front of the left femur of </w:t>
      </w:r>
      <w:r>
        <w:rPr>
          <w:i/>
          <w:iCs/>
        </w:rPr>
        <w:t>Diplodocus</w:t>
      </w:r>
      <w:r>
        <w:rPr/>
        <w:t xml:space="preserve"> specimen #355 (now USNM 10865), with the sacrum, partial left ilium, last five dorsal vertebral centra and some ribs also in view (compare Figure 3, in which the femur is labelled 23, the ilium 24 and the last five dorsals 7–11). The </w:t>
      </w:r>
      <w:r>
        <w:rPr>
          <w:i/>
          <w:iCs/>
        </w:rPr>
        <w:t>Diplodocus</w:t>
      </w:r>
      <w:r>
        <w:rPr/>
        <w:t xml:space="preserve"> is seen in ventral view with anterior to the top. Photograph uploaded to Wikimedia Commons by Ken Carpenter.</w:t>
      </w:r>
    </w:p>
    <w:p>
      <w:pPr>
        <w:pStyle w:val="FigureCaption"/>
        <w:rPr/>
      </w:pPr>
      <w:r>
        <w:rPr>
          <w:b/>
          <w:bCs/>
        </w:rPr>
        <w:t>Figure 3.</w:t>
      </w:r>
      <w:r>
        <w:rPr/>
        <w:t xml:space="preserve"> Carnegie Quarry map showing the relative positions of two iconic sauropod specimens: #355 (</w:t>
      </w:r>
      <w:r>
        <w:rPr>
          <w:i/>
          <w:iCs/>
        </w:rPr>
        <w:t>Diplodocus</w:t>
      </w:r>
      <w:r>
        <w:rPr/>
        <w:t>, right) and #340 (</w:t>
      </w:r>
      <w:r>
        <w:rPr>
          <w:i/>
          <w:iCs/>
        </w:rPr>
        <w:t>Barosaurus</w:t>
      </w:r>
      <w:r>
        <w:rPr/>
        <w:t xml:space="preserve">, left, highlighted in pink, initially thought to be be a second </w:t>
      </w:r>
      <w:r>
        <w:rPr>
          <w:i/>
          <w:iCs/>
        </w:rPr>
        <w:t>Diplodocus</w:t>
      </w:r>
      <w:r>
        <w:rPr/>
        <w:t xml:space="preserve">). Modified from Gilmore (1932:figure 1). The </w:t>
      </w:r>
      <w:r>
        <w:rPr>
          <w:i/>
          <w:iCs/>
        </w:rPr>
        <w:t>Diplodocus</w:t>
      </w:r>
      <w:r>
        <w:rPr/>
        <w:t xml:space="preserve"> specimen would become USNM 10865, and the </w:t>
      </w:r>
      <w:r>
        <w:rPr>
          <w:i/>
          <w:iCs/>
        </w:rPr>
        <w:t>Barosaurus</w:t>
      </w:r>
      <w:r>
        <w:rPr/>
        <w:t xml:space="preserve"> would become AMNH 6341. Note that in this map the cervical vertebrae of </w:t>
      </w:r>
      <w:r>
        <w:rPr>
          <w:i/>
          <w:iCs/>
        </w:rPr>
        <w:t>Barosaurus</w:t>
      </w:r>
      <w:r>
        <w:rPr/>
        <w:t xml:space="preserve"> #340 are drawn to look like those of </w:t>
      </w:r>
      <w:r>
        <w:rPr>
          <w:i/>
          <w:iCs/>
        </w:rPr>
        <w:t>Diplodocus</w:t>
      </w:r>
      <w:r>
        <w:rPr/>
        <w:t>, which they were originally assumed to represent. Note also that the number of cervical vertebrae illustrated is ten, compared with the preserved count of nine, weakly corroborating the possibility that there was originally an additional, more anterior vertebra (C7 of present usage).</w:t>
      </w:r>
    </w:p>
    <w:p>
      <w:pPr>
        <w:pStyle w:val="FigureCaption"/>
        <w:rPr/>
      </w:pPr>
      <w:r>
        <w:rPr>
          <w:b/>
          <w:bCs/>
        </w:rPr>
        <w:t>Figure 4.</w:t>
      </w:r>
      <w:r>
        <w:rPr/>
        <w:t xml:space="preserve"> </w:t>
      </w:r>
      <w:r>
        <w:rPr>
          <w:i/>
          <w:iCs/>
        </w:rPr>
        <w:t>Barosaurus</w:t>
      </w:r>
      <w:r>
        <w:rPr/>
        <w:t xml:space="preserve"> AMNH 6341, cervical vertebrae C8–C16 in dorsal (where available) and lateral views, to scale. Lateral views from McIntosh (2005: fig. 2.1) except except C13, which we were able to photograph in collections. Extensive image manipulation was necessary to bring out the information in the dorsal view photographs, due to to poor photography conditions. C16 is sheered to the right, so the aspect is slightly left dorsolateral rather than true dorsal. C8 is on display in the gallery with these vertebrae, but the structure of the display makes it impossible to photograph in dorsal view. C13 is on a shelf in collections, apart from the other cervicals, and we were not able to photograph it in dorsal view.</w:t>
      </w:r>
    </w:p>
    <w:p>
      <w:pPr>
        <w:pStyle w:val="FigureCaption"/>
        <w:rPr/>
      </w:pPr>
      <w:r>
        <w:rPr>
          <w:b/>
          <w:bCs/>
        </w:rPr>
        <w:t>Figure 5</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(1891: plate XVI)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rPr/>
      </w:pPr>
      <w:r>
        <w:rPr>
          <w:b/>
          <w:bCs/>
        </w:rPr>
        <w:t>Figure 6.</w:t>
      </w:r>
      <w:r>
        <w:rPr/>
        <w:t xml:space="preserve"> Public gallery exhibit panel for AMNH 6341, prepared around 1939 to accompany the vertebral sequence, scapulocoracoid and humerus depicted in Figure 5. Photographed by Mick Ellison, AMNH. Original caption reads:</w:t>
      </w:r>
    </w:p>
    <w:p>
      <w:pPr>
        <w:pStyle w:val="BlockQuotation"/>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ind w:hanging="0" w:start="283"/>
        <w:rPr/>
      </w:pPr>
      <w:r>
        <w:rPr/>
        <w:t xml:space="preserve">The representation of which bones are included in the specimen is a good match for our modern reconstruction (Figure 15),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(1906:251–252) for </w:t>
      </w:r>
      <w:r>
        <w:rPr>
          <w:i/>
          <w:iCs/>
        </w:rPr>
        <w:t>Diplodocus</w:t>
      </w:r>
      <w:r>
        <w:rPr/>
        <w:t>.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rPr/>
      </w:pPr>
      <w:r>
        <w:rPr>
          <w:b/>
          <w:bCs/>
        </w:rPr>
        <w:t>Figure 7.</w:t>
      </w:r>
      <w:r>
        <w:rPr/>
        <w:t xml:space="preserve"> </w:t>
      </w:r>
      <w:r>
        <w:rPr>
          <w:i/>
          <w:iCs/>
        </w:rPr>
        <w:t>Ambush at Como Creek</w:t>
      </w:r>
      <w:r>
        <w:rPr/>
        <w:t xml:space="preserve">, painted by Gregory S. Paul in the late 1970s or early 1980s. In this revised version, completed in 1985,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rPr/>
      </w:pPr>
      <w:r>
        <w:rPr>
          <w:b/>
          <w:bCs/>
        </w:rPr>
        <w:t>Figure 8.</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rPr/>
      </w:pPr>
      <w:r>
        <w:rPr>
          <w:b/>
          <w:bCs/>
        </w:rPr>
        <w:t>Figure 9.</w:t>
      </w:r>
      <w:r>
        <w:rPr/>
        <w:t xml:space="preserve"> Prototype model of the proposed display. This model is three feet (91 cm) tall from the bottom of the base to the top of the rearing </w:t>
      </w:r>
      <w:r>
        <w:rPr>
          <w:i/>
          <w:iCs/>
        </w:rPr>
        <w:t>Barosaurus</w:t>
      </w:r>
      <w:r>
        <w:rPr/>
        <w:t>, and the base is 44 inches (112 cm) long (Mick Ellison, pers. comm, 2022).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rPr/>
      </w:pPr>
      <w:r>
        <w:rPr>
          <w:b/>
          <w:bCs/>
        </w:rPr>
        <w:t>Figure 10.</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with anterior to the left. The separator on the mold wall allows the rubber latex for the next mold section to be applied without adhering to the first mold section, so that the mold sections will separate easily. Photograph provided by Department of Vertebrate Paleontology Archive.</w:t>
      </w:r>
    </w:p>
    <w:p>
      <w:pPr>
        <w:pStyle w:val="FigureCaption"/>
        <w:rPr/>
      </w:pPr>
      <w:r>
        <w:rPr>
          <w:b/>
          <w:bCs/>
        </w:rPr>
        <w:t>Figure 11.</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Note that the two missing cervical vertebra have been added, and that the posterior one is a different colour from the others. The ribs are a noticeably lighter colour than the rest of the skeleton, presumably because they had not been painted at this point. Photographs provided by Department of Vertebrate Paleontology Archive.</w:t>
      </w:r>
    </w:p>
    <w:p>
      <w:pPr>
        <w:pStyle w:val="FigureCaption"/>
        <w:rPr/>
      </w:pPr>
      <w:r>
        <w:rPr>
          <w:b/>
          <w:bCs/>
        </w:rPr>
        <w:t>Figure 12.</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Mark Norell and Lowell Dingus (left to right) observe. Photographs provided by Department of Vertebrate Paleontology Archive.</w:t>
      </w:r>
    </w:p>
    <w:p>
      <w:pPr>
        <w:pStyle w:val="FigureCaption"/>
        <w:rPr/>
      </w:pPr>
      <w:r>
        <w:rPr>
          <w:b/>
          <w:bCs/>
        </w:rPr>
        <w:t>Figure 13.</w:t>
      </w:r>
      <w:r>
        <w:rPr/>
        <w:t xml:space="preserve"> Elements of the cast </w:t>
      </w:r>
      <w:r>
        <w:rPr>
          <w:i/>
          <w:iCs/>
        </w:rPr>
        <w:t>Barosaurus</w:t>
      </w:r>
      <w:r>
        <w:rPr/>
        <w:t xml:space="preserve"> skeleton on the floor of the Roosevelt Memorial Hall of the American Museum of Natural History before mounting. Centrally, the skull and cervical vertebrae 3–16, all articulated in a single piece, with the atlas an axis still to be fitted behind the skull. By the wall to the right are the two halves of the 17th cervical vertebrae: the left half, highlighted in red, with anterior towards the camera; and the right half, highlighted in blue, with anterior facing away. Between these and the neck is the distal (whiplash) portion of a tail: possibly that of the main </w:t>
      </w:r>
      <w:r>
        <w:rPr>
          <w:i/>
          <w:iCs/>
        </w:rPr>
        <w:t>Barosaurus</w:t>
      </w:r>
      <w:r>
        <w:rPr/>
        <w:t xml:space="preserve">, but more likely that of the juvenile based on the small size of the most proximal caudals. Between this and the neck is a section that is probably the proximal part of the </w:t>
      </w:r>
      <w:r>
        <w:rPr>
          <w:i/>
          <w:iCs/>
        </w:rPr>
        <w:t>Allosaurus</w:t>
      </w:r>
      <w:r>
        <w:rPr/>
        <w:t xml:space="preserve"> tail. Finally, intruding on the image from the left is the distal (whiplash) portion of the other </w:t>
      </w:r>
      <w:r>
        <w:rPr>
          <w:i/>
          <w:iCs/>
        </w:rPr>
        <w:t>Barosaurus</w:t>
      </w:r>
      <w:r>
        <w:rPr/>
        <w:t xml:space="preserve"> tail, probably that of the adult. Photograph provided by Department of Vertebrate Paleontology Archive, Copyright © AMNH.</w:t>
      </w:r>
    </w:p>
    <w:p>
      <w:pPr>
        <w:pStyle w:val="FigureCaption"/>
        <w:rPr/>
      </w:pPr>
      <w:r>
        <w:rPr>
          <w:b/>
          <w:bCs/>
        </w:rPr>
        <w:t>Figure 14.</w:t>
      </w:r>
      <w:r>
        <w:rPr/>
        <w:t xml:space="preserve"> Two views of the final mounting in the Roosevelt Memorial Hall of the American Museum of Natural History, both showing the use of two frighteningly unstable-looking cherry-picker cranes. The RCI employees in the higher crane are moving the head-and-neck assembly into place, while the two in the lower crane attempt to fit it to the anterior torso. Photographs provided by Department of Vertebrate Paleontology Archive, Copyright © AMNH.</w:t>
      </w:r>
    </w:p>
    <w:p>
      <w:pPr>
        <w:pStyle w:val="FigureCaption"/>
        <w:rPr/>
      </w:pPr>
      <w:r>
        <w:rPr>
          <w:b/>
          <w:bCs/>
        </w:rPr>
        <w:t>Figure 15.</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16.</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rPr/>
      </w:pPr>
      <w:r>
        <w:rPr>
          <w:b/>
          <w:bCs/>
        </w:rPr>
        <w:t>Figure 17.</w:t>
      </w:r>
      <w:r>
        <w:rPr/>
        <w:t xml:space="preserve"> The anterior part of the AMNH </w:t>
      </w:r>
      <w:r>
        <w:rPr>
          <w:i/>
          <w:iCs/>
        </w:rPr>
        <w:t>Barosaurus</w:t>
      </w:r>
      <w:r>
        <w:rPr/>
        <w:t xml:space="preserve"> neck (skull and first eight cervicals, though the atlas and axis are absent at this point) during the mounting process. </w:t>
      </w:r>
      <w:r>
        <w:rPr>
          <w:b/>
          <w:bCs/>
        </w:rPr>
        <w:t>A.</w:t>
      </w:r>
      <w:r>
        <w:rPr/>
        <w:t xml:space="preserve"> lying on the floor, seen in roughly dorsal view. </w:t>
      </w:r>
      <w:r>
        <w:rPr>
          <w:b/>
          <w:bCs/>
        </w:rPr>
        <w:t>B.</w:t>
      </w:r>
      <w:r>
        <w:rPr/>
        <w:t xml:space="preserve"> held upright, seen in right lateral view. Note that the vertebrae in positions 3–7 are those of </w:t>
      </w:r>
      <w:r>
        <w:rPr>
          <w:i/>
          <w:iCs/>
        </w:rPr>
        <w:t>Diplodocus</w:t>
      </w:r>
      <w:r>
        <w:rPr/>
        <w:t xml:space="preserve">, with relatively high bifurcated neural spines, while the vertebra in position 8 is that of </w:t>
      </w:r>
      <w:r>
        <w:rPr>
          <w:i/>
          <w:iCs/>
        </w:rPr>
        <w:t>Barosaurus</w:t>
      </w:r>
      <w:r>
        <w:rPr/>
        <w:t xml:space="preserve">, with a low and unbifurcated spine. Comparison with the Carnegie </w:t>
      </w:r>
      <w:r>
        <w:rPr>
          <w:i/>
          <w:iCs/>
        </w:rPr>
        <w:t>Diplodocus</w:t>
      </w:r>
      <w:r>
        <w:rPr/>
        <w:t xml:space="preserve"> shows that those in positions 3–6 are C3–C6 of </w:t>
      </w:r>
      <w:r>
        <w:rPr>
          <w:i/>
          <w:iCs/>
        </w:rPr>
        <w:t>Diplodocus</w:t>
      </w:r>
      <w:r>
        <w:rPr/>
        <w:t>, but that the 8th cervical vertebra of Diplodocus is used in position 7 to give a more even progression of increasing length. Photographs provided by Department of Vertebrate Paleontology Archive, Copyright © AMNH.</w:t>
      </w:r>
    </w:p>
    <w:p>
      <w:pPr>
        <w:pStyle w:val="FigureCaption"/>
        <w:rPr/>
      </w:pPr>
      <w:r>
        <w:rPr>
          <w:b/>
          <w:bCs/>
        </w:rPr>
        <w:t>Figure 18.</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rPr/>
      </w:pPr>
      <w:r>
        <w:rPr>
          <w:b/>
          <w:bCs/>
        </w:rPr>
        <w:t>Figure 19.</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r>
        <w:br w:type="page"/>
      </w:r>
    </w:p>
    <w:p>
      <w:pPr>
        <w:pStyle w:val="Heading1"/>
        <w:spacing w:before="0" w:after="142"/>
        <w:rPr/>
      </w:pPr>
      <w:bookmarkStart w:id="35" w:name="__RefHeading___Toc25858_1820571732"/>
      <w:bookmarkEnd w:id="35"/>
      <w:r>
        <w:rPr/>
        <w:t>Tables</w:t>
      </w:r>
    </w:p>
    <w:p>
      <w:pPr>
        <w:pStyle w:val="Heading2"/>
        <w:rPr/>
      </w:pPr>
      <w:bookmarkStart w:id="36" w:name="__RefHeading___Toc25860_1820571732"/>
      <w:bookmarkEnd w:id="36"/>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start"/>
        <w:tblInd w:w="0" w:type="dxa"/>
        <w:tblLayout w:type="fixed"/>
        <w:tblCellMar>
          <w:top w:w="0" w:type="dxa"/>
          <w:start w:w="0" w:type="dxa"/>
          <w:bottom w:w="0" w:type="dxa"/>
          <w:end w:w="0" w:type="dxa"/>
        </w:tblCellMar>
        <w:tblLook w:val="04a0" w:noVBand="1" w:noHBand="0" w:lastColumn="0" w:firstColumn="1" w:lastRow="0" w:firstRow="1"/>
      </w:tblPr>
      <w:tblGrid>
        <w:gridCol w:w="2207"/>
        <w:gridCol w:w="7431"/>
      </w:tblGrid>
      <w:tr>
        <w:trPr>
          <w:tblHeader w:val="true"/>
        </w:trPr>
        <w:tc>
          <w:tcPr>
            <w:tcW w:w="2207" w:type="dxa"/>
            <w:tcBorders/>
          </w:tcPr>
          <w:p>
            <w:pPr>
              <w:pStyle w:val="TableHeading"/>
              <w:spacing w:before="0" w:after="113"/>
              <w:rPr/>
            </w:pPr>
            <w:r>
              <w:rPr/>
              <w:t>Date</w:t>
            </w:r>
          </w:p>
        </w:tc>
        <w:tc>
          <w:tcPr>
            <w:tcW w:w="7431" w:type="dxa"/>
            <w:tcBorders/>
          </w:tcPr>
          <w:p>
            <w:pPr>
              <w:pStyle w:val="TableHeading"/>
              <w:spacing w:before="0" w:after="113"/>
              <w:rPr/>
            </w:pPr>
            <w:r>
              <w:rPr/>
              <w:t>Event</w:t>
            </w:r>
          </w:p>
        </w:tc>
      </w:tr>
      <w:tr>
        <w:trPr>
          <w:trHeight w:val="235" w:hRule="atLeast"/>
        </w:trPr>
        <w:tc>
          <w:tcPr>
            <w:tcW w:w="2207" w:type="dxa"/>
            <w:tcBorders/>
          </w:tcPr>
          <w:p>
            <w:pPr>
              <w:pStyle w:val="TableContents"/>
              <w:widowControl w:val="false"/>
              <w:suppressLineNumbers/>
              <w:spacing w:before="0" w:after="113"/>
              <w:rPr/>
            </w:pPr>
            <w:r>
              <w:rPr/>
              <w:t>1880s</w:t>
            </w:r>
          </w:p>
        </w:tc>
        <w:tc>
          <w:tcPr>
            <w:tcW w:w="7431"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7" w:type="dxa"/>
            <w:tcBorders/>
          </w:tcPr>
          <w:p>
            <w:pPr>
              <w:pStyle w:val="TableContents"/>
              <w:widowControl w:val="false"/>
              <w:suppressLineNumbers/>
              <w:spacing w:before="0" w:after="113"/>
              <w:rPr/>
            </w:pPr>
            <w:r>
              <w:rPr/>
              <w:t>Summer 1889</w:t>
            </w:r>
          </w:p>
        </w:tc>
        <w:tc>
          <w:tcPr>
            <w:tcW w:w="7431"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7" w:type="dxa"/>
            <w:tcBorders/>
          </w:tcPr>
          <w:p>
            <w:pPr>
              <w:pStyle w:val="TableContents"/>
              <w:widowControl w:val="false"/>
              <w:suppressLineNumbers/>
              <w:spacing w:before="0" w:after="113"/>
              <w:rPr/>
            </w:pPr>
            <w:r>
              <w:rPr/>
              <w:t>1890</w:t>
            </w:r>
          </w:p>
        </w:tc>
        <w:tc>
          <w:tcPr>
            <w:tcW w:w="7431" w:type="dxa"/>
            <w:tcBorders/>
          </w:tcPr>
          <w:p>
            <w:pPr>
              <w:pStyle w:val="TableContents"/>
              <w:widowControl w:val="false"/>
              <w:suppressLineNumber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7" w:type="dxa"/>
            <w:tcBorders/>
          </w:tcPr>
          <w:p>
            <w:pPr>
              <w:pStyle w:val="TableContents"/>
              <w:widowControl w:val="false"/>
              <w:suppressLineNumbers/>
              <w:spacing w:before="0" w:after="113"/>
              <w:rPr/>
            </w:pPr>
            <w:r>
              <w:rPr/>
              <w:t>Late August 1898</w:t>
            </w:r>
          </w:p>
        </w:tc>
        <w:tc>
          <w:tcPr>
            <w:tcW w:w="7431" w:type="dxa"/>
            <w:tcBorders/>
          </w:tcPr>
          <w:p>
            <w:pPr>
              <w:pStyle w:val="TableContents"/>
              <w:widowControl w:val="false"/>
              <w:suppressLineNumbers/>
              <w:spacing w:before="0" w:after="113"/>
              <w:rPr/>
            </w:pPr>
            <w:r>
              <w:rPr/>
              <w:t>Marsh sent George Wieland to collect the rest of the skeleton.</w:t>
            </w:r>
          </w:p>
        </w:tc>
      </w:tr>
      <w:tr>
        <w:trPr>
          <w:trHeight w:val="235" w:hRule="atLeast"/>
        </w:trPr>
        <w:tc>
          <w:tcPr>
            <w:tcW w:w="2207" w:type="dxa"/>
            <w:tcBorders/>
          </w:tcPr>
          <w:p>
            <w:pPr>
              <w:pStyle w:val="TableContents"/>
              <w:widowControl w:val="false"/>
              <w:suppressLineNumbers/>
              <w:spacing w:before="0" w:after="113"/>
              <w:rPr/>
            </w:pPr>
            <w:r>
              <w:rPr/>
              <w:t>1899</w:t>
            </w:r>
          </w:p>
        </w:tc>
        <w:tc>
          <w:tcPr>
            <w:tcW w:w="7431" w:type="dxa"/>
            <w:tcBorders/>
          </w:tcPr>
          <w:p>
            <w:pPr>
              <w:pStyle w:val="TableContents"/>
              <w:widowControl w:val="false"/>
              <w:suppressLineNumber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7" w:type="dxa"/>
            <w:tcBorders/>
          </w:tcPr>
          <w:p>
            <w:pPr>
              <w:pStyle w:val="TableContents"/>
              <w:widowControl w:val="false"/>
              <w:suppressLineNumbers/>
              <w:spacing w:before="0" w:after="113"/>
              <w:rPr/>
            </w:pPr>
            <w:r>
              <w:rPr/>
              <w:t>1907</w:t>
            </w:r>
          </w:p>
        </w:tc>
        <w:tc>
          <w:tcPr>
            <w:tcW w:w="7431" w:type="dxa"/>
            <w:tcBorders/>
          </w:tcPr>
          <w:p>
            <w:pPr>
              <w:pStyle w:val="TableContents"/>
              <w:widowControl w:val="false"/>
              <w:suppressLineNumbers/>
              <w:spacing w:before="0" w:after="113"/>
              <w:rPr/>
            </w:pPr>
            <w:r>
              <w:rPr/>
              <w:t xml:space="preserve">Charles R. Knight painted a rearing </w:t>
            </w:r>
            <w:r>
              <w:rPr>
                <w:i/>
                <w:iCs/>
              </w:rPr>
              <w:t>Diplodocus</w:t>
            </w:r>
            <w:r>
              <w:rPr/>
              <w:t>.</w:t>
            </w:r>
          </w:p>
        </w:tc>
      </w:tr>
      <w:tr>
        <w:trPr>
          <w:trHeight w:val="235" w:hRule="atLeast"/>
        </w:trPr>
        <w:tc>
          <w:tcPr>
            <w:tcW w:w="2207" w:type="dxa"/>
            <w:tcBorders/>
          </w:tcPr>
          <w:p>
            <w:pPr>
              <w:pStyle w:val="TableContents"/>
              <w:widowControl w:val="false"/>
              <w:suppressLineNumbers/>
              <w:spacing w:before="0" w:after="113"/>
              <w:rPr/>
            </w:pPr>
            <w:r>
              <w:rPr/>
              <w:t>Late 1916</w:t>
            </w:r>
          </w:p>
        </w:tc>
        <w:tc>
          <w:tcPr>
            <w:tcW w:w="7431" w:type="dxa"/>
            <w:tcBorders/>
          </w:tcPr>
          <w:p>
            <w:pPr>
              <w:pStyle w:val="TableContents"/>
              <w:widowControl w:val="false"/>
              <w:suppressLineNumber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7" w:type="dxa"/>
            <w:tcBorders/>
          </w:tcPr>
          <w:p>
            <w:pPr>
              <w:pStyle w:val="TableContents"/>
              <w:widowControl w:val="false"/>
              <w:suppressLineNumbers/>
              <w:spacing w:before="0" w:after="113"/>
              <w:rPr/>
            </w:pPr>
            <w:r>
              <w:rPr/>
              <w:t>1917</w:t>
            </w:r>
          </w:p>
        </w:tc>
        <w:tc>
          <w:tcPr>
            <w:tcW w:w="7431" w:type="dxa"/>
            <w:tcBorders/>
          </w:tcPr>
          <w:p>
            <w:pPr>
              <w:pStyle w:val="TableContents"/>
              <w:widowControl w:val="false"/>
              <w:suppressLineNumbers/>
              <w:spacing w:before="0" w:after="113"/>
              <w:rPr/>
            </w:pPr>
            <w:r>
              <w:rPr/>
              <w:t>Lull’s published abstract very briefly described the type specimen.</w:t>
            </w:r>
          </w:p>
        </w:tc>
      </w:tr>
      <w:tr>
        <w:trPr>
          <w:trHeight w:val="235" w:hRule="atLeast"/>
        </w:trPr>
        <w:tc>
          <w:tcPr>
            <w:tcW w:w="2207" w:type="dxa"/>
            <w:tcBorders/>
          </w:tcPr>
          <w:p>
            <w:pPr>
              <w:pStyle w:val="TableContents"/>
              <w:widowControl w:val="false"/>
              <w:suppressLineNumbers/>
              <w:spacing w:before="0" w:after="113"/>
              <w:rPr/>
            </w:pPr>
            <w:r>
              <w:rPr/>
              <w:t>1919</w:t>
            </w:r>
          </w:p>
        </w:tc>
        <w:tc>
          <w:tcPr>
            <w:tcW w:w="7431" w:type="dxa"/>
            <w:tcBorders/>
          </w:tcPr>
          <w:p>
            <w:pPr>
              <w:pStyle w:val="TableContents"/>
              <w:widowControl w:val="false"/>
              <w:suppressLineNumbers/>
              <w:spacing w:before="0" w:after="113"/>
              <w:rPr/>
            </w:pPr>
            <w:r>
              <w:rPr/>
              <w:t>Lull’s detailed monographic description of the type specimen.</w:t>
            </w:r>
          </w:p>
        </w:tc>
      </w:tr>
      <w:tr>
        <w:trPr>
          <w:trHeight w:val="235" w:hRule="atLeast"/>
        </w:trPr>
        <w:tc>
          <w:tcPr>
            <w:tcW w:w="2207" w:type="dxa"/>
            <w:tcBorders/>
          </w:tcPr>
          <w:p>
            <w:pPr>
              <w:pStyle w:val="TableContents"/>
              <w:widowControl w:val="false"/>
              <w:suppressLineNumbers/>
              <w:spacing w:before="0" w:after="113"/>
              <w:rPr/>
            </w:pPr>
            <w:r>
              <w:rPr/>
              <w:t>1922</w:t>
            </w:r>
          </w:p>
        </w:tc>
        <w:tc>
          <w:tcPr>
            <w:tcW w:w="7431" w:type="dxa"/>
            <w:tcBorders/>
          </w:tcPr>
          <w:p>
            <w:pPr>
              <w:pStyle w:val="TableContents"/>
              <w:widowControl w:val="false"/>
              <w:suppressLineNumber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7" w:type="dxa"/>
            <w:tcBorders/>
          </w:tcPr>
          <w:p>
            <w:pPr>
              <w:pStyle w:val="TableContents"/>
              <w:widowControl w:val="false"/>
              <w:suppressLineNumbers/>
              <w:spacing w:before="0" w:after="113"/>
              <w:rPr/>
            </w:pPr>
            <w:r>
              <w:rPr/>
              <w:t>1922–1923</w:t>
            </w:r>
          </w:p>
        </w:tc>
        <w:tc>
          <w:tcPr>
            <w:tcW w:w="7431" w:type="dxa"/>
            <w:tcBorders/>
          </w:tcPr>
          <w:p>
            <w:pPr>
              <w:pStyle w:val="TableContents"/>
              <w:widowControl w:val="false"/>
              <w:suppressLineNumber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7" w:type="dxa"/>
            <w:tcBorders/>
          </w:tcPr>
          <w:p>
            <w:pPr>
              <w:pStyle w:val="TableContents"/>
              <w:widowControl w:val="false"/>
              <w:suppressLineNumbers/>
              <w:spacing w:before="0" w:after="113"/>
              <w:rPr/>
            </w:pPr>
            <w:r>
              <w:rPr/>
              <w:t>1923</w:t>
            </w:r>
          </w:p>
        </w:tc>
        <w:tc>
          <w:tcPr>
            <w:tcW w:w="7431" w:type="dxa"/>
            <w:tcBorders/>
          </w:tcPr>
          <w:p>
            <w:pPr>
              <w:pStyle w:val="TableContents"/>
              <w:widowControl w:val="false"/>
              <w:suppressLineNumbers/>
              <w:spacing w:before="0" w:after="113"/>
              <w:rPr/>
            </w:pPr>
            <w:r>
              <w:rPr/>
              <w:t xml:space="preserve">The neck of #340 was sent to the USNM to provide material for a </w:t>
            </w:r>
            <w:r>
              <w:rPr>
                <w:i/>
                <w:iCs/>
              </w:rPr>
              <w:t>Diplodocus</w:t>
            </w:r>
            <w:r>
              <w:rPr/>
              <w:t xml:space="preserve"> skeletal mount based on the other diplodocine #355 (USNM 10865).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7" w:type="dxa"/>
            <w:tcBorders/>
          </w:tcPr>
          <w:p>
            <w:pPr>
              <w:pStyle w:val="TableContents"/>
              <w:widowControl w:val="false"/>
              <w:suppressLineNumbers/>
              <w:spacing w:before="0" w:after="113"/>
              <w:rPr/>
            </w:pPr>
            <w:r>
              <w:rPr/>
              <w:t>1929</w:t>
            </w:r>
          </w:p>
        </w:tc>
        <w:tc>
          <w:tcPr>
            <w:tcW w:w="7431" w:type="dxa"/>
            <w:tcBorders/>
          </w:tcPr>
          <w:p>
            <w:pPr>
              <w:pStyle w:val="TableContents"/>
              <w:widowControl w:val="false"/>
              <w:suppressLineNumbers/>
              <w:spacing w:before="0" w:after="113"/>
              <w:rPr/>
            </w:pPr>
            <w:r>
              <w:rPr/>
              <w:t>Barnum Brown realised that the USNM neck and the Carnegie tail belonged to the same individual as the partial skeleton at the University of Utah. He negotiated to acquire all three portions of this skeleton for the American Museum of Natural History (AMNH) in New York.</w:t>
            </w:r>
          </w:p>
        </w:tc>
      </w:tr>
      <w:tr>
        <w:trPr>
          <w:trHeight w:val="246" w:hRule="atLeast"/>
        </w:trPr>
        <w:tc>
          <w:tcPr>
            <w:tcW w:w="2207" w:type="dxa"/>
            <w:tcBorders/>
          </w:tcPr>
          <w:p>
            <w:pPr>
              <w:pStyle w:val="TableContents"/>
              <w:widowControl w:val="false"/>
              <w:suppressLineNumbers/>
              <w:spacing w:before="0" w:after="113"/>
              <w:rPr/>
            </w:pPr>
            <w:r>
              <w:rPr/>
              <w:t>1931</w:t>
            </w:r>
          </w:p>
        </w:tc>
        <w:tc>
          <w:tcPr>
            <w:tcW w:w="7431" w:type="dxa"/>
            <w:tcBorders/>
          </w:tcPr>
          <w:p>
            <w:pPr>
              <w:pStyle w:val="TableContents"/>
              <w:widowControl w:val="false"/>
              <w:suppressLineNumbers/>
              <w:spacing w:before="0" w:after="113"/>
              <w:rPr/>
            </w:pPr>
            <w:r>
              <w:rPr/>
              <w:t>Work began on the Roosevelt Memorial Hall that is the main entrance to the AMNH. It was completed in 1936.</w:t>
            </w:r>
          </w:p>
        </w:tc>
      </w:tr>
      <w:tr>
        <w:trPr>
          <w:trHeight w:val="246" w:hRule="atLeast"/>
        </w:trPr>
        <w:tc>
          <w:tcPr>
            <w:tcW w:w="2207" w:type="dxa"/>
            <w:tcBorders/>
          </w:tcPr>
          <w:p>
            <w:pPr>
              <w:pStyle w:val="TableContents"/>
              <w:widowControl w:val="false"/>
              <w:suppressLineNumbers/>
              <w:spacing w:before="0" w:after="113"/>
              <w:rPr/>
            </w:pPr>
            <w:r>
              <w:rPr/>
              <w:t>9 February 1933</w:t>
            </w:r>
          </w:p>
        </w:tc>
        <w:tc>
          <w:tcPr>
            <w:tcW w:w="7431" w:type="dxa"/>
            <w:tcBorders/>
          </w:tcPr>
          <w:p>
            <w:pPr>
              <w:pStyle w:val="TableContents"/>
              <w:widowControl w:val="false"/>
              <w:suppressLineNumbers/>
              <w:spacing w:before="0" w:after="113"/>
              <w:rPr/>
            </w:pPr>
            <w:r>
              <w:rPr/>
              <w:t>The portion of the skeleton held by USNM was belatedly shipped to AMNH. The reunited skeleton was given the specimen number AMNH 6341.</w:t>
            </w:r>
          </w:p>
        </w:tc>
      </w:tr>
      <w:tr>
        <w:trPr>
          <w:trHeight w:val="246" w:hRule="atLeast"/>
        </w:trPr>
        <w:tc>
          <w:tcPr>
            <w:tcW w:w="2207" w:type="dxa"/>
            <w:tcBorders/>
          </w:tcPr>
          <w:p>
            <w:pPr>
              <w:pStyle w:val="TableContents"/>
              <w:widowControl w:val="false"/>
              <w:suppressLineNumbers/>
              <w:spacing w:before="0" w:after="113"/>
              <w:rPr/>
            </w:pPr>
            <w:r>
              <w:rPr/>
              <w:t>17 April 1939</w:t>
            </w:r>
          </w:p>
        </w:tc>
        <w:tc>
          <w:tcPr>
            <w:tcW w:w="7431" w:type="dxa"/>
            <w:tcBorders/>
          </w:tcPr>
          <w:p>
            <w:pPr>
              <w:pStyle w:val="TableContents"/>
              <w:widowControl w:val="false"/>
              <w:suppressLineNumbers/>
              <w:spacing w:before="0" w:after="113"/>
              <w:rPr/>
            </w:pPr>
            <w:r>
              <w:rPr/>
              <w:t>The presacral vertebrae, scapulocoracoid and humerus of AMNH 6341 were exhibited in the Hall of Early Dinosaurs.</w:t>
            </w:r>
          </w:p>
        </w:tc>
      </w:tr>
      <w:tr>
        <w:trPr>
          <w:trHeight w:val="246" w:hRule="atLeast"/>
        </w:trPr>
        <w:tc>
          <w:tcPr>
            <w:tcW w:w="2207" w:type="dxa"/>
            <w:tcBorders/>
          </w:tcPr>
          <w:p>
            <w:pPr>
              <w:pStyle w:val="TableContents"/>
              <w:widowControl w:val="false"/>
              <w:suppressLineNumbers/>
              <w:spacing w:before="0" w:after="113"/>
              <w:rPr/>
            </w:pPr>
            <w:r>
              <w:rPr/>
              <w:t>Early 1950s</w:t>
            </w:r>
          </w:p>
        </w:tc>
        <w:tc>
          <w:tcPr>
            <w:tcW w:w="7431" w:type="dxa"/>
            <w:tcBorders/>
          </w:tcPr>
          <w:p>
            <w:pPr>
              <w:pStyle w:val="TableContents"/>
              <w:widowControl w:val="false"/>
              <w:suppressLineNumbers/>
              <w:spacing w:before="0" w:after="113"/>
              <w:rPr/>
            </w:pPr>
            <w:r>
              <w:rPr/>
              <w:t>The AMNH 6341 elements were removed from display as part of Edwin H. Colbert’s renovation of the galleries.</w:t>
            </w:r>
          </w:p>
        </w:tc>
      </w:tr>
      <w:tr>
        <w:trPr>
          <w:trHeight w:val="246" w:hRule="atLeast"/>
        </w:trPr>
        <w:tc>
          <w:tcPr>
            <w:tcW w:w="2207" w:type="dxa"/>
            <w:tcBorders/>
          </w:tcPr>
          <w:p>
            <w:pPr>
              <w:pStyle w:val="TableContents"/>
              <w:widowControl w:val="false"/>
              <w:suppressLineNumbers/>
              <w:spacing w:before="0" w:after="113"/>
              <w:rPr/>
            </w:pPr>
            <w:r>
              <w:rPr/>
              <w:t>1952</w:t>
            </w:r>
          </w:p>
        </w:tc>
        <w:tc>
          <w:tcPr>
            <w:tcW w:w="7431" w:type="dxa"/>
            <w:tcBorders/>
          </w:tcPr>
          <w:p>
            <w:pPr>
              <w:pStyle w:val="TableContents"/>
              <w:widowControl w:val="false"/>
              <w:suppressLineNumber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7" w:type="dxa"/>
            <w:tcBorders/>
          </w:tcPr>
          <w:p>
            <w:pPr>
              <w:pStyle w:val="TableContents"/>
              <w:widowControl w:val="false"/>
              <w:suppressLineNumbers/>
              <w:spacing w:before="0" w:after="113"/>
              <w:rPr/>
            </w:pPr>
            <w:r>
              <w:rPr/>
              <w:t>8 June, 1957</w:t>
            </w:r>
          </w:p>
        </w:tc>
        <w:tc>
          <w:tcPr>
            <w:tcW w:w="7431" w:type="dxa"/>
            <w:tcBorders/>
          </w:tcPr>
          <w:p>
            <w:pPr>
              <w:pStyle w:val="TableContents"/>
              <w:widowControl w:val="false"/>
              <w:suppressLineNumber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7" w:type="dxa"/>
            <w:tcBorders/>
          </w:tcPr>
          <w:p>
            <w:pPr>
              <w:pStyle w:val="TableContents"/>
              <w:widowControl w:val="false"/>
              <w:suppressLineNumbers/>
              <w:spacing w:before="0" w:after="113"/>
              <w:rPr/>
            </w:pPr>
            <w:r>
              <w:rPr/>
              <w:t>1970</w:t>
            </w:r>
          </w:p>
        </w:tc>
        <w:tc>
          <w:tcPr>
            <w:tcW w:w="7431" w:type="dxa"/>
            <w:tcBorders/>
          </w:tcPr>
          <w:p>
            <w:pPr>
              <w:pStyle w:val="TableContents"/>
              <w:widowControl w:val="false"/>
              <w:suppressLineNumbers/>
              <w:spacing w:before="0" w:after="113"/>
              <w:rPr/>
            </w:pPr>
            <w:r>
              <w:rPr/>
              <w:t>Eugene S. Gaffney succeeded Colbert as curator of the fossil reptile collection at the AMNH.</w:t>
            </w:r>
          </w:p>
        </w:tc>
      </w:tr>
      <w:tr>
        <w:trPr>
          <w:trHeight w:val="246" w:hRule="atLeast"/>
        </w:trPr>
        <w:tc>
          <w:tcPr>
            <w:tcW w:w="2207" w:type="dxa"/>
            <w:tcBorders/>
          </w:tcPr>
          <w:p>
            <w:pPr>
              <w:pStyle w:val="TableContents"/>
              <w:widowControl w:val="false"/>
              <w:suppressLineNumbers/>
              <w:spacing w:before="0" w:after="113"/>
              <w:rPr/>
            </w:pPr>
            <w:r>
              <w:rPr/>
              <w:t>1977</w:t>
            </w:r>
          </w:p>
        </w:tc>
        <w:tc>
          <w:tcPr>
            <w:tcW w:w="7431" w:type="dxa"/>
            <w:tcBorders/>
          </w:tcPr>
          <w:p>
            <w:pPr>
              <w:pStyle w:val="TableContents"/>
              <w:widowControl w:val="false"/>
              <w:suppressLineNumbers/>
              <w:spacing w:before="0" w:after="113"/>
              <w:rPr/>
            </w:pPr>
            <w:r>
              <w:rPr/>
              <w:t>Peter May began working with skeletal mounts at the Royal Ontario Museum.</w:t>
            </w:r>
          </w:p>
        </w:tc>
      </w:tr>
      <w:tr>
        <w:trPr>
          <w:trHeight w:val="246" w:hRule="atLeast"/>
        </w:trPr>
        <w:tc>
          <w:tcPr>
            <w:tcW w:w="2207" w:type="dxa"/>
            <w:tcBorders/>
          </w:tcPr>
          <w:p>
            <w:pPr>
              <w:pStyle w:val="TableContents"/>
              <w:widowControl w:val="false"/>
              <w:suppressLineNumbers/>
              <w:spacing w:before="0" w:after="113"/>
              <w:rPr/>
            </w:pPr>
            <w:r>
              <w:rPr/>
              <w:t>1978</w:t>
            </w:r>
          </w:p>
        </w:tc>
        <w:tc>
          <w:tcPr>
            <w:tcW w:w="7431" w:type="dxa"/>
            <w:tcBorders/>
          </w:tcPr>
          <w:p>
            <w:pPr>
              <w:pStyle w:val="TableContents"/>
              <w:widowControl w:val="false"/>
              <w:suppressLineNumber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7" w:type="dxa"/>
            <w:tcBorders/>
          </w:tcPr>
          <w:p>
            <w:pPr>
              <w:pStyle w:val="TableContents"/>
              <w:widowControl w:val="false"/>
              <w:suppressLineNumbers/>
              <w:spacing w:before="0" w:after="113"/>
              <w:rPr/>
            </w:pPr>
            <w:r>
              <w:rPr/>
              <w:t>1986</w:t>
            </w:r>
          </w:p>
        </w:tc>
        <w:tc>
          <w:tcPr>
            <w:tcW w:w="7431" w:type="dxa"/>
            <w:tcBorders/>
          </w:tcPr>
          <w:p>
            <w:pPr>
              <w:pStyle w:val="TableContents"/>
              <w:widowControl w:val="false"/>
              <w:suppressLineNumbers/>
              <w:spacing w:before="0" w:after="113"/>
              <w:rPr/>
            </w:pPr>
            <w:r>
              <w:rPr/>
              <w:t>The AMNH began planning an extensive renovation of its fossil halls.</w:t>
            </w:r>
          </w:p>
        </w:tc>
      </w:tr>
      <w:tr>
        <w:trPr>
          <w:trHeight w:val="246" w:hRule="atLeast"/>
        </w:trPr>
        <w:tc>
          <w:tcPr>
            <w:tcW w:w="2207" w:type="dxa"/>
            <w:tcBorders/>
          </w:tcPr>
          <w:p>
            <w:pPr>
              <w:pStyle w:val="TableContents"/>
              <w:widowControl w:val="false"/>
              <w:suppressLineNumbers/>
              <w:spacing w:before="0" w:after="113"/>
              <w:rPr/>
            </w:pPr>
            <w:r>
              <w:rPr/>
              <w:t>1989</w:t>
            </w:r>
          </w:p>
        </w:tc>
        <w:tc>
          <w:tcPr>
            <w:tcW w:w="7431" w:type="dxa"/>
            <w:tcBorders/>
          </w:tcPr>
          <w:p>
            <w:pPr>
              <w:pStyle w:val="TableContents"/>
              <w:widowControl w:val="false"/>
              <w:suppressLineNumber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w:t>
            </w:r>
          </w:p>
        </w:tc>
      </w:tr>
      <w:tr>
        <w:trPr>
          <w:trHeight w:val="246" w:hRule="atLeast"/>
        </w:trPr>
        <w:tc>
          <w:tcPr>
            <w:tcW w:w="2207" w:type="dxa"/>
            <w:tcBorders/>
          </w:tcPr>
          <w:p>
            <w:pPr>
              <w:pStyle w:val="TableContents"/>
              <w:widowControl w:val="false"/>
              <w:suppressLineNumbers/>
              <w:spacing w:before="0" w:after="113"/>
              <w:rPr/>
            </w:pPr>
            <w:r>
              <w:rPr/>
              <w:t>1990</w:t>
            </w:r>
          </w:p>
        </w:tc>
        <w:tc>
          <w:tcPr>
            <w:tcW w:w="7431" w:type="dxa"/>
            <w:tcBorders/>
          </w:tcPr>
          <w:p>
            <w:pPr>
              <w:pStyle w:val="TableContents"/>
              <w:widowControl w:val="false"/>
              <w:suppressLineNumbers/>
              <w:spacing w:before="0" w:after="113"/>
              <w:rPr/>
            </w:pPr>
            <w:r>
              <w:rPr/>
              <w:t>Peter May went full time with his company Research Casting International (RCI).</w:t>
            </w:r>
          </w:p>
        </w:tc>
      </w:tr>
      <w:tr>
        <w:trPr>
          <w:trHeight w:val="246" w:hRule="atLeast"/>
        </w:trPr>
        <w:tc>
          <w:tcPr>
            <w:tcW w:w="2207" w:type="dxa"/>
            <w:tcBorders/>
          </w:tcPr>
          <w:p>
            <w:pPr>
              <w:pStyle w:val="TableContents"/>
              <w:widowControl w:val="false"/>
              <w:suppressLineNumbers/>
              <w:spacing w:before="0" w:after="113"/>
              <w:rPr/>
            </w:pPr>
            <w:r>
              <w:rPr/>
              <w:t>28 March 1990</w:t>
            </w:r>
          </w:p>
        </w:tc>
        <w:tc>
          <w:tcPr>
            <w:tcW w:w="7431" w:type="dxa"/>
            <w:tcBorders/>
          </w:tcPr>
          <w:p>
            <w:pPr>
              <w:pStyle w:val="TableContents"/>
              <w:widowControl w:val="false"/>
              <w:suppressLineNumbers/>
              <w:spacing w:before="0" w:after="113"/>
              <w:rPr/>
            </w:pPr>
            <w:r>
              <w:rPr/>
              <w:t xml:space="preserve">A formal agreement was made between AMNH and RCI for the project to mount a cast of </w:t>
            </w:r>
            <w:r>
              <w:rPr>
                <w:i/>
                <w:iCs/>
              </w:rPr>
              <w:t>Barosaurus</w:t>
            </w:r>
            <w:r>
              <w:rPr/>
              <w:t xml:space="preserve"> AMNH 6341 along with a juvenile </w:t>
            </w:r>
            <w:r>
              <w:rPr>
                <w:i/>
                <w:iCs/>
              </w:rPr>
              <w:t>Barosaurus</w:t>
            </w:r>
            <w:r>
              <w:rPr/>
              <w:t xml:space="preserve"> and an </w:t>
            </w:r>
            <w:r>
              <w:rPr>
                <w:i/>
                <w:iCs/>
              </w:rPr>
              <w:t>Allosaurus</w:t>
            </w:r>
            <w:r>
              <w:rPr/>
              <w:t>.</w:t>
            </w:r>
          </w:p>
        </w:tc>
      </w:tr>
      <w:tr>
        <w:trPr>
          <w:trHeight w:val="246" w:hRule="atLeast"/>
        </w:trPr>
        <w:tc>
          <w:tcPr>
            <w:tcW w:w="2207" w:type="dxa"/>
            <w:tcBorders/>
          </w:tcPr>
          <w:p>
            <w:pPr>
              <w:pStyle w:val="TableContents"/>
              <w:widowControl w:val="false"/>
              <w:suppressLineNumbers/>
              <w:spacing w:before="0" w:after="113"/>
              <w:rPr/>
            </w:pPr>
            <w:r>
              <w:rPr/>
              <w:t>Fall 1990</w:t>
            </w:r>
          </w:p>
        </w:tc>
        <w:tc>
          <w:tcPr>
            <w:tcW w:w="7431" w:type="dxa"/>
            <w:tcBorders/>
          </w:tcPr>
          <w:p>
            <w:pPr>
              <w:pStyle w:val="TableContents"/>
              <w:widowControl w:val="false"/>
              <w:suppressLineNumber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7" w:type="dxa"/>
            <w:tcBorders/>
          </w:tcPr>
          <w:p>
            <w:pPr>
              <w:pStyle w:val="TableContents"/>
              <w:widowControl w:val="false"/>
              <w:suppressLineNumbers/>
              <w:spacing w:before="0" w:after="113"/>
              <w:rPr/>
            </w:pPr>
            <w:r>
              <w:rPr/>
              <w:t>Late 1990/early 1991</w:t>
            </w:r>
          </w:p>
        </w:tc>
        <w:tc>
          <w:tcPr>
            <w:tcW w:w="7431" w:type="dxa"/>
            <w:tcBorders/>
          </w:tcPr>
          <w:p>
            <w:pPr>
              <w:pStyle w:val="TableContents"/>
              <w:widowControl w:val="false"/>
              <w:suppressLineNumber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7" w:type="dxa"/>
            <w:tcBorders/>
          </w:tcPr>
          <w:p>
            <w:pPr>
              <w:pStyle w:val="TableContents"/>
              <w:widowControl w:val="false"/>
              <w:suppressLineNumbers/>
              <w:spacing w:before="0" w:after="113"/>
              <w:rPr/>
            </w:pPr>
            <w:r>
              <w:rPr/>
              <w:t>Spring 1991</w:t>
            </w:r>
          </w:p>
        </w:tc>
        <w:tc>
          <w:tcPr>
            <w:tcW w:w="7431" w:type="dxa"/>
            <w:tcBorders/>
          </w:tcPr>
          <w:p>
            <w:pPr>
              <w:pStyle w:val="TableContents"/>
              <w:widowControl w:val="false"/>
              <w:suppressLineNumber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7" w:type="dxa"/>
            <w:tcBorders/>
          </w:tcPr>
          <w:p>
            <w:pPr>
              <w:pStyle w:val="TableContents"/>
              <w:widowControl w:val="false"/>
              <w:suppressLineNumbers/>
              <w:spacing w:before="0" w:after="113"/>
              <w:rPr/>
            </w:pPr>
            <w:r>
              <w:rPr/>
              <w:t>Summer 1991</w:t>
            </w:r>
          </w:p>
        </w:tc>
        <w:tc>
          <w:tcPr>
            <w:tcW w:w="7431" w:type="dxa"/>
            <w:tcBorders/>
          </w:tcPr>
          <w:p>
            <w:pPr>
              <w:pStyle w:val="TableContents"/>
              <w:widowControl w:val="false"/>
              <w:suppressLineNumbers/>
              <w:spacing w:before="0" w:after="113"/>
              <w:rPr/>
            </w:pPr>
            <w:r>
              <w:rPr/>
              <w:t>Gene Gaffney and Peter May found a site in northeastern Montana that could be molded and cast to provide a base for the skeletons.</w:t>
            </w:r>
          </w:p>
        </w:tc>
      </w:tr>
      <w:tr>
        <w:trPr>
          <w:trHeight w:val="246" w:hRule="atLeast"/>
        </w:trPr>
        <w:tc>
          <w:tcPr>
            <w:tcW w:w="2207" w:type="dxa"/>
            <w:tcBorders/>
          </w:tcPr>
          <w:p>
            <w:pPr>
              <w:pStyle w:val="TableContents"/>
              <w:widowControl w:val="false"/>
              <w:suppressLineNumbers/>
              <w:spacing w:before="0" w:after="113"/>
              <w:rPr/>
            </w:pPr>
            <w:r>
              <w:rPr/>
              <w:t>November 1991</w:t>
            </w:r>
          </w:p>
        </w:tc>
        <w:tc>
          <w:tcPr>
            <w:tcW w:w="7431" w:type="dxa"/>
            <w:tcBorders/>
          </w:tcPr>
          <w:p>
            <w:pPr>
              <w:pStyle w:val="TableContents"/>
              <w:widowControl w:val="false"/>
              <w:suppressLineNumbers/>
              <w:spacing w:before="0" w:after="113"/>
              <w:rPr/>
            </w:pPr>
            <w:r>
              <w:rPr/>
              <w:t>The work in Toronto was complete, and the completed exhibit was transported to New York.</w:t>
            </w:r>
          </w:p>
        </w:tc>
      </w:tr>
      <w:tr>
        <w:trPr>
          <w:trHeight w:val="246" w:hRule="atLeast"/>
        </w:trPr>
        <w:tc>
          <w:tcPr>
            <w:tcW w:w="2207" w:type="dxa"/>
            <w:tcBorders/>
          </w:tcPr>
          <w:p>
            <w:pPr>
              <w:pStyle w:val="TableContents"/>
              <w:widowControl w:val="false"/>
              <w:suppressLineNumbers/>
              <w:spacing w:before="0" w:after="113"/>
              <w:rPr/>
            </w:pPr>
            <w:r>
              <w:rPr/>
              <w:t>29 November 1991</w:t>
            </w:r>
          </w:p>
        </w:tc>
        <w:tc>
          <w:tcPr>
            <w:tcW w:w="7431" w:type="dxa"/>
            <w:tcBorders/>
          </w:tcPr>
          <w:p>
            <w:pPr>
              <w:pStyle w:val="TableContents"/>
              <w:widowControl w:val="false"/>
              <w:suppressLineNumber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7" w:type="dxa"/>
            <w:tcBorders/>
          </w:tcPr>
          <w:p>
            <w:pPr>
              <w:pStyle w:val="TableContents"/>
              <w:widowControl w:val="false"/>
              <w:suppressLineNumbers/>
              <w:spacing w:before="0" w:after="113"/>
              <w:rPr/>
            </w:pPr>
            <w:r>
              <w:rPr/>
              <w:t>3 December 1991</w:t>
            </w:r>
          </w:p>
        </w:tc>
        <w:tc>
          <w:tcPr>
            <w:tcW w:w="7431" w:type="dxa"/>
            <w:tcBorders/>
          </w:tcPr>
          <w:p>
            <w:pPr>
              <w:pStyle w:val="TableContents"/>
              <w:widowControl w:val="false"/>
              <w:suppressLineNumber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7" w:type="dxa"/>
            <w:tcBorders/>
          </w:tcPr>
          <w:p>
            <w:pPr>
              <w:pStyle w:val="TableContents"/>
              <w:widowControl w:val="false"/>
              <w:suppressLineNumbers/>
              <w:spacing w:before="0" w:after="113"/>
              <w:rPr/>
            </w:pPr>
            <w:r>
              <w:rPr/>
              <w:t>4 December 1991</w:t>
            </w:r>
          </w:p>
        </w:tc>
        <w:tc>
          <w:tcPr>
            <w:tcW w:w="7431" w:type="dxa"/>
            <w:tcBorders/>
          </w:tcPr>
          <w:p>
            <w:pPr>
              <w:pStyle w:val="TableContents"/>
              <w:widowControl w:val="false"/>
              <w:suppressLineNumbers/>
              <w:spacing w:before="0" w:after="113"/>
              <w:rPr/>
            </w:pPr>
            <w:r>
              <w:rPr/>
              <w:t>The exhibit was opened to the public.</w:t>
            </w:r>
          </w:p>
        </w:tc>
      </w:tr>
    </w:tbl>
    <w:p>
      <w:pPr>
        <w:pStyle w:val="BodyText"/>
        <w:spacing w:lineRule="auto" w:line="276" w:before="0" w:after="140"/>
        <w:rPr/>
      </w:pPr>
      <w:r>
        <w:rPr/>
      </w:r>
    </w:p>
    <w:sectPr>
      <w:headerReference w:type="even" r:id="rId16"/>
      <w:headerReference w:type="default" r:id="rId17"/>
      <w:headerReference w:type="first" r:id="rId18"/>
      <w:type w:val="nextPage"/>
      <w:pgSz w:w="11906" w:h="16838"/>
      <w:pgMar w:left="1134" w:right="1134" w:gutter="0" w:header="1134" w:top="1692"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Baskerville">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Gill Sans">
    <w:charset w:val="01" w:characterSet="utf-8"/>
    <w:family w:val="roman"/>
    <w:pitch w:val="variable"/>
  </w:font>
  <w:font w:name="Symbol">
    <w:charset w:val="01"/>
    <w:family w:val="auto"/>
    <w:pitch w:val="variable"/>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Taylor et al.</w:t>
      <w:tab/>
      <w:t xml:space="preserve">AMNH’s Mounted </w:t>
    </w:r>
    <w:r>
      <w:rPr>
        <w:i/>
        <w:iCs/>
      </w:rPr>
      <w:t>Barosaurus</w:t>
    </w:r>
    <w:r>
      <w:rPr/>
      <w:tab/>
      <w:t>p</w:t>
    </w:r>
    <w:r>
      <w:rPr/>
      <w:fldChar w:fldCharType="begin"/>
    </w:r>
    <w:r>
      <w:rPr/>
      <w:instrText xml:space="preserve"> PAGE </w:instrText>
    </w:r>
    <w:r>
      <w:rPr/>
      <w:fldChar w:fldCharType="separate"/>
    </w:r>
    <w:r>
      <w:rPr/>
      <w:t>35</w:t>
    </w:r>
    <w:r>
      <w:rPr/>
      <w:fldChar w:fldCharType="end"/>
    </w:r>
    <w:r>
      <w:rPr/>
      <w:t>/</w:t>
    </w:r>
    <w:r>
      <w:rPr/>
      <w:fldChar w:fldCharType="begin"/>
    </w:r>
    <w:r>
      <w:rPr/>
      <w:instrText xml:space="preserve"> NUMPAGES </w:instrText>
    </w:r>
    <w:r>
      <w:rPr/>
      <w:fldChar w:fldCharType="separate"/>
    </w:r>
    <w:r>
      <w:rPr/>
      <w:t>35</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Taylor et al.</w:t>
      <w:tab/>
      <w:t xml:space="preserve">AMNH’s Mounted </w:t>
    </w:r>
    <w:r>
      <w:rPr>
        <w:i/>
        <w:iCs/>
      </w:rPr>
      <w:t>Barosaurus</w:t>
    </w:r>
    <w:r>
      <w:rPr/>
      <w:tab/>
      <w:t>p</w:t>
    </w:r>
    <w:r>
      <w:rPr/>
      <w:fldChar w:fldCharType="begin"/>
    </w:r>
    <w:r>
      <w:rPr/>
      <w:instrText xml:space="preserve"> PAGE </w:instrText>
    </w:r>
    <w:r>
      <w:rPr/>
      <w:fldChar w:fldCharType="separate"/>
    </w:r>
    <w:r>
      <w:rPr/>
      <w:t>35</w:t>
    </w:r>
    <w:r>
      <w:rPr/>
      <w:fldChar w:fldCharType="end"/>
    </w:r>
    <w:r>
      <w:rPr/>
      <w:t>/</w:t>
    </w:r>
    <w:r>
      <w:rPr/>
      <w:fldChar w:fldCharType="begin"/>
    </w:r>
    <w:r>
      <w:rPr/>
      <w:instrText xml:space="preserve"> NUMPAGES </w:instrText>
    </w:r>
    <w:r>
      <w:rPr/>
      <w:fldChar w:fldCharType="separate"/>
    </w:r>
    <w:r>
      <w:rPr/>
      <w:t>35</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6">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7">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uiPriority w:val="9"/>
    <w:qFormat/>
    <w:pPr>
      <w:spacing w:before="567" w:after="142"/>
      <w:outlineLvl w:val="0"/>
    </w:pPr>
    <w:rPr>
      <w:bCs/>
      <w:sz w:val="32"/>
      <w:szCs w:val="36"/>
    </w:rPr>
  </w:style>
  <w:style w:type="paragraph" w:styleId="Heading2">
    <w:name w:val="heading 2"/>
    <w:basedOn w:val="Heading"/>
    <w:next w:val="BodyText"/>
    <w:uiPriority w:val="9"/>
    <w:unhideWhenUsed/>
    <w:qFormat/>
    <w:pPr>
      <w:spacing w:before="198" w:after="119"/>
      <w:outlineLvl w:val="1"/>
    </w:pPr>
    <w:rPr>
      <w:rFonts w:eastAsia="Songti SC"/>
      <w:bCs/>
      <w:sz w:val="26"/>
      <w:szCs w:val="26"/>
    </w:rPr>
  </w:style>
  <w:style w:type="paragraph" w:styleId="Heading3">
    <w:name w:val="heading 3"/>
    <w:basedOn w:val="Heading"/>
    <w:next w:val="BodyText"/>
    <w:uiPriority w:val="9"/>
    <w:unhideWhenUsed/>
    <w:qFormat/>
    <w:pPr>
      <w:numPr>
        <w:ilvl w:val="2"/>
        <w:numId w:val="5"/>
      </w:numPr>
      <w:spacing w:before="142" w:after="142"/>
      <w:outlineLvl w:val="2"/>
    </w:pPr>
    <w:rPr>
      <w:bCs/>
      <w:sz w:val="20"/>
      <w:szCs w:val="20"/>
    </w:rPr>
  </w:style>
  <w:style w:type="paragraph" w:styleId="Heading4">
    <w:name w:val="heading 4"/>
    <w:basedOn w:val="Heading"/>
    <w:next w:val="BodyText"/>
    <w:uiPriority w:val="9"/>
    <w:semiHidden/>
    <w:unhideWhenUsed/>
    <w:qFormat/>
    <w:pPr>
      <w:spacing w:before="120" w:after="120"/>
      <w:outlineLvl w:val="3"/>
    </w:pPr>
    <w:rPr>
      <w:rFonts w:ascii="Liberation Serif" w:hAnsi="Liberation Serif" w:eastAsia="Songti SC"/>
      <w:bCs/>
      <w:sz w:val="24"/>
      <w:szCs w:val="24"/>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FollowedHyperlink">
    <w:name w:val="FollowedHyperlink"/>
    <w:qFormat/>
    <w:rPr>
      <w:color w:val="800000"/>
      <w:u w:val="single"/>
    </w:rPr>
  </w:style>
  <w:style w:type="character" w:styleId="IndexLink" w:customStyle="1">
    <w:name w:val="Index Link"/>
    <w:qFormat/>
    <w:rPr/>
  </w:style>
  <w:style w:type="character" w:styleId="Bullets" w:customStyle="1">
    <w:name w:val="Bullets"/>
    <w:qFormat/>
    <w:rPr>
      <w:rFonts w:ascii="OpenSymbol" w:hAnsi="OpenSymbol" w:eastAsia="OpenSymbol" w:cs="OpenSymbol"/>
    </w:rPr>
  </w:style>
  <w:style w:type="character" w:styleId="Teletype" w:customStyle="1">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character" w:styleId="CommentReference">
    <w:name w:val="annotation reference"/>
    <w:basedOn w:val="DefaultParagraphFont"/>
    <w:uiPriority w:val="99"/>
    <w:semiHidden/>
    <w:unhideWhenUsed/>
    <w:qFormat/>
    <w:rsid w:val="00bf1f32"/>
    <w:rPr>
      <w:sz w:val="16"/>
      <w:szCs w:val="16"/>
    </w:rPr>
  </w:style>
  <w:style w:type="character" w:styleId="CommentTextChar" w:customStyle="1">
    <w:name w:val="Comment Text Char"/>
    <w:basedOn w:val="DefaultParagraphFont"/>
    <w:link w:val="CommentText"/>
    <w:uiPriority w:val="99"/>
    <w:qFormat/>
    <w:rsid w:val="00bf1f32"/>
    <w:rPr>
      <w:rFonts w:ascii="Baskerville" w:hAnsi="Baskerville" w:cs="Mangal"/>
      <w:szCs w:val="18"/>
    </w:rPr>
  </w:style>
  <w:style w:type="character" w:styleId="CommentSubjectChar" w:customStyle="1">
    <w:name w:val="Comment Subject Char"/>
    <w:basedOn w:val="CommentTextChar"/>
    <w:link w:val="annotationsubject"/>
    <w:uiPriority w:val="99"/>
    <w:semiHidden/>
    <w:qFormat/>
    <w:rsid w:val="00bf1f32"/>
    <w:rPr>
      <w:rFonts w:ascii="Baskerville" w:hAnsi="Baskerville" w:cs="Mangal"/>
      <w:b/>
      <w:bCs/>
      <w:szCs w:val="18"/>
    </w:rPr>
  </w:style>
  <w:style w:type="paragraph" w:styleId="Heading" w:customStyle="1">
    <w:name w:val="Heading"/>
    <w:basedOn w:val="Normal"/>
    <w:next w:val="BodyText"/>
    <w:qFormat/>
    <w:pPr>
      <w:keepNext w:val="true"/>
      <w:spacing w:before="240" w:after="120"/>
    </w:pPr>
    <w:rPr>
      <w:rFonts w:ascii="Gill Sans" w:hAnsi="Gill Sans" w:eastAsia="PingFang SC"/>
      <w:b/>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Title">
    <w:name w:val="Title"/>
    <w:basedOn w:val="Heading"/>
    <w:next w:val="BodyText"/>
    <w:uiPriority w:val="10"/>
    <w:qFormat/>
    <w:pPr>
      <w:spacing w:before="238" w:after="119"/>
    </w:pPr>
    <w:rPr>
      <w:bCs/>
      <w:sz w:val="38"/>
      <w:szCs w:val="56"/>
    </w:rPr>
  </w:style>
  <w:style w:type="paragraph" w:styleId="Author" w:customStyle="1">
    <w:name w:val="Author"/>
    <w:basedOn w:val="BodyText"/>
    <w:qFormat/>
    <w:pPr>
      <w:spacing w:before="0" w:after="142"/>
      <w:ind w:hanging="283" w:start="283"/>
    </w:pPr>
    <w:rPr>
      <w:i/>
    </w:rPr>
  </w:style>
  <w:style w:type="paragraph" w:styleId="BlockQuotation" w:customStyle="1">
    <w:name w:val="Block Quotation"/>
    <w:basedOn w:val="Normal"/>
    <w:qFormat/>
    <w:pPr>
      <w:spacing w:lineRule="auto" w:line="276" w:before="0" w:after="283"/>
      <w:ind w:start="567" w:end="567"/>
    </w:pPr>
    <w:rPr/>
  </w:style>
  <w:style w:type="paragraph" w:styleId="Abstract" w:customStyle="1">
    <w:name w:val="Abstract"/>
    <w:basedOn w:val="BodyText"/>
    <w:qFormat/>
    <w:pPr>
      <w:spacing w:before="0" w:after="142"/>
      <w:ind w:start="567" w:end="567"/>
    </w:pPr>
    <w:rPr>
      <w:i/>
      <w:iCs/>
    </w:rPr>
  </w:style>
  <w:style w:type="paragraph" w:styleId="toaheading">
    <w:name w:val="toa heading"/>
    <w:basedOn w:val="Heading"/>
    <w:qFormat/>
    <w:pPr>
      <w:pageBreakBefore/>
      <w:suppressLineNumbers/>
    </w:pPr>
    <w:rPr>
      <w:bCs/>
      <w:sz w:val="32"/>
      <w:szCs w:val="32"/>
    </w:rPr>
  </w:style>
  <w:style w:type="paragraph" w:styleId="TOC1">
    <w:name w:val="toc 1"/>
    <w:basedOn w:val="Index"/>
    <w:pPr>
      <w:tabs>
        <w:tab w:val="clear" w:pos="720"/>
        <w:tab w:val="right" w:pos="9638" w:leader="dot"/>
      </w:tabs>
    </w:pPr>
    <w:rPr/>
  </w:style>
  <w:style w:type="paragraph" w:styleId="Reference" w:customStyle="1">
    <w:name w:val="Reference"/>
    <w:basedOn w:val="BodyText"/>
    <w:qFormat/>
    <w:pPr>
      <w:spacing w:before="0" w:after="142"/>
      <w:ind w:hanging="283" w:start="283"/>
    </w:pPr>
    <w:rPr/>
  </w:style>
  <w:style w:type="paragraph" w:styleId="TOC2">
    <w:name w:val="toc 2"/>
    <w:basedOn w:val="Index"/>
    <w:pPr>
      <w:tabs>
        <w:tab w:val="clear" w:pos="720"/>
        <w:tab w:val="right" w:pos="9355" w:leader="dot"/>
      </w:tabs>
      <w:ind w:start="283"/>
    </w:pPr>
    <w:rPr/>
  </w:style>
  <w:style w:type="paragraph" w:styleId="FigureCaption" w:customStyle="1">
    <w:name w:val="Figure Caption"/>
    <w:basedOn w:val="BodyText"/>
    <w:qFormat/>
    <w:pPr>
      <w:spacing w:before="0" w:after="142"/>
      <w:ind w:hanging="283" w:start="283"/>
    </w:pPr>
    <w:rPr/>
  </w:style>
  <w:style w:type="paragraph" w:styleId="TOC3">
    <w:name w:val="toc 3"/>
    <w:basedOn w:val="Index"/>
    <w:pPr>
      <w:tabs>
        <w:tab w:val="clear" w:pos="720"/>
        <w:tab w:val="right" w:pos="9072" w:leader="dot"/>
      </w:tabs>
      <w:ind w:start="566"/>
    </w:pPr>
    <w:rPr/>
  </w:style>
  <w:style w:type="paragraph" w:styleId="HeaderandFooter" w:customStyle="1">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rPr/>
  </w:style>
  <w:style w:type="paragraph" w:styleId="TableContents" w:customStyle="1">
    <w:name w:val="Table Contents"/>
    <w:basedOn w:val="Normal"/>
    <w:qFormat/>
    <w:pPr>
      <w:widowControl w:val="false"/>
      <w:suppressLineNumbers/>
      <w:spacing w:before="0" w:after="113"/>
    </w:pPr>
    <w:rPr/>
  </w:style>
  <w:style w:type="paragraph" w:styleId="TableHeading" w:customStyle="1">
    <w:name w:val="Table Heading"/>
    <w:basedOn w:val="TableContents"/>
    <w:qFormat/>
    <w:pPr/>
    <w:rPr>
      <w:b/>
      <w:bCs/>
    </w:rPr>
  </w:style>
  <w:style w:type="paragraph" w:styleId="Header">
    <w:name w:val="header"/>
    <w:basedOn w:val="HeaderandFooter"/>
    <w:pPr/>
    <w:rPr>
      <w:smallCaps/>
    </w:rPr>
  </w:style>
  <w:style w:type="paragraph" w:styleId="CommentText">
    <w:name w:val="annotation text"/>
    <w:basedOn w:val="Normal"/>
    <w:link w:val="CommentTextChar"/>
    <w:uiPriority w:val="99"/>
    <w:unhideWhenUsed/>
    <w:rsid w:val="00bf1f32"/>
    <w:pPr/>
    <w:rPr>
      <w:rFonts w:cs="Mangal"/>
      <w:sz w:val="20"/>
      <w:szCs w:val="18"/>
    </w:rPr>
  </w:style>
  <w:style w:type="paragraph" w:styleId="annotationsubject">
    <w:name w:val="annotation subject"/>
    <w:basedOn w:val="CommentText"/>
    <w:next w:val="CommentText"/>
    <w:link w:val="CommentSubjectChar"/>
    <w:uiPriority w:val="99"/>
    <w:semiHidden/>
    <w:unhideWhenUsed/>
    <w:qFormat/>
    <w:rsid w:val="00bf1f32"/>
    <w:pPr/>
    <w:rPr>
      <w:b/>
      <w:bCs/>
    </w:rPr>
  </w:style>
  <w:style w:type="paragraph" w:styleId="Revision">
    <w:name w:val="Revision"/>
    <w:uiPriority w:val="99"/>
    <w:semiHidden/>
    <w:qFormat/>
    <w:rsid w:val="00e01ccb"/>
    <w:pPr>
      <w:widowControl/>
      <w:suppressAutoHyphens w:val="false"/>
      <w:bidi w:val="0"/>
      <w:spacing w:before="0" w:after="0"/>
      <w:jc w:val="start"/>
    </w:pPr>
    <w:rPr>
      <w:rFonts w:ascii="Baskerville" w:hAnsi="Baskerville" w:cs="Mangal" w:eastAsia="Songti SC"/>
      <w:color w:val="auto"/>
      <w:kern w:val="2"/>
      <w:sz w:val="24"/>
      <w:szCs w:val="21"/>
      <w:lang w:val="en-GB" w:eastAsia="zh-CN" w:bidi="hi-IN"/>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s://doi.org/10.2475/ajs.s3-39.229.81" TargetMode="External"/><Relationship Id="rId10" Type="http://schemas.openxmlformats.org/officeDocument/2006/relationships/hyperlink" Target="http://hdl.handle.net/2246/6497" TargetMode="External"/><Relationship Id="rId11" Type="http://schemas.openxmlformats.org/officeDocument/2006/relationships/hyperlink" Target="https://doi.org/10.1130/GSAB-30-379" TargetMode="External"/><Relationship Id="rId12" Type="http://schemas.openxmlformats.org/officeDocument/2006/relationships/hyperlink" Target="https://dinotoyblog.com/" TargetMode="External"/><Relationship Id="rId13" Type="http://schemas.openxmlformats.org/officeDocument/2006/relationships/hyperlink" Target="https://github.com/miketaylor/palaeo-superbaro" TargetMode="External"/><Relationship Id="rId14" Type="http://schemas.openxmlformats.org/officeDocument/2006/relationships/hyperlink" Target="https://doi.org/10.7717/peerj.857" TargetMode="External"/><Relationship Id="rId15" Type="http://schemas.openxmlformats.org/officeDocument/2006/relationships/hyperlink" Target="https://naturalhistory.si.edu/sites/default/files/media/translated_publications/Young%26amp%3BZhao_72.pdf" TargetMode="External"/><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428</TotalTime>
  <Application>LibreOffice/26.2.0.3$MacOSX_AARCH64 LibreOffice_project/afbbd0df0edb6d40b450b0337ac646b0913a760c</Application>
  <AppVersion>15.0000</AppVersion>
  <Pages>35</Pages>
  <Words>17407</Words>
  <Characters>91823</Characters>
  <CharactersWithSpaces>108760</CharactersWithSpaces>
  <Paragraphs>387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2026-07-30T15:50:00Z</dcterms:created>
  <dc:creator>Mike Taylor</dc:creator>
  <dc:description/>
  <dc:language>en-GB</dc:language>
  <cp:lastModifiedBy>Mike Taylor</cp:lastModifiedBy>
  <dcterms:modified xsi:type="dcterms:W3CDTF">2026-07-31T20:43:54Z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