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were sent there (Gilmore 1923b:3). Another block belonging to this specimen was shipped to the Carnegie Museum with the intention that it would be turned over to the USNM once bones of another individual were extracted from it. (Gilmore 1923b:1). This block probably contained the “nine or ten vertebrae” of the tail later mentioned by Brown (1929) as being part of this specimen.</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they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w:t>
      </w:r>
      <w:r>
        <w:rPr/>
        <w:t xml:space="preserve">The process of bringing the skeleton back together dragged on: the thirteen crates of material at the USNM was not transported to the AMNH until February 1933 (Wetmore 1933). </w:t>
      </w:r>
      <w:r>
        <w:rPr/>
        <w:t>The reunited s</w:t>
      </w:r>
      <w:r>
        <w:rPr/>
        <w:t xml:space="preserve">pecimen </w:t>
      </w:r>
      <w:r>
        <w:rPr/>
        <w:t>was given the specimen number AMNH 6341. (See Norell et al. 1991:36–38, Dingus 1996:21–22, McIntosh 2005:42–43).</w:t>
      </w:r>
    </w:p>
    <w:p>
      <w:pPr>
        <w:pStyle w:val="BodyText"/>
        <w:rPr/>
      </w:pPr>
      <w:r>
        <w:rPr/>
        <w:t xml:space="preserve">Brown’s (1929) memorandum on the trading he did for fossils has a rather different list of </w:t>
      </w:r>
      <w:r>
        <w:rPr>
          <w:i/>
          <w:iCs/>
        </w:rPr>
        <w:t>Barosaurus</w:t>
      </w:r>
      <w:r>
        <w:rPr/>
        <w:t xml:space="preserve"> material at the USNM than that which Gilmore (1923b:3) specified when sending the fossils there. Where Gilmore had listed 13 cervicals, three dorsals, right scapula, humerus and radius and a sternal plate, Brown listed 10 cervicals, three anterior dorsals, left scapula and humerus. These discrepancies are significant. The difference in the number of cervicals can be explained as a consequence of supposed pairs turning out to be single long vertebrae, but the left/right differences for the appendicular material are harder to account for. The radius and sternal plate mentioned by Gilmore seem to have gone missing: they are not included in the material list below. It is possible that they still lurk unrecognised in the USNM collections.</w:t>
      </w:r>
    </w:p>
    <w:p>
      <w:pPr>
        <w:pStyle w:val="BodyText"/>
        <w:rPr/>
      </w:pPr>
      <w:r>
        <w:rPr/>
        <w:t>XXX “The skull and two or three of the anterior cervicals of no. 340 had been detached and were not in place” — Douglass 1922b:3.</w:t>
      </w:r>
    </w:p>
    <w:p>
      <w:pPr>
        <w:pStyle w:val="BodyText"/>
        <w:rPr/>
      </w:pPr>
      <w:r>
        <w:rPr/>
        <w:t>XXX “13 cervical vertebrae” reported in #340 — Gilmore 1923b:3.</w:t>
      </w:r>
    </w:p>
    <w:p>
      <w:pPr>
        <w:pStyle w:val="BodyText"/>
        <w:rPr/>
      </w:pPr>
      <w:r>
        <w:rPr/>
        <w:t>XXX Cite all documents sent by Abby Telfer.</w:t>
      </w:r>
    </w:p>
    <w:p>
      <w:pPr>
        <w:pStyle w:val="BodyText"/>
        <w:rPr/>
      </w:pPr>
      <w:r>
        <w:rPr/>
        <w:t xml:space="preserve">There is some evidence that the last ten cervical vertebrae (C7–16) were preserved in the specimen as first excavated: Brown (1929) says that the material then at the USNM included “the last ten cervical vertebrae with ribs”, and the quarry map of Gilmore (1932:figure 1) shows nine dorsals and ten cervicals belonging to the </w:t>
      </w:r>
      <w:r>
        <w:rPr>
          <w:i/>
          <w:iCs/>
        </w:rPr>
        <w:t>Barosaurus</w:t>
      </w:r>
      <w:r>
        <w:rPr/>
        <w:t xml:space="preserve"> skeleton. If this is correct, though, the most anterior of these (C7) seems to have been lost or destroyed, as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XXX discuss the possibility of arterial peristalsis.</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w:t>
      </w:r>
      <w:r>
        <w:rPr/>
        <w:t>d</w:t>
      </w:r>
      <w:r>
        <w:rPr/>
        <w:t xml:space="preserve">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val="false"/>
          <w:bCs w:val="false"/>
          <w:i w:val="false"/>
          <w:iCs w:val="false"/>
        </w:rPr>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8"/>
        <w:gridCol w:w="7430"/>
      </w:tblGrid>
      <w:tr>
        <w:trPr>
          <w:tblHeader w:val="true"/>
        </w:trPr>
        <w:tc>
          <w:tcPr>
            <w:tcW w:w="2208" w:type="dxa"/>
            <w:tcBorders/>
          </w:tcPr>
          <w:p>
            <w:pPr>
              <w:pStyle w:val="TableHeading"/>
              <w:spacing w:before="0" w:after="113"/>
              <w:rPr/>
            </w:pPr>
            <w:r>
              <w:rPr/>
              <w:t>Date</w:t>
            </w:r>
          </w:p>
        </w:tc>
        <w:tc>
          <w:tcPr>
            <w:tcW w:w="7430" w:type="dxa"/>
            <w:tcBorders/>
          </w:tcPr>
          <w:p>
            <w:pPr>
              <w:pStyle w:val="TableHeading"/>
              <w:spacing w:before="0" w:after="113"/>
              <w:rPr/>
            </w:pPr>
            <w:r>
              <w:rPr/>
              <w:t>Event</w:t>
            </w:r>
          </w:p>
        </w:tc>
      </w:tr>
      <w:tr>
        <w:trPr>
          <w:trHeight w:val="235" w:hRule="atLeast"/>
        </w:trPr>
        <w:tc>
          <w:tcPr>
            <w:tcW w:w="2208" w:type="dxa"/>
            <w:tcBorders/>
          </w:tcPr>
          <w:p>
            <w:pPr>
              <w:pStyle w:val="TableContents"/>
              <w:spacing w:before="0" w:after="113"/>
              <w:rPr/>
            </w:pPr>
            <w:r>
              <w:rPr/>
              <w:t>1880s</w:t>
            </w:r>
          </w:p>
        </w:tc>
        <w:tc>
          <w:tcPr>
            <w:tcW w:w="7430"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8" w:type="dxa"/>
            <w:tcBorders/>
          </w:tcPr>
          <w:p>
            <w:pPr>
              <w:pStyle w:val="TableContents"/>
              <w:spacing w:before="0" w:after="113"/>
              <w:rPr/>
            </w:pPr>
            <w:r>
              <w:rPr/>
              <w:t>Summer 1889</w:t>
            </w:r>
          </w:p>
        </w:tc>
        <w:tc>
          <w:tcPr>
            <w:tcW w:w="7430"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8" w:type="dxa"/>
            <w:tcBorders/>
          </w:tcPr>
          <w:p>
            <w:pPr>
              <w:pStyle w:val="TableContents"/>
              <w:spacing w:before="0" w:after="113"/>
              <w:rPr/>
            </w:pPr>
            <w:r>
              <w:rPr/>
              <w:t>1890</w:t>
            </w:r>
          </w:p>
        </w:tc>
        <w:tc>
          <w:tcPr>
            <w:tcW w:w="7430"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8" w:type="dxa"/>
            <w:tcBorders/>
          </w:tcPr>
          <w:p>
            <w:pPr>
              <w:pStyle w:val="TableContents"/>
              <w:spacing w:before="0" w:after="113"/>
              <w:rPr/>
            </w:pPr>
            <w:r>
              <w:rPr/>
              <w:t>Late August 1898</w:t>
            </w:r>
          </w:p>
        </w:tc>
        <w:tc>
          <w:tcPr>
            <w:tcW w:w="7430" w:type="dxa"/>
            <w:tcBorders/>
          </w:tcPr>
          <w:p>
            <w:pPr>
              <w:pStyle w:val="TableContents"/>
              <w:spacing w:before="0" w:after="113"/>
              <w:rPr/>
            </w:pPr>
            <w:r>
              <w:rPr/>
              <w:t>Marsh sent George Wieland to collect the rest of the skeleton.</w:t>
            </w:r>
          </w:p>
        </w:tc>
      </w:tr>
      <w:tr>
        <w:trPr>
          <w:trHeight w:val="235" w:hRule="atLeast"/>
        </w:trPr>
        <w:tc>
          <w:tcPr>
            <w:tcW w:w="2208" w:type="dxa"/>
            <w:tcBorders/>
          </w:tcPr>
          <w:p>
            <w:pPr>
              <w:pStyle w:val="TableContents"/>
              <w:spacing w:before="0" w:after="113"/>
              <w:rPr/>
            </w:pPr>
            <w:r>
              <w:rPr/>
              <w:t>1899</w:t>
            </w:r>
          </w:p>
        </w:tc>
        <w:tc>
          <w:tcPr>
            <w:tcW w:w="7430"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8" w:type="dxa"/>
            <w:tcBorders/>
          </w:tcPr>
          <w:p>
            <w:pPr>
              <w:pStyle w:val="TableContents"/>
              <w:spacing w:before="0" w:after="113"/>
              <w:rPr/>
            </w:pPr>
            <w:r>
              <w:rPr/>
              <w:t>1907</w:t>
            </w:r>
          </w:p>
        </w:tc>
        <w:tc>
          <w:tcPr>
            <w:tcW w:w="7430"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8" w:type="dxa"/>
            <w:tcBorders/>
          </w:tcPr>
          <w:p>
            <w:pPr>
              <w:pStyle w:val="TableContents"/>
              <w:spacing w:before="0" w:after="113"/>
              <w:rPr/>
            </w:pPr>
            <w:r>
              <w:rPr/>
              <w:t>Late 1916</w:t>
            </w:r>
          </w:p>
        </w:tc>
        <w:tc>
          <w:tcPr>
            <w:tcW w:w="7430"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8" w:type="dxa"/>
            <w:tcBorders/>
          </w:tcPr>
          <w:p>
            <w:pPr>
              <w:pStyle w:val="TableContents"/>
              <w:spacing w:before="0" w:after="113"/>
              <w:rPr/>
            </w:pPr>
            <w:r>
              <w:rPr/>
              <w:t>1917</w:t>
            </w:r>
          </w:p>
        </w:tc>
        <w:tc>
          <w:tcPr>
            <w:tcW w:w="7430" w:type="dxa"/>
            <w:tcBorders/>
          </w:tcPr>
          <w:p>
            <w:pPr>
              <w:pStyle w:val="TableContents"/>
              <w:spacing w:before="0" w:after="113"/>
              <w:rPr/>
            </w:pPr>
            <w:r>
              <w:rPr/>
              <w:t>Lull’s published abstract very briefly described the type specimen.</w:t>
            </w:r>
          </w:p>
        </w:tc>
      </w:tr>
      <w:tr>
        <w:trPr>
          <w:trHeight w:val="235" w:hRule="atLeast"/>
        </w:trPr>
        <w:tc>
          <w:tcPr>
            <w:tcW w:w="2208" w:type="dxa"/>
            <w:tcBorders/>
          </w:tcPr>
          <w:p>
            <w:pPr>
              <w:pStyle w:val="TableContents"/>
              <w:spacing w:before="0" w:after="113"/>
              <w:rPr/>
            </w:pPr>
            <w:r>
              <w:rPr/>
              <w:t>1919</w:t>
            </w:r>
          </w:p>
        </w:tc>
        <w:tc>
          <w:tcPr>
            <w:tcW w:w="7430" w:type="dxa"/>
            <w:tcBorders/>
          </w:tcPr>
          <w:p>
            <w:pPr>
              <w:pStyle w:val="TableContents"/>
              <w:spacing w:before="0" w:after="113"/>
              <w:rPr/>
            </w:pPr>
            <w:r>
              <w:rPr/>
              <w:t>Lull’s detailed monographic description of the type specimen.</w:t>
            </w:r>
          </w:p>
        </w:tc>
      </w:tr>
      <w:tr>
        <w:trPr>
          <w:trHeight w:val="235" w:hRule="atLeast"/>
        </w:trPr>
        <w:tc>
          <w:tcPr>
            <w:tcW w:w="2208" w:type="dxa"/>
            <w:tcBorders/>
          </w:tcPr>
          <w:p>
            <w:pPr>
              <w:pStyle w:val="TableContents"/>
              <w:spacing w:before="0" w:after="113"/>
              <w:rPr/>
            </w:pPr>
            <w:r>
              <w:rPr/>
              <w:t>1922</w:t>
            </w:r>
          </w:p>
        </w:tc>
        <w:tc>
          <w:tcPr>
            <w:tcW w:w="7430"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8" w:type="dxa"/>
            <w:tcBorders/>
          </w:tcPr>
          <w:p>
            <w:pPr>
              <w:pStyle w:val="TableContents"/>
              <w:spacing w:before="0" w:after="113"/>
              <w:rPr/>
            </w:pPr>
            <w:r>
              <w:rPr/>
              <w:t>1922–1923</w:t>
            </w:r>
          </w:p>
        </w:tc>
        <w:tc>
          <w:tcPr>
            <w:tcW w:w="7430"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8" w:type="dxa"/>
            <w:tcBorders/>
          </w:tcPr>
          <w:p>
            <w:pPr>
              <w:pStyle w:val="TableContents"/>
              <w:spacing w:before="0" w:after="113"/>
              <w:rPr/>
            </w:pPr>
            <w:r>
              <w:rPr/>
              <w:t>192</w:t>
            </w:r>
            <w:r>
              <w:rPr/>
              <w:t>3</w:t>
            </w:r>
          </w:p>
        </w:tc>
        <w:tc>
          <w:tcPr>
            <w:tcW w:w="7430"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w:t>
            </w:r>
            <w:r>
              <w:rPr/>
              <w:t>(#355)</w:t>
            </w:r>
            <w:r>
              <w:rPr/>
              <w:t xml:space="preserve">.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8" w:type="dxa"/>
            <w:tcBorders/>
          </w:tcPr>
          <w:p>
            <w:pPr>
              <w:pStyle w:val="TableContents"/>
              <w:spacing w:before="0" w:after="113"/>
              <w:rPr/>
            </w:pPr>
            <w:r>
              <w:rPr/>
              <w:t>1929</w:t>
            </w:r>
          </w:p>
        </w:tc>
        <w:tc>
          <w:tcPr>
            <w:tcW w:w="7430" w:type="dxa"/>
            <w:tcBorders/>
          </w:tcPr>
          <w:p>
            <w:pPr>
              <w:pStyle w:val="TableContents"/>
              <w:spacing w:before="0" w:after="113"/>
              <w:rPr/>
            </w:pPr>
            <w:r>
              <w:rPr/>
              <w:t xml:space="preserve">Barnum Brown realised that the USNM neck and the Carnegie tail belonged to the same individual as the partial skeleton at the University of Utah. He </w:t>
            </w:r>
            <w:r>
              <w:rPr/>
              <w:t xml:space="preserve">negotiated to </w:t>
            </w:r>
            <w:r>
              <w:rPr/>
              <w:t xml:space="preserve">acquire all three three portions of this skeleton </w:t>
            </w:r>
            <w:r>
              <w:rPr/>
              <w:t xml:space="preserve">for </w:t>
            </w:r>
            <w:r>
              <w:rPr/>
              <w:t>the American Museum of Natural History (AMNH) in New York.</w:t>
            </w:r>
          </w:p>
        </w:tc>
      </w:tr>
      <w:tr>
        <w:trPr>
          <w:trHeight w:val="246" w:hRule="atLeast"/>
        </w:trPr>
        <w:tc>
          <w:tcPr>
            <w:tcW w:w="2208" w:type="dxa"/>
            <w:tcBorders/>
          </w:tcPr>
          <w:p>
            <w:pPr>
              <w:pStyle w:val="TableContents"/>
              <w:spacing w:before="0" w:after="113"/>
              <w:rPr/>
            </w:pPr>
            <w:r>
              <w:rPr/>
              <w:t>1931</w:t>
            </w:r>
          </w:p>
        </w:tc>
        <w:tc>
          <w:tcPr>
            <w:tcW w:w="7430"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8" w:type="dxa"/>
            <w:tcBorders/>
          </w:tcPr>
          <w:p>
            <w:pPr>
              <w:pStyle w:val="TableContents"/>
              <w:spacing w:before="0" w:after="113"/>
              <w:rPr/>
            </w:pPr>
            <w:r>
              <w:rPr/>
              <w:t>9 February 1933</w:t>
            </w:r>
          </w:p>
        </w:tc>
        <w:tc>
          <w:tcPr>
            <w:tcW w:w="7430"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8" w:type="dxa"/>
            <w:tcBorders/>
          </w:tcPr>
          <w:p>
            <w:pPr>
              <w:pStyle w:val="TableContents"/>
              <w:spacing w:before="0" w:after="113"/>
              <w:rPr/>
            </w:pPr>
            <w:r>
              <w:rPr/>
              <w:t>17 April 1939</w:t>
            </w:r>
          </w:p>
        </w:tc>
        <w:tc>
          <w:tcPr>
            <w:tcW w:w="7430"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8" w:type="dxa"/>
            <w:tcBorders/>
          </w:tcPr>
          <w:p>
            <w:pPr>
              <w:pStyle w:val="TableContents"/>
              <w:spacing w:before="0" w:after="113"/>
              <w:rPr/>
            </w:pPr>
            <w:r>
              <w:rPr/>
              <w:t>Early 1950s</w:t>
            </w:r>
          </w:p>
        </w:tc>
        <w:tc>
          <w:tcPr>
            <w:tcW w:w="7430"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8" w:type="dxa"/>
            <w:tcBorders/>
          </w:tcPr>
          <w:p>
            <w:pPr>
              <w:pStyle w:val="TableContents"/>
              <w:spacing w:before="0" w:after="113"/>
              <w:rPr/>
            </w:pPr>
            <w:r>
              <w:rPr/>
              <w:t>1952</w:t>
            </w:r>
          </w:p>
        </w:tc>
        <w:tc>
          <w:tcPr>
            <w:tcW w:w="7430"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8" w:type="dxa"/>
            <w:tcBorders/>
          </w:tcPr>
          <w:p>
            <w:pPr>
              <w:pStyle w:val="TableContents"/>
              <w:spacing w:before="0" w:after="113"/>
              <w:rPr/>
            </w:pPr>
            <w:r>
              <w:rPr/>
              <w:t>8 June, 1957</w:t>
            </w:r>
          </w:p>
        </w:tc>
        <w:tc>
          <w:tcPr>
            <w:tcW w:w="7430"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8" w:type="dxa"/>
            <w:tcBorders/>
          </w:tcPr>
          <w:p>
            <w:pPr>
              <w:pStyle w:val="TableContents"/>
              <w:spacing w:before="0" w:after="113"/>
              <w:rPr/>
            </w:pPr>
            <w:r>
              <w:rPr/>
              <w:t>1970</w:t>
            </w:r>
          </w:p>
        </w:tc>
        <w:tc>
          <w:tcPr>
            <w:tcW w:w="7430"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8" w:type="dxa"/>
            <w:tcBorders/>
          </w:tcPr>
          <w:p>
            <w:pPr>
              <w:pStyle w:val="TableContents"/>
              <w:spacing w:before="0" w:after="113"/>
              <w:rPr/>
            </w:pPr>
            <w:r>
              <w:rPr/>
              <w:t>1977</w:t>
            </w:r>
          </w:p>
        </w:tc>
        <w:tc>
          <w:tcPr>
            <w:tcW w:w="7430" w:type="dxa"/>
            <w:tcBorders/>
          </w:tcPr>
          <w:p>
            <w:pPr>
              <w:pStyle w:val="TableContents"/>
              <w:spacing w:before="0" w:after="113"/>
              <w:rPr/>
            </w:pPr>
            <w:r>
              <w:rPr/>
              <w:t>Peter May began working with skeletal mounts at the Royal Ontario Museum.</w:t>
            </w:r>
          </w:p>
        </w:tc>
      </w:tr>
      <w:tr>
        <w:trPr>
          <w:trHeight w:val="246" w:hRule="atLeast"/>
        </w:trPr>
        <w:tc>
          <w:tcPr>
            <w:tcW w:w="2208" w:type="dxa"/>
            <w:tcBorders/>
          </w:tcPr>
          <w:p>
            <w:pPr>
              <w:pStyle w:val="TableContents"/>
              <w:spacing w:before="0" w:after="113"/>
              <w:rPr/>
            </w:pPr>
            <w:r>
              <w:rPr/>
              <w:t>1978</w:t>
            </w:r>
          </w:p>
        </w:tc>
        <w:tc>
          <w:tcPr>
            <w:tcW w:w="7430"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8" w:type="dxa"/>
            <w:tcBorders/>
          </w:tcPr>
          <w:p>
            <w:pPr>
              <w:pStyle w:val="TableContents"/>
              <w:spacing w:before="0" w:after="113"/>
              <w:rPr/>
            </w:pPr>
            <w:r>
              <w:rPr/>
              <w:t>1986</w:t>
            </w:r>
          </w:p>
        </w:tc>
        <w:tc>
          <w:tcPr>
            <w:tcW w:w="7430" w:type="dxa"/>
            <w:tcBorders/>
          </w:tcPr>
          <w:p>
            <w:pPr>
              <w:pStyle w:val="TableContents"/>
              <w:spacing w:before="0" w:after="113"/>
              <w:rPr/>
            </w:pPr>
            <w:r>
              <w:rPr/>
              <w:t>The AMNH began planning an extensive renovation of its fossil halls.</w:t>
            </w:r>
          </w:p>
        </w:tc>
      </w:tr>
      <w:tr>
        <w:trPr>
          <w:trHeight w:val="246" w:hRule="atLeast"/>
        </w:trPr>
        <w:tc>
          <w:tcPr>
            <w:tcW w:w="2208" w:type="dxa"/>
            <w:tcBorders/>
          </w:tcPr>
          <w:p>
            <w:pPr>
              <w:pStyle w:val="TableContents"/>
              <w:spacing w:before="0" w:after="113"/>
              <w:rPr/>
            </w:pPr>
            <w:r>
              <w:rPr/>
              <w:t>1989</w:t>
            </w:r>
          </w:p>
        </w:tc>
        <w:tc>
          <w:tcPr>
            <w:tcW w:w="7430"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8" w:type="dxa"/>
            <w:tcBorders/>
          </w:tcPr>
          <w:p>
            <w:pPr>
              <w:pStyle w:val="TableContents"/>
              <w:spacing w:before="0" w:after="113"/>
              <w:rPr/>
            </w:pPr>
            <w:r>
              <w:rPr/>
              <w:t>1990</w:t>
            </w:r>
          </w:p>
        </w:tc>
        <w:tc>
          <w:tcPr>
            <w:tcW w:w="7430" w:type="dxa"/>
            <w:tcBorders/>
          </w:tcPr>
          <w:p>
            <w:pPr>
              <w:pStyle w:val="TableContents"/>
              <w:spacing w:before="0" w:after="113"/>
              <w:rPr/>
            </w:pPr>
            <w:r>
              <w:rPr/>
              <w:t>Peter May went full time with his company Research Casting International (RCI).</w:t>
            </w:r>
          </w:p>
        </w:tc>
      </w:tr>
      <w:tr>
        <w:trPr>
          <w:trHeight w:val="246" w:hRule="atLeast"/>
        </w:trPr>
        <w:tc>
          <w:tcPr>
            <w:tcW w:w="2208" w:type="dxa"/>
            <w:tcBorders/>
          </w:tcPr>
          <w:p>
            <w:pPr>
              <w:pStyle w:val="TableContents"/>
              <w:spacing w:before="0" w:after="113"/>
              <w:rPr/>
            </w:pPr>
            <w:r>
              <w:rPr/>
              <w:t>28 March 1990</w:t>
            </w:r>
          </w:p>
        </w:tc>
        <w:tc>
          <w:tcPr>
            <w:tcW w:w="7430"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8" w:type="dxa"/>
            <w:tcBorders/>
          </w:tcPr>
          <w:p>
            <w:pPr>
              <w:pStyle w:val="TableContents"/>
              <w:spacing w:before="0" w:after="113"/>
              <w:rPr/>
            </w:pPr>
            <w:r>
              <w:rPr/>
              <w:t>Fall 1990</w:t>
            </w:r>
          </w:p>
        </w:tc>
        <w:tc>
          <w:tcPr>
            <w:tcW w:w="7430"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8" w:type="dxa"/>
            <w:tcBorders/>
          </w:tcPr>
          <w:p>
            <w:pPr>
              <w:pStyle w:val="TableContents"/>
              <w:spacing w:before="0" w:after="113"/>
              <w:rPr/>
            </w:pPr>
            <w:r>
              <w:rPr/>
              <w:t>Late 1990/early 1991</w:t>
            </w:r>
          </w:p>
        </w:tc>
        <w:tc>
          <w:tcPr>
            <w:tcW w:w="7430"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8" w:type="dxa"/>
            <w:tcBorders/>
          </w:tcPr>
          <w:p>
            <w:pPr>
              <w:pStyle w:val="TableContents"/>
              <w:spacing w:before="0" w:after="113"/>
              <w:rPr/>
            </w:pPr>
            <w:r>
              <w:rPr/>
              <w:t>Spring 1991</w:t>
            </w:r>
          </w:p>
        </w:tc>
        <w:tc>
          <w:tcPr>
            <w:tcW w:w="7430"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8" w:type="dxa"/>
            <w:tcBorders/>
          </w:tcPr>
          <w:p>
            <w:pPr>
              <w:pStyle w:val="TableContents"/>
              <w:spacing w:before="0" w:after="113"/>
              <w:rPr/>
            </w:pPr>
            <w:r>
              <w:rPr/>
              <w:t>Summer 1991</w:t>
            </w:r>
          </w:p>
        </w:tc>
        <w:tc>
          <w:tcPr>
            <w:tcW w:w="7430"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8" w:type="dxa"/>
            <w:tcBorders/>
          </w:tcPr>
          <w:p>
            <w:pPr>
              <w:pStyle w:val="TableContents"/>
              <w:spacing w:before="0" w:after="113"/>
              <w:rPr/>
            </w:pPr>
            <w:r>
              <w:rPr/>
              <w:t>November 1991</w:t>
            </w:r>
          </w:p>
        </w:tc>
        <w:tc>
          <w:tcPr>
            <w:tcW w:w="7430"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8" w:type="dxa"/>
            <w:tcBorders/>
          </w:tcPr>
          <w:p>
            <w:pPr>
              <w:pStyle w:val="TableContents"/>
              <w:spacing w:before="0" w:after="113"/>
              <w:rPr/>
            </w:pPr>
            <w:r>
              <w:rPr/>
              <w:t>29 November 1991</w:t>
            </w:r>
          </w:p>
        </w:tc>
        <w:tc>
          <w:tcPr>
            <w:tcW w:w="7430"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8" w:type="dxa"/>
            <w:tcBorders/>
          </w:tcPr>
          <w:p>
            <w:pPr>
              <w:pStyle w:val="TableContents"/>
              <w:spacing w:before="0" w:after="113"/>
              <w:rPr/>
            </w:pPr>
            <w:r>
              <w:rPr/>
              <w:t>3 December 1991</w:t>
            </w:r>
          </w:p>
        </w:tc>
        <w:tc>
          <w:tcPr>
            <w:tcW w:w="7430"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8" w:type="dxa"/>
            <w:tcBorders/>
          </w:tcPr>
          <w:p>
            <w:pPr>
              <w:pStyle w:val="TableContents"/>
              <w:spacing w:before="0" w:after="113"/>
              <w:rPr/>
            </w:pPr>
            <w:r>
              <w:rPr/>
              <w:t>4 December 1991</w:t>
            </w:r>
          </w:p>
        </w:tc>
        <w:tc>
          <w:tcPr>
            <w:tcW w:w="7430" w:type="dxa"/>
            <w:tcBorders/>
          </w:tcPr>
          <w:p>
            <w:pPr>
              <w:pStyle w:val="TableContents"/>
              <w:spacing w:before="0" w:after="113"/>
              <w:rPr/>
            </w:pPr>
            <w:r>
              <w:rPr/>
              <w:t>The exhibit was opened to the public.</w:t>
            </w:r>
          </w:p>
        </w:tc>
      </w:tr>
      <w:tr>
        <w:trPr>
          <w:trHeight w:val="246" w:hRule="atLeast"/>
        </w:trPr>
        <w:tc>
          <w:tcPr>
            <w:tcW w:w="2208" w:type="dxa"/>
            <w:tcBorders/>
          </w:tcPr>
          <w:p>
            <w:pPr>
              <w:pStyle w:val="TableContents"/>
              <w:spacing w:before="0" w:after="113"/>
              <w:rPr/>
            </w:pPr>
            <w:r>
              <w:rPr/>
              <w:t>2005</w:t>
            </w:r>
          </w:p>
        </w:tc>
        <w:tc>
          <w:tcPr>
            <w:tcW w:w="7430"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8" w:type="dxa"/>
            <w:tcBorders/>
          </w:tcPr>
          <w:p>
            <w:pPr>
              <w:pStyle w:val="TableContents"/>
              <w:spacing w:before="0" w:after="113"/>
              <w:rPr/>
            </w:pPr>
            <w:r>
              <w:rPr/>
              <w:t>2007</w:t>
            </w:r>
          </w:p>
        </w:tc>
        <w:tc>
          <w:tcPr>
            <w:tcW w:w="7430"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8" w:type="dxa"/>
            <w:tcBorders/>
          </w:tcPr>
          <w:p>
            <w:pPr>
              <w:pStyle w:val="TableContents"/>
              <w:spacing w:before="0" w:after="113"/>
              <w:rPr/>
            </w:pPr>
            <w:r>
              <w:rPr/>
              <w:t>5 December 2007</w:t>
            </w:r>
          </w:p>
        </w:tc>
        <w:tc>
          <w:tcPr>
            <w:tcW w:w="7430"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24333</TotalTime>
  <Application>LibreOffice/26.2.0.3$MacOSX_AARCH64 LibreOffice_project/afbbd0df0edb6d40b450b0337ac646b0913a760c</Application>
  <AppVersion>15.0000</AppVersion>
  <Pages>31</Pages>
  <Words>15676</Words>
  <Characters>82488</Characters>
  <CharactersWithSpaces>97724</CharactersWithSpaces>
  <Paragraphs>381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2026-06-09T13:51:47Z</dcterms:modified>
  <cp:revision>560</cp:revision>
  <dc:subject/>
  <dc:title/>
</cp:coreProperties>
</file>

<file path=docProps/custom.xml><?xml version="1.0" encoding="utf-8"?>
<Properties xmlns="http://schemas.openxmlformats.org/officeDocument/2006/custom-properties" xmlns:vt="http://schemas.openxmlformats.org/officeDocument/2006/docPropsVTypes"/>
</file>