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author)f</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i w:val="false"/>
          <w:iCs w:val="false"/>
        </w:rPr>
        <w:t xml:space="preserve"> </w:t>
      </w:r>
      <w:bookmarkStart w:id="0" w:name="__DdeLink__2703_3823776798"/>
      <w:r>
        <w:rPr>
          <w:i w:val="false"/>
          <w:iCs w:val="false"/>
        </w:rPr>
        <w:t xml:space="preserve">Division of Paleontology, American Museum of Natural History, New York, New York, USA. </w:t>
      </w:r>
      <w:hyperlink r:id="rId5">
        <w:r>
          <w:rPr>
            <w:rStyle w:val="Hyperlink"/>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 w:val="false"/>
          <w:iCs w:val="false"/>
        </w:rPr>
      </w:pPr>
      <w:r>
        <w:rPr>
          <w:i w:val="false"/>
          <w:iCs w:val="false"/>
        </w:rPr>
      </w:r>
    </w:p>
    <w:p>
      <w:pPr>
        <w:pStyle w:val="Abstract"/>
        <w:rPr>
          <w:rFonts w:ascii="Gill Sans" w:hAnsi="Gill Sans"/>
          <w:b/>
          <w:bCs/>
          <w:i w:val="false"/>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r>
              <w:rPr>
                <w:rStyle w:val="IndexLink"/>
              </w:rPr>
              <w:t>Introduction</w:t>
            </w:r>
            <w:r>
              <w:rPr>
                <w:rStyle w:val="IndexLink"/>
              </w:rPr>
              <w:tab/>
              <w:t>2</w:t>
            </w:r>
          </w:hyperlink>
        </w:p>
        <w:p>
          <w:pPr>
            <w:pStyle w:val="TOC2"/>
            <w:tabs>
              <w:tab w:val="clear" w:pos="9355"/>
              <w:tab w:val="right" w:pos="9637" w:leader="dot"/>
            </w:tabs>
            <w:rPr/>
          </w:pPr>
          <w:hyperlink w:anchor="__RefHeading___Toc3323_2187837281">
            <w:r>
              <w:rPr>
                <w:rStyle w:val="IndexLink"/>
              </w:rPr>
              <w:t>Anatomical nomenclature</w:t>
              <w:tab/>
              <w:t>3</w:t>
            </w:r>
          </w:hyperlink>
        </w:p>
        <w:p>
          <w:pPr>
            <w:pStyle w:val="TOC2"/>
            <w:tabs>
              <w:tab w:val="clear" w:pos="9355"/>
              <w:tab w:val="right" w:pos="9637" w:leader="dot"/>
            </w:tabs>
            <w:rPr/>
          </w:pPr>
          <w:hyperlink w:anchor="__RefHeading___Toc5349_68767826">
            <w:r>
              <w:rPr>
                <w:rStyle w:val="IndexLink"/>
              </w:rPr>
              <w:t>Institutional abbreviations</w:t>
              <w:tab/>
              <w:t>3</w:t>
            </w:r>
          </w:hyperlink>
        </w:p>
        <w:p>
          <w:pPr>
            <w:pStyle w:val="TOC1"/>
            <w:tabs>
              <w:tab w:val="clear" w:pos="9638"/>
              <w:tab w:val="right" w:pos="9637" w:leader="dot"/>
            </w:tabs>
            <w:rPr/>
          </w:pPr>
          <w:hyperlink w:anchor="__RefHeading___Toc4316_68767826">
            <w:r>
              <w:rPr>
                <w:rStyle w:val="IndexLink"/>
              </w:rPr>
              <w:t>Historical background</w:t>
              <w:tab/>
              <w:t>3</w:t>
            </w:r>
          </w:hyperlink>
        </w:p>
        <w:p>
          <w:pPr>
            <w:pStyle w:val="TOC2"/>
            <w:tabs>
              <w:tab w:val="clear" w:pos="9355"/>
              <w:tab w:val="right" w:pos="9637" w:leader="dot"/>
            </w:tabs>
            <w:rPr/>
          </w:pPr>
          <w:hyperlink w:anchor="__RefHeading___Toc12350_68767826">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r>
              <w:rPr>
                <w:rStyle w:val="IndexLink"/>
              </w:rPr>
              <w:t xml:space="preserve">The AMNH specimen of </w:t>
            </w:r>
            <w:r>
              <w:rPr>
                <w:rStyle w:val="IndexLink"/>
                <w:i/>
                <w:iCs/>
              </w:rPr>
              <w:t>Barosaurus</w:t>
            </w:r>
            <w:r>
              <w:rPr>
                <w:rStyle w:val="IndexLink"/>
              </w:rPr>
              <w:tab/>
              <w:t>4</w:t>
            </w:r>
          </w:hyperlink>
        </w:p>
        <w:p>
          <w:pPr>
            <w:pStyle w:val="TOC1"/>
            <w:tabs>
              <w:tab w:val="clear" w:pos="9638"/>
              <w:tab w:val="right" w:pos="9637" w:leader="dot"/>
            </w:tabs>
            <w:rPr/>
          </w:pPr>
          <w:hyperlink w:anchor="__RefHeading___Toc5351_68767826">
            <w:r>
              <w:rPr>
                <w:rStyle w:val="IndexLink"/>
              </w:rPr>
              <w:t xml:space="preserve">The AMNH mounted </w:t>
            </w:r>
            <w:r>
              <w:rPr>
                <w:rStyle w:val="IndexLink"/>
                <w:i/>
                <w:iCs/>
              </w:rPr>
              <w:t>Barosaurus</w:t>
            </w:r>
            <w:r>
              <w:rPr>
                <w:rStyle w:val="IndexLink"/>
              </w:rPr>
              <w:tab/>
              <w:t>5</w:t>
            </w:r>
          </w:hyperlink>
        </w:p>
        <w:p>
          <w:pPr>
            <w:pStyle w:val="TOC2"/>
            <w:tabs>
              <w:tab w:val="clear" w:pos="9355"/>
              <w:tab w:val="right" w:pos="9637" w:leader="dot"/>
            </w:tabs>
            <w:rPr/>
          </w:pPr>
          <w:hyperlink w:anchor="__RefHeading___Toc5354_68767826">
            <w:r>
              <w:rPr>
                <w:rStyle w:val="IndexLink"/>
              </w:rPr>
              <w:t>The conception of the mount</w:t>
              <w:tab/>
              <w:t>5</w:t>
            </w:r>
          </w:hyperlink>
        </w:p>
        <w:p>
          <w:pPr>
            <w:pStyle w:val="TOC2"/>
            <w:tabs>
              <w:tab w:val="clear" w:pos="9355"/>
              <w:tab w:val="right" w:pos="9637" w:leader="dot"/>
            </w:tabs>
            <w:rPr/>
          </w:pPr>
          <w:hyperlink w:anchor="__RefHeading___Toc1099_1709072779">
            <w:r>
              <w:rPr>
                <w:rStyle w:val="IndexLink"/>
                <w:i w:val="false"/>
                <w:iCs w:val="false"/>
              </w:rPr>
              <w:t>The purpose of the mount</w:t>
            </w:r>
            <w:r>
              <w:rPr>
                <w:rStyle w:val="IndexLink"/>
              </w:rPr>
              <w:tab/>
              <w:t>7</w:t>
            </w:r>
          </w:hyperlink>
        </w:p>
        <w:p>
          <w:pPr>
            <w:pStyle w:val="TOC2"/>
            <w:tabs>
              <w:tab w:val="clear" w:pos="9355"/>
              <w:tab w:val="right" w:pos="9637" w:leader="dot"/>
            </w:tabs>
            <w:rPr/>
          </w:pPr>
          <w:hyperlink w:anchor="__RefHeading___Toc18297_68767826">
            <w:r>
              <w:rPr>
                <w:rStyle w:val="IndexLink"/>
              </w:rPr>
              <w:t>The creation of the mount</w:t>
              <w:tab/>
              <w:t>7</w:t>
            </w:r>
          </w:hyperlink>
        </w:p>
        <w:p>
          <w:pPr>
            <w:pStyle w:val="TOC2"/>
            <w:tabs>
              <w:tab w:val="clear" w:pos="9355"/>
              <w:tab w:val="right" w:pos="9637" w:leader="dot"/>
            </w:tabs>
            <w:rPr/>
          </w:pPr>
          <w:hyperlink w:anchor="__RefHeading___Toc5632_2187837281">
            <w:r>
              <w:rPr>
                <w:rStyle w:val="IndexLink"/>
              </w:rPr>
              <w:t>Photography of the mount</w:t>
              <w:tab/>
              <w:t>10</w:t>
            </w:r>
          </w:hyperlink>
        </w:p>
        <w:p>
          <w:pPr>
            <w:pStyle w:val="TOC2"/>
            <w:tabs>
              <w:tab w:val="clear" w:pos="9355"/>
              <w:tab w:val="right" w:pos="9637" w:leader="dot"/>
            </w:tabs>
            <w:rPr/>
          </w:pPr>
          <w:hyperlink w:anchor="__RefHeading___Toc5356_68767826">
            <w:r>
              <w:rPr>
                <w:rStyle w:val="IndexLink"/>
              </w:rPr>
              <w:t>The composition of the mount</w:t>
              <w:tab/>
              <w:t>10</w:t>
            </w:r>
          </w:hyperlink>
        </w:p>
        <w:p>
          <w:pPr>
            <w:pStyle w:val="TOC3"/>
            <w:tabs>
              <w:tab w:val="clear" w:pos="9072"/>
              <w:tab w:val="right" w:pos="9637" w:leader="dot"/>
            </w:tabs>
            <w:rPr/>
          </w:pPr>
          <w:hyperlink w:anchor="__RefHeading___Toc16585_68767826">
            <w:r>
              <w:rPr>
                <w:rStyle w:val="IndexLink"/>
              </w:rPr>
              <w:t>Overview</w:t>
              <w:tab/>
              <w:t>10</w:t>
            </w:r>
          </w:hyperlink>
        </w:p>
        <w:p>
          <w:pPr>
            <w:pStyle w:val="TOC3"/>
            <w:tabs>
              <w:tab w:val="clear" w:pos="9072"/>
              <w:tab w:val="right" w:pos="9637" w:leader="dot"/>
            </w:tabs>
            <w:rPr/>
          </w:pPr>
          <w:hyperlink w:anchor="__RefHeading___Toc4995_537823704">
            <w:r>
              <w:rPr>
                <w:rStyle w:val="IndexLink"/>
                <w:i/>
                <w:iCs/>
              </w:rPr>
              <w:t>Barosaurus</w:t>
            </w:r>
            <w:r>
              <w:rPr>
                <w:rStyle w:val="IndexLink"/>
              </w:rPr>
              <w:t xml:space="preserve"> material in the mount</w:t>
              <w:tab/>
              <w:t>10</w:t>
            </w:r>
          </w:hyperlink>
        </w:p>
        <w:p>
          <w:pPr>
            <w:pStyle w:val="TOC3"/>
            <w:tabs>
              <w:tab w:val="clear" w:pos="9072"/>
              <w:tab w:val="right" w:pos="9637" w:leader="dot"/>
            </w:tabs>
            <w:rPr/>
          </w:pPr>
          <w:hyperlink w:anchor="__RefHeading___Toc16587_68767826">
            <w:r>
              <w:rPr>
                <w:rStyle w:val="IndexLink"/>
              </w:rPr>
              <w:t>Skull</w:t>
              <w:tab/>
              <w:t>12</w:t>
            </w:r>
          </w:hyperlink>
        </w:p>
        <w:p>
          <w:pPr>
            <w:pStyle w:val="TOC3"/>
            <w:tabs>
              <w:tab w:val="clear" w:pos="9072"/>
              <w:tab w:val="right" w:pos="9637" w:leader="dot"/>
            </w:tabs>
            <w:rPr/>
          </w:pPr>
          <w:hyperlink w:anchor="__RefHeading___Toc16589_68767826">
            <w:r>
              <w:rPr>
                <w:rStyle w:val="IndexLink"/>
              </w:rPr>
              <w:t>Neck</w:t>
              <w:tab/>
              <w:t>12</w:t>
            </w:r>
          </w:hyperlink>
        </w:p>
        <w:p>
          <w:pPr>
            <w:pStyle w:val="TOC3"/>
            <w:tabs>
              <w:tab w:val="clear" w:pos="9072"/>
              <w:tab w:val="right" w:pos="9637" w:leader="dot"/>
            </w:tabs>
            <w:rPr/>
          </w:pPr>
          <w:hyperlink w:anchor="__RefHeading___Toc2466_2187837281">
            <w:r>
              <w:rPr>
                <w:rStyle w:val="IndexLink"/>
              </w:rPr>
              <w:t>Torso, sacrum and tail</w:t>
              <w:tab/>
              <w:t>13</w:t>
            </w:r>
          </w:hyperlink>
        </w:p>
        <w:p>
          <w:pPr>
            <w:pStyle w:val="TOC3"/>
            <w:tabs>
              <w:tab w:val="clear" w:pos="9072"/>
              <w:tab w:val="right" w:pos="9637" w:leader="dot"/>
            </w:tabs>
            <w:rPr/>
          </w:pPr>
          <w:hyperlink w:anchor="__RefHeading___Toc2470_2187837281">
            <w:r>
              <w:rPr>
                <w:rStyle w:val="IndexLink"/>
              </w:rPr>
              <w:t>Forelimbs and girdles</w:t>
              <w:tab/>
              <w:t>13</w:t>
            </w:r>
          </w:hyperlink>
        </w:p>
        <w:p>
          <w:pPr>
            <w:pStyle w:val="TOC3"/>
            <w:tabs>
              <w:tab w:val="clear" w:pos="9072"/>
              <w:tab w:val="right" w:pos="9637" w:leader="dot"/>
            </w:tabs>
            <w:rPr/>
          </w:pPr>
          <w:hyperlink w:anchor="__RefHeading___Toc2472_2187837281">
            <w:r>
              <w:rPr>
                <w:rStyle w:val="IndexLink"/>
              </w:rPr>
              <w:t>Hindlimbs and girdles</w:t>
              <w:tab/>
              <w:t>13</w:t>
            </w:r>
          </w:hyperlink>
        </w:p>
        <w:p>
          <w:pPr>
            <w:pStyle w:val="TOC1"/>
            <w:tabs>
              <w:tab w:val="clear" w:pos="9638"/>
              <w:tab w:val="right" w:pos="9637" w:leader="dot"/>
            </w:tabs>
            <w:rPr/>
          </w:pPr>
          <w:hyperlink w:anchor="__RefHeading___Toc3401_68767826">
            <w:r>
              <w:rPr>
                <w:rStyle w:val="IndexLink"/>
              </w:rPr>
              <w:t>Discussion</w:t>
              <w:tab/>
              <w:t>14</w:t>
            </w:r>
          </w:hyperlink>
        </w:p>
        <w:p>
          <w:pPr>
            <w:pStyle w:val="TOC2"/>
            <w:tabs>
              <w:tab w:val="clear" w:pos="9355"/>
              <w:tab w:val="right" w:pos="9637" w:leader="dot"/>
            </w:tabs>
            <w:rPr/>
          </w:pPr>
          <w:hyperlink w:anchor="__RefHeading___Toc2476_2187837281">
            <w:r>
              <w:rPr>
                <w:rStyle w:val="IndexLink"/>
              </w:rPr>
              <w:t>Rearing pose</w:t>
              <w:tab/>
              <w:t>14</w:t>
            </w:r>
          </w:hyperlink>
        </w:p>
        <w:p>
          <w:pPr>
            <w:pStyle w:val="TOC2"/>
            <w:tabs>
              <w:tab w:val="clear" w:pos="9355"/>
              <w:tab w:val="right" w:pos="9637" w:leader="dot"/>
            </w:tabs>
            <w:rPr/>
          </w:pPr>
          <w:hyperlink w:anchor="__RefHeading___Toc3786_1986291683">
            <w:r>
              <w:rPr>
                <w:rStyle w:val="IndexLink"/>
              </w:rPr>
              <w:t>A short history of a rearing sauropods</w:t>
              <w:tab/>
              <w:t>15</w:t>
            </w:r>
          </w:hyperlink>
        </w:p>
        <w:p>
          <w:pPr>
            <w:pStyle w:val="TOC2"/>
            <w:tabs>
              <w:tab w:val="clear" w:pos="9355"/>
              <w:tab w:val="right" w:pos="9637" w:leader="dot"/>
            </w:tabs>
            <w:rPr/>
          </w:pPr>
          <w:hyperlink w:anchor="__RefHeading___Toc11689_675290491">
            <w:r>
              <w:rPr>
                <w:rStyle w:val="IndexLink"/>
              </w:rPr>
              <w:t>Cultural impact</w:t>
              <w:tab/>
              <w:t>17</w:t>
            </w:r>
          </w:hyperlink>
        </w:p>
        <w:p>
          <w:pPr>
            <w:pStyle w:val="TOC2"/>
            <w:tabs>
              <w:tab w:val="clear" w:pos="9355"/>
              <w:tab w:val="right" w:pos="9637" w:leader="dot"/>
            </w:tabs>
            <w:rPr/>
          </w:pPr>
          <w:hyperlink w:anchor="__RefHeading___Toc21934_68767826">
            <w:r>
              <w:rPr>
                <w:rStyle w:val="IndexLink"/>
              </w:rPr>
              <w:t>Size of the AMNH 6341 animal</w:t>
              <w:tab/>
              <w:t>17</w:t>
            </w:r>
          </w:hyperlink>
        </w:p>
        <w:p>
          <w:pPr>
            <w:pStyle w:val="TOC1"/>
            <w:tabs>
              <w:tab w:val="clear" w:pos="9638"/>
              <w:tab w:val="right" w:pos="9637" w:leader="dot"/>
            </w:tabs>
            <w:rPr/>
          </w:pPr>
          <w:hyperlink w:anchor="__RefHeading___Toc3403_68767826">
            <w:r>
              <w:rPr>
                <w:rStyle w:val="IndexLink"/>
              </w:rPr>
              <w:t>Acknowledgements</w:t>
              <w:tab/>
              <w:t>18</w:t>
            </w:r>
          </w:hyperlink>
        </w:p>
        <w:p>
          <w:pPr>
            <w:pStyle w:val="TOC1"/>
            <w:tabs>
              <w:tab w:val="clear" w:pos="9638"/>
              <w:tab w:val="right" w:pos="9637" w:leader="dot"/>
            </w:tabs>
            <w:rPr/>
          </w:pPr>
          <w:hyperlink w:anchor="__RefHeading___Toc3405_68767826">
            <w:r>
              <w:rPr>
                <w:rStyle w:val="IndexLink"/>
              </w:rPr>
              <w:t>References</w:t>
              <w:tab/>
              <w:t>18</w:t>
            </w:r>
          </w:hyperlink>
        </w:p>
        <w:p>
          <w:pPr>
            <w:pStyle w:val="TOC1"/>
            <w:tabs>
              <w:tab w:val="clear" w:pos="9638"/>
              <w:tab w:val="right" w:pos="9637" w:leader="dot"/>
            </w:tabs>
            <w:rPr/>
          </w:pPr>
          <w:hyperlink w:anchor="__RefHeading___Toc3407_68767826">
            <w:r>
              <w:rPr>
                <w:rStyle w:val="IndexLink"/>
              </w:rPr>
              <w:t>Figure Captions</w:t>
              <w:tab/>
              <w:t>22</w:t>
            </w:r>
          </w:hyperlink>
          <w:r>
            <w:rPr>
              <w:rStyle w:val="IndexLink"/>
            </w:rPr>
            <w:fldChar w:fldCharType="end"/>
          </w:r>
        </w:p>
      </w:sdtContent>
    </w:sdt>
    <w:p>
      <w:pPr>
        <w:pStyle w:val="BodyText"/>
        <w:spacing w:lineRule="auto" w:line="276" w:before="0" w:after="140"/>
        <w:rPr>
          <w:i/>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w:t>
      </w:r>
      <w:r>
        <w:rPr/>
        <w:t xml:space="preserve">(Table 1), </w:t>
      </w:r>
      <w:r>
        <w:rPr/>
        <w:t xml:space="preserve">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BodyText"/>
        <w:rPr/>
      </w:pPr>
      <w:r>
        <w:rPr/>
        <w:t xml:space="preserve">Earl Douglass had first discovered dinosaur fossils at Dinosaur National Monument in 1909 (Gilmore 1932:2), and so had been working the area for a full decade by 1919, when the expedition sponsor Andrew Carnegie died at the age of 83. It was apparent that work at the quarry would soon end without his funding, and Douglass joined the staff of the University of Utah. Beginning in 1922, two fine diplodocine skeletons were partially excavated from the easternmost part of the quarry (McIntosh 2005:42). One of these, designated #355 in the field, was a </w:t>
      </w:r>
      <w:r>
        <w:rPr>
          <w:i/>
          <w:iCs/>
        </w:rPr>
        <w:t>Diplodocus</w:t>
      </w:r>
      <w:r>
        <w:rPr/>
        <w:t xml:space="preserve"> that was collected by Charles W. Gilmore for the National Museum of Natural History in Washington, D.C. (USNM 10865),. The other, designated #340 and thought at that time also to be </w:t>
      </w:r>
      <w:r>
        <w:rPr>
          <w:i/>
          <w:iCs/>
        </w:rPr>
        <w:t>Diplodocus,</w:t>
      </w:r>
      <w:r>
        <w:rPr/>
        <w:t xml:space="preserve"> was destined to go with Douglass to the University of Utah, though to further complicate matters nine or ten caudal vertebrae were sent to the Carnegie Museum. However, when it became clear that the USNM </w:t>
      </w:r>
      <w:r>
        <w:rPr>
          <w:i/>
          <w:iCs/>
        </w:rPr>
        <w:t>Diplodocus</w:t>
      </w:r>
      <w:r>
        <w:rPr/>
        <w:t xml:space="preserve"> lacked a neck, it was arranged to supplement this material with the neck, anterior dorsals and scapulocoracoid and humerus from the University of Utah specimen. This left the skeleton now spread across three institutions in Salt Lake City, Pittsburgh, and Washington, D.C. It is perhaps for this reason that, although the rest of this specimen was excavated, sent to the University of Utah and prepared, it was never mounted. Meanwhile, the neck that had been sent to Washington, D.C. proved when prepared not to belong to </w:t>
      </w:r>
      <w:r>
        <w:rPr>
          <w:i/>
          <w:iCs/>
        </w:rPr>
        <w:t>Diplodocus</w:t>
      </w:r>
      <w:r>
        <w:rPr/>
        <w:t xml:space="preserve"> after all but to </w:t>
      </w:r>
      <w:r>
        <w:rPr>
          <w:i/>
          <w:iCs/>
        </w:rPr>
        <w:t>Barosaurus</w:t>
      </w:r>
      <w:r>
        <w:rPr/>
        <w:t xml:space="preserve"> (Gilmore 1932:4). It was therefore not used after all in the mount of USNM 10865, which was instead completed with casts of the Carnegie </w:t>
      </w:r>
      <w:r>
        <w:rPr>
          <w:i/>
          <w:iCs/>
        </w:rPr>
        <w:t>Diplodocus</w:t>
      </w:r>
      <w:r>
        <w:rPr/>
        <w:t xml:space="preserve"> CM 84 and unveiled in 1932 (Gilmore 1932).</w:t>
      </w:r>
    </w:p>
    <w:p>
      <w:pPr>
        <w:pStyle w:val="BodyText"/>
        <w:rPr/>
      </w:pPr>
      <w:r>
        <w:rPr/>
        <w:t xml:space="preserve">In 1929, Barnum Brown, acting for the American Museum of Natural History, visited most of the nation’s major natural history museums to assess their collections. He realised that the neck, anterior torso, scapulocoracoid and humerus at the USNM, and the tail segment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the University of Utah made a cash-plus-fossils deal in which they were paid $2,500 cash plus the equivalent value in fossil mammal specimens (Brown 1929). The reunited skeleton was given the specimen number AMNH 6341. (See Norell et al. 1991:36–38, Dingus 1996:21–22, McIntosh 2005:42–43).</w:t>
      </w:r>
    </w:p>
    <w:p>
      <w:pPr>
        <w:pStyle w:val="BodyText"/>
        <w:rPr/>
      </w:pPr>
      <w:r>
        <w:rPr/>
        <w:t xml:space="preserve">There is some evidence that the last ten cervical vertebrae (C7–16) were preserved in the specimen as first excavated: Brown (1929) says that the material then at the USNM included “the last ten cervical vertebrae with ribs”, and the quarry map of Gilmore (1932:figure 1) shows nine dorsals and ten cervicals belonging to the </w:t>
      </w:r>
      <w:r>
        <w:rPr>
          <w:i/>
          <w:iCs/>
        </w:rPr>
        <w:t>Barosaurus</w:t>
      </w:r>
      <w:r>
        <w:rPr/>
        <w:t xml:space="preserve"> skeleton. If this is correct, though, the most anterior of these (C7) seems to have been lost or destroyed, as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7" w:name="__RefHeading___Toc5351_68767826"/>
      <w:bookmarkEnd w:id="7"/>
      <w:r>
        <w:rPr/>
        <w:t xml:space="preserve">The AMNH mounted </w:t>
      </w:r>
      <w:r>
        <w:rPr>
          <w:i/>
          <w:iCs/>
        </w:rPr>
        <w:t>Barosaurus</w:t>
      </w:r>
    </w:p>
    <w:p>
      <w:pPr>
        <w:pStyle w:val="Heading2"/>
        <w:rPr/>
      </w:pPr>
      <w:bookmarkStart w:id="8" w:name="__RefHeading___Toc5354_68767826"/>
      <w:bookmarkEnd w:id="8"/>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9" w:name="__RefHeading___Toc1099_1709072779"/>
      <w:bookmarkEnd w:id="9"/>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0" w:name="__RefHeading___Toc18297_68767826"/>
      <w:bookmarkEnd w:id="10"/>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1" w:name="__RefHeading___Toc5632_2187837281"/>
      <w:bookmarkEnd w:id="11"/>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Smithsonian.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2" w:name="__RefHeading___Toc5356_68767826"/>
      <w:bookmarkEnd w:id="12"/>
      <w:r>
        <w:rPr/>
        <w:t>The composition of the mount</w:t>
      </w:r>
    </w:p>
    <w:p>
      <w:pPr>
        <w:pStyle w:val="Heading3"/>
        <w:numPr>
          <w:ilvl w:val="2"/>
          <w:numId w:val="5"/>
        </w:numPr>
        <w:ind w:hanging="0" w:left="0" w:right="0"/>
        <w:rPr/>
      </w:pPr>
      <w:bookmarkStart w:id="13" w:name="__RefHeading___Toc16585_68767826"/>
      <w:bookmarkEnd w:id="13"/>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in press), so it is possible to determine the sources of most of the bones in the </w:t>
      </w:r>
      <w:r>
        <w:rPr>
          <w:i/>
          <w:iCs/>
        </w:rPr>
        <w:t>Barosaurus</w:t>
      </w:r>
      <w:r>
        <w:rPr/>
        <w:t xml:space="preserve"> mount. The details follow. </w:t>
      </w:r>
    </w:p>
    <w:p>
      <w:pPr>
        <w:pStyle w:val="Heading3"/>
        <w:rPr/>
      </w:pPr>
      <w:bookmarkStart w:id="14" w:name="__RefHeading___Toc4995_537823704"/>
      <w:bookmarkEnd w:id="14"/>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5" w:name="__DdeLink__31298_802501007"/>
      <w:r>
        <w:rPr/>
        <w:t>six partial ribs, of which one is the first or possibly second on the left side, and another is probably its counterpart</w:t>
      </w:r>
      <w:bookmarkEnd w:id="15"/>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and also the elements necessary to complete the AMNH </w:t>
      </w:r>
      <w:r>
        <w:rPr>
          <w:i/>
          <w:iCs/>
        </w:rPr>
        <w:t>Barosaurus</w:t>
      </w:r>
      <w:r>
        <w:rPr/>
        <w:t xml:space="preserve"> cast. 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16" w:name="__RefHeading___Toc16587_68767826"/>
      <w:bookmarkEnd w:id="16"/>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(in press.), Holland (1906:227) explains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17" w:name="__RefHeading___Toc16589_68767826"/>
      <w:bookmarkEnd w:id="17"/>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(in press),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18" w:name="__RefHeading___Toc2466_2187837281"/>
      <w:bookmarkEnd w:id="18"/>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19" w:name="__RefHeading___Toc2470_2187837281"/>
      <w:bookmarkEnd w:id="19"/>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(in press),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To correct theses error, which were well understood by the 1990s, a set of metacarpals (DMN 2568) was loaned from Dinosaur National Monument, cast and returned. Corresponding sculptures were created for the metacarpals of the other manus, and these were used in place of the camarasaurid metacarpals. Other elements of the forefeet were taken from the Carnegie </w:t>
      </w:r>
      <w:r>
        <w:rPr>
          <w:i/>
          <w:iCs/>
        </w:rPr>
        <w:t>Diplodocus</w:t>
      </w:r>
      <w:r>
        <w:rPr/>
        <w:t>, but the unguals were removed from digits II and III to correctly leave a single manual ungual.</w:t>
      </w:r>
    </w:p>
    <w:p>
      <w:pPr>
        <w:pStyle w:val="Heading3"/>
        <w:rPr/>
      </w:pPr>
      <w:r>
        <w:rPr/>
        <w:t>Hindlimbs and girdles</w:t>
      </w:r>
    </w:p>
    <w:p>
      <w:pPr>
        <w:pStyle w:val="BodyText"/>
        <w:rPr/>
      </w:pPr>
      <w:r>
        <w:rPr/>
        <w:t xml:space="preserve">As noted by Taylor et al. (in press),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0" w:name="__RefHeading___Toc3401_68767826"/>
      <w:bookmarkEnd w:id="20"/>
      <w:r>
        <w:rPr/>
        <w:t>Discussion</w:t>
      </w:r>
    </w:p>
    <w:p>
      <w:pPr>
        <w:pStyle w:val="Heading2"/>
        <w:rPr/>
      </w:pPr>
      <w:bookmarkStart w:id="21" w:name="__RefHeading___Toc2476_2187837281"/>
      <w:bookmarkEnd w:id="21"/>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of this discussion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2" w:name="__RefHeading___Toc3786_1986291683"/>
      <w:bookmarkEnd w:id="22"/>
      <w:r>
        <w:rPr/>
        <w:t>A short history of a rearing sauropods</w:t>
      </w:r>
    </w:p>
    <w:p>
      <w:pPr>
        <w:pStyle w:val="BodyText"/>
        <w:rPr/>
      </w:pPr>
      <w:r>
        <w:rPr/>
        <w:t xml:space="preserve">The notion of rearing sauropods has a long heritage. The first ever life restoration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3" w:name="__RefHeading___Toc11689_675290491"/>
      <w:bookmarkEnd w:id="23"/>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part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4" w:name="__RefHeading___Toc21934_68767826"/>
      <w:bookmarkEnd w:id="24"/>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25" w:name="__RefHeading___Toc3403_68767826"/>
      <w:bookmarkEnd w:id="25"/>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Heading1"/>
        <w:numPr>
          <w:ilvl w:val="0"/>
          <w:numId w:val="3"/>
        </w:numPr>
        <w:ind w:hanging="0" w:left="0" w:right="0"/>
        <w:rPr/>
      </w:pPr>
      <w:bookmarkStart w:id="26" w:name="__RefHeading___Toc3405_68767826"/>
      <w:bookmarkEnd w:id="26"/>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Gilmore, Charles W. 1932. On a newly mounted skeleton of </w:t>
      </w:r>
      <w:r>
        <w:rPr>
          <w:i/>
          <w:iCs/>
        </w:rPr>
        <w:t>Diplodocus</w:t>
      </w:r>
      <w:r>
        <w:rPr/>
        <w:t xml:space="preserve"> in the United States National Museum. </w:t>
      </w:r>
      <w:bookmarkStart w:id="27" w:name="__DdeLink__2788_55120580"/>
      <w:r>
        <w:rPr>
          <w:i/>
          <w:iCs/>
        </w:rPr>
        <w:t>Proceedings of the United States National Museum</w:t>
      </w:r>
      <w:bookmarkEnd w:id="27"/>
      <w:r>
        <w:rPr/>
        <w:t xml:space="preserve"> </w:t>
      </w:r>
      <w:r>
        <w:rPr>
          <w:b/>
          <w:bCs/>
        </w:rPr>
        <w:t>81</w:t>
      </w:r>
      <w:r>
        <w:rPr/>
        <w:t>:1–21.</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28" w:name="__DdeLink__16582_68767826"/>
      <w:r>
        <w:rPr/>
        <w:t>Nieuwland</w:t>
      </w:r>
      <w:bookmarkEnd w:id="28"/>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8">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:247-387 and plates LX–LXXXV. doi:10.1130/GSAB-30-379</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9">
        <w:r>
          <w:rPr>
            <w:rStyle w:val="Hyperlink"/>
          </w:rPr>
          <w:t>https://dinotoyblog.com/</w:t>
        </w:r>
      </w:hyperlink>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0">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2024. In press.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t xml:space="preserve">Preprint doi:10.5281/zenodo.13732377 — available at </w:t>
      </w:r>
      <w:hyperlink r:id="rId11">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2">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29" w:name="__RefHeading___Toc3407_68767826"/>
      <w:bookmarkEnd w:id="29"/>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Heading1"/>
        <w:rPr/>
      </w:pPr>
      <w:r>
        <w:rPr/>
      </w:r>
    </w:p>
    <w:p>
      <w:pPr>
        <w:pStyle w:val="Heading1"/>
        <w:rPr/>
      </w:pPr>
      <w:r>
        <w:rPr/>
      </w:r>
    </w:p>
    <w:p>
      <w:pPr>
        <w:pStyle w:val="Heading1"/>
        <w:rPr/>
      </w:pPr>
      <w:r>
        <w:rPr/>
        <w:t>Table</w:t>
      </w:r>
      <w:r>
        <w:rPr/>
        <w:t>s</w:t>
      </w:r>
    </w:p>
    <w:p>
      <w:pPr>
        <w:pStyle w:val="Heading2"/>
        <w:rPr/>
      </w:pPr>
      <w:r>
        <w:rPr/>
        <w:t>Table 1</w:t>
      </w:r>
    </w:p>
    <w:p>
      <w:pPr>
        <w:pStyle w:val="BodyText"/>
        <w:rPr/>
      </w:pPr>
      <w:r>
        <w:rPr/>
        <w:t xml:space="preserve">Summarised history of the genus </w:t>
      </w:r>
      <w:r>
        <w:rPr>
          <w:i/>
          <w:iCs/>
        </w:rPr>
        <w:t>Barosaurus</w:t>
      </w:r>
      <w:r>
        <w:rPr/>
        <w:t xml:space="preserve"> and the mounted AMNH 6341 skeleton.</w:t>
      </w:r>
    </w:p>
    <w:tbl>
      <w:tblPr>
        <w:tblW w:w="5000" w:type="pct"/>
        <w:jc w:val="left"/>
        <w:tblInd w:w="0" w:type="dxa"/>
        <w:tblLayout w:type="fixed"/>
        <w:tblCellMar>
          <w:top w:w="0" w:type="dxa"/>
          <w:left w:w="0" w:type="dxa"/>
          <w:bottom w:w="0" w:type="dxa"/>
          <w:right w:w="0" w:type="dxa"/>
        </w:tblCellMar>
      </w:tblPr>
      <w:tblGrid>
        <w:gridCol w:w="2212"/>
        <w:gridCol w:w="7426"/>
      </w:tblGrid>
      <w:tr>
        <w:trPr>
          <w:tblHeader w:val="true"/>
        </w:trPr>
        <w:tc>
          <w:tcPr>
            <w:tcW w:w="2212" w:type="dxa"/>
            <w:tcBorders/>
          </w:tcPr>
          <w:p>
            <w:pPr>
              <w:pStyle w:val="TableHeading"/>
              <w:spacing w:before="0" w:after="113"/>
              <w:rPr/>
            </w:pPr>
            <w:r>
              <w:rPr/>
              <w:t>Date</w:t>
            </w:r>
          </w:p>
        </w:tc>
        <w:tc>
          <w:tcPr>
            <w:tcW w:w="7426" w:type="dxa"/>
            <w:tcBorders/>
          </w:tcPr>
          <w:p>
            <w:pPr>
              <w:pStyle w:val="TableHeading"/>
              <w:spacing w:before="0" w:after="113"/>
              <w:rPr/>
            </w:pPr>
            <w:r>
              <w:rPr/>
              <w:t>Event</w:t>
            </w:r>
          </w:p>
        </w:tc>
      </w:tr>
      <w:tr>
        <w:trPr>
          <w:trHeight w:val="235" w:hRule="atLeast"/>
        </w:trPr>
        <w:tc>
          <w:tcPr>
            <w:tcW w:w="2212" w:type="dxa"/>
            <w:tcBorders/>
          </w:tcPr>
          <w:p>
            <w:pPr>
              <w:pStyle w:val="TableContents"/>
              <w:spacing w:before="0" w:after="113"/>
              <w:rPr/>
            </w:pPr>
            <w:r>
              <w:rPr/>
              <w:t>1880s</w:t>
            </w:r>
          </w:p>
        </w:tc>
        <w:tc>
          <w:tcPr>
            <w:tcW w:w="7426"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12" w:type="dxa"/>
            <w:tcBorders/>
          </w:tcPr>
          <w:p>
            <w:pPr>
              <w:pStyle w:val="TableContents"/>
              <w:spacing w:before="0" w:after="113"/>
              <w:rPr/>
            </w:pPr>
            <w:r>
              <w:rPr/>
              <w:t>Summer 1889</w:t>
            </w:r>
          </w:p>
        </w:tc>
        <w:tc>
          <w:tcPr>
            <w:tcW w:w="7426" w:type="dxa"/>
            <w:tcBorders/>
          </w:tcPr>
          <w:p>
            <w:pPr>
              <w:pStyle w:val="TableContents"/>
              <w:widowControl w:val="false"/>
              <w:suppressLineNumbers/>
              <w:spacing w:before="0" w:after="113"/>
              <w:rPr/>
            </w:pPr>
            <w:r>
              <w:rPr/>
              <w:t xml:space="preserve">O. C. Marsh visited the site with J. B. Hatcher, and collected part of the tail </w:t>
            </w:r>
            <w:r>
              <w:rPr/>
              <w:t>for the Yale Peabody Museum (YPM).</w:t>
            </w:r>
          </w:p>
        </w:tc>
      </w:tr>
      <w:tr>
        <w:trPr>
          <w:trHeight w:val="235" w:hRule="atLeast"/>
        </w:trPr>
        <w:tc>
          <w:tcPr>
            <w:tcW w:w="2212" w:type="dxa"/>
            <w:tcBorders/>
          </w:tcPr>
          <w:p>
            <w:pPr>
              <w:pStyle w:val="TableContents"/>
              <w:spacing w:before="0" w:after="113"/>
              <w:rPr/>
            </w:pPr>
            <w:r>
              <w:rPr/>
              <w:t>1890</w:t>
            </w:r>
          </w:p>
        </w:tc>
        <w:tc>
          <w:tcPr>
            <w:tcW w:w="7426" w:type="dxa"/>
            <w:tcBorders/>
          </w:tcPr>
          <w:p>
            <w:pPr>
              <w:pStyle w:val="TableContents"/>
              <w:spacing w:before="0" w:after="113"/>
              <w:rPr/>
            </w:pPr>
            <w:r>
              <w:rPr/>
              <w:t xml:space="preserve">Marsh (1890) very briefly described and named the new genus and species </w:t>
            </w:r>
            <w:r>
              <w:rPr>
                <w:i/>
                <w:iCs/>
              </w:rPr>
              <w:t xml:space="preserve">Barosaurus lentus </w:t>
            </w:r>
            <w:r>
              <w:rPr/>
              <w:t>b</w:t>
            </w:r>
            <w:r>
              <w:rPr/>
              <w:t xml:space="preserve">ased on six caudal vertebrae and a chevron from </w:t>
            </w:r>
            <w:r>
              <w:rPr/>
              <w:t>the</w:t>
            </w:r>
            <w:r>
              <w:rPr/>
              <w:t xml:space="preserve"> initial excavation.</w:t>
            </w:r>
          </w:p>
        </w:tc>
      </w:tr>
      <w:tr>
        <w:trPr>
          <w:trHeight w:val="235" w:hRule="atLeast"/>
        </w:trPr>
        <w:tc>
          <w:tcPr>
            <w:tcW w:w="2212" w:type="dxa"/>
            <w:tcBorders/>
          </w:tcPr>
          <w:p>
            <w:pPr>
              <w:pStyle w:val="TableContents"/>
              <w:spacing w:before="0" w:after="113"/>
              <w:rPr/>
            </w:pPr>
            <w:r>
              <w:rPr/>
              <w:t>Late August 1898</w:t>
            </w:r>
          </w:p>
        </w:tc>
        <w:tc>
          <w:tcPr>
            <w:tcW w:w="7426" w:type="dxa"/>
            <w:tcBorders/>
          </w:tcPr>
          <w:p>
            <w:pPr>
              <w:pStyle w:val="TableContents"/>
              <w:spacing w:before="0" w:after="113"/>
              <w:rPr/>
            </w:pPr>
            <w:r>
              <w:rPr/>
              <w:t>Marsh sen</w:t>
            </w:r>
            <w:r>
              <w:rPr/>
              <w:t xml:space="preserve">t </w:t>
            </w:r>
            <w:r>
              <w:rPr/>
              <w:t xml:space="preserve">George Wieland </w:t>
            </w:r>
            <w:r>
              <w:rPr/>
              <w:t xml:space="preserve">to collect the </w:t>
            </w:r>
            <w:r>
              <w:rPr/>
              <w:t>rest of the skeleton.</w:t>
            </w:r>
          </w:p>
        </w:tc>
      </w:tr>
      <w:tr>
        <w:trPr>
          <w:trHeight w:val="235" w:hRule="atLeast"/>
        </w:trPr>
        <w:tc>
          <w:tcPr>
            <w:tcW w:w="2212" w:type="dxa"/>
            <w:tcBorders/>
          </w:tcPr>
          <w:p>
            <w:pPr>
              <w:pStyle w:val="TableContents"/>
              <w:spacing w:before="0" w:after="113"/>
              <w:rPr/>
            </w:pPr>
            <w:r>
              <w:rPr/>
              <w:t>1899</w:t>
            </w:r>
          </w:p>
        </w:tc>
        <w:tc>
          <w:tcPr>
            <w:tcW w:w="7426" w:type="dxa"/>
            <w:tcBorders/>
          </w:tcPr>
          <w:p>
            <w:pPr>
              <w:pStyle w:val="TableContents"/>
              <w:spacing w:before="0" w:after="113"/>
              <w:rPr/>
            </w:pPr>
            <w:r>
              <w:rPr/>
              <w:t>First published s</w:t>
            </w:r>
            <w:r>
              <w:rPr/>
              <w:t xml:space="preserve">cientific support for the plausibility of rearing: Osborn (1899:213) wrote that the tail of Diplodocus “functioned as a lever to </w:t>
            </w:r>
            <w:r>
              <w:rPr/>
              <w:t xml:space="preserve">[…] </w:t>
            </w:r>
            <w:r>
              <w:rPr/>
              <w:t>raise the entire forward portion of the body upwards.”</w:t>
            </w:r>
          </w:p>
        </w:tc>
      </w:tr>
      <w:tr>
        <w:trPr>
          <w:trHeight w:val="235" w:hRule="atLeast"/>
        </w:trPr>
        <w:tc>
          <w:tcPr>
            <w:tcW w:w="2212" w:type="dxa"/>
            <w:tcBorders/>
          </w:tcPr>
          <w:p>
            <w:pPr>
              <w:pStyle w:val="TableContents"/>
              <w:spacing w:before="0" w:after="113"/>
              <w:rPr/>
            </w:pPr>
            <w:r>
              <w:rPr/>
              <w:t>1907</w:t>
            </w:r>
          </w:p>
        </w:tc>
        <w:tc>
          <w:tcPr>
            <w:tcW w:w="7426" w:type="dxa"/>
            <w:tcBorders/>
          </w:tcPr>
          <w:p>
            <w:pPr>
              <w:pStyle w:val="TableContents"/>
              <w:spacing w:before="0" w:after="113"/>
              <w:rPr/>
            </w:pPr>
            <w:r>
              <w:rPr/>
              <w:t xml:space="preserve">Charles R. </w:t>
            </w:r>
            <w:r>
              <w:rPr/>
              <w:t>Knight paint</w:t>
            </w:r>
            <w:r>
              <w:rPr/>
              <w:t xml:space="preserve">ed a </w:t>
            </w:r>
            <w:r>
              <w:rPr/>
              <w:t xml:space="preserve">rearing </w:t>
            </w:r>
            <w:r>
              <w:rPr>
                <w:i/>
                <w:iCs/>
              </w:rPr>
              <w:t>Diplodocus</w:t>
            </w:r>
            <w:r>
              <w:rPr/>
              <w:t>.</w:t>
            </w:r>
          </w:p>
        </w:tc>
      </w:tr>
      <w:tr>
        <w:trPr>
          <w:trHeight w:val="235" w:hRule="atLeast"/>
        </w:trPr>
        <w:tc>
          <w:tcPr>
            <w:tcW w:w="2212" w:type="dxa"/>
            <w:tcBorders/>
          </w:tcPr>
          <w:p>
            <w:pPr>
              <w:pStyle w:val="TableContents"/>
              <w:spacing w:before="0" w:after="113"/>
              <w:rPr/>
            </w:pPr>
            <w:r>
              <w:rPr/>
              <w:t>Late 1916</w:t>
            </w:r>
          </w:p>
        </w:tc>
        <w:tc>
          <w:tcPr>
            <w:tcW w:w="7426" w:type="dxa"/>
            <w:tcBorders/>
          </w:tcPr>
          <w:p>
            <w:pPr>
              <w:pStyle w:val="TableContents"/>
              <w:spacing w:before="0" w:after="113"/>
              <w:rPr/>
            </w:pPr>
            <w:r>
              <w:rPr/>
              <w:t xml:space="preserve">The </w:t>
            </w:r>
            <w:r>
              <w:rPr>
                <w:i/>
                <w:iCs/>
              </w:rPr>
              <w:t>Barosaurus lentus</w:t>
            </w:r>
            <w:r>
              <w:rPr/>
              <w:t xml:space="preserve"> holotype </w:t>
            </w:r>
            <w:r>
              <w:rPr/>
              <w:t xml:space="preserve">YPM 429 was fully prepared; Richard S. Lull </w:t>
            </w:r>
            <w:r>
              <w:rPr/>
              <w:t>gave</w:t>
            </w:r>
            <w:r>
              <w:rPr/>
              <w:t xml:space="preserve"> a presentation of the specimen at the eighth annual meeting of the Paleontological Society in Albany, NY.</w:t>
            </w:r>
          </w:p>
        </w:tc>
      </w:tr>
      <w:tr>
        <w:trPr>
          <w:trHeight w:val="235" w:hRule="atLeast"/>
        </w:trPr>
        <w:tc>
          <w:tcPr>
            <w:tcW w:w="2212" w:type="dxa"/>
            <w:tcBorders/>
          </w:tcPr>
          <w:p>
            <w:pPr>
              <w:pStyle w:val="TableContents"/>
              <w:spacing w:before="0" w:after="113"/>
              <w:rPr/>
            </w:pPr>
            <w:r>
              <w:rPr/>
              <w:t>1917</w:t>
            </w:r>
          </w:p>
        </w:tc>
        <w:tc>
          <w:tcPr>
            <w:tcW w:w="7426" w:type="dxa"/>
            <w:tcBorders/>
          </w:tcPr>
          <w:p>
            <w:pPr>
              <w:pStyle w:val="TableContents"/>
              <w:spacing w:before="0" w:after="113"/>
              <w:rPr/>
            </w:pPr>
            <w:r>
              <w:rPr/>
              <w:t>Lull’s published abstract very briefly describes the type specimen.</w:t>
            </w:r>
          </w:p>
        </w:tc>
      </w:tr>
      <w:tr>
        <w:trPr>
          <w:trHeight w:val="235" w:hRule="atLeast"/>
        </w:trPr>
        <w:tc>
          <w:tcPr>
            <w:tcW w:w="2212" w:type="dxa"/>
            <w:tcBorders/>
          </w:tcPr>
          <w:p>
            <w:pPr>
              <w:pStyle w:val="TableContents"/>
              <w:spacing w:before="0" w:after="113"/>
              <w:rPr/>
            </w:pPr>
            <w:r>
              <w:rPr/>
              <w:t>1919</w:t>
            </w:r>
          </w:p>
        </w:tc>
        <w:tc>
          <w:tcPr>
            <w:tcW w:w="7426" w:type="dxa"/>
            <w:tcBorders/>
          </w:tcPr>
          <w:p>
            <w:pPr>
              <w:pStyle w:val="TableContents"/>
              <w:spacing w:before="0" w:after="113"/>
              <w:rPr/>
            </w:pPr>
            <w:r>
              <w:rPr/>
              <w:t>Lull’s detailed monographic description of the type specimen.</w:t>
            </w:r>
          </w:p>
        </w:tc>
      </w:tr>
      <w:tr>
        <w:trPr>
          <w:trHeight w:val="235" w:hRule="atLeast"/>
        </w:trPr>
        <w:tc>
          <w:tcPr>
            <w:tcW w:w="2212" w:type="dxa"/>
            <w:tcBorders/>
          </w:tcPr>
          <w:p>
            <w:pPr>
              <w:pStyle w:val="TableContents"/>
              <w:spacing w:before="0" w:after="113"/>
              <w:rPr/>
            </w:pPr>
            <w:r>
              <w:rPr/>
              <w:t>1922</w:t>
            </w:r>
          </w:p>
        </w:tc>
        <w:tc>
          <w:tcPr>
            <w:tcW w:w="7426"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12" w:type="dxa"/>
            <w:tcBorders/>
          </w:tcPr>
          <w:p>
            <w:pPr>
              <w:pStyle w:val="TableContents"/>
              <w:spacing w:before="0" w:after="113"/>
              <w:rPr/>
            </w:pPr>
            <w:r>
              <w:rPr/>
              <w:t>1922</w:t>
            </w:r>
          </w:p>
        </w:tc>
        <w:tc>
          <w:tcPr>
            <w:tcW w:w="7426"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12" w:type="dxa"/>
            <w:tcBorders/>
          </w:tcPr>
          <w:p>
            <w:pPr>
              <w:pStyle w:val="TableContents"/>
              <w:spacing w:before="0" w:after="113"/>
              <w:rPr/>
            </w:pPr>
            <w:r>
              <w:rPr/>
              <w:t>XXX</w:t>
            </w:r>
          </w:p>
        </w:tc>
        <w:tc>
          <w:tcPr>
            <w:tcW w:w="7426" w:type="dxa"/>
            <w:tcBorders/>
          </w:tcPr>
          <w:p>
            <w:pPr>
              <w:pStyle w:val="TableContents"/>
              <w:spacing w:before="0" w:after="113"/>
              <w:rPr/>
            </w:pPr>
            <w:r>
              <w:rPr/>
              <w:t xml:space="preserve">The neck of #340 was sent to the Smithsonian to provide material for a </w:t>
            </w:r>
            <w:r>
              <w:rPr>
                <w:i/>
                <w:iCs/>
              </w:rPr>
              <w:t>Diplodocus</w:t>
            </w:r>
            <w:r>
              <w:rPr/>
              <w:t xml:space="preserve"> skeletal mount based on USNM 10865.</w:t>
            </w:r>
          </w:p>
        </w:tc>
      </w:tr>
      <w:tr>
        <w:trPr>
          <w:trHeight w:val="246" w:hRule="atLeast"/>
        </w:trPr>
        <w:tc>
          <w:tcPr>
            <w:tcW w:w="2212" w:type="dxa"/>
            <w:tcBorders/>
          </w:tcPr>
          <w:p>
            <w:pPr>
              <w:pStyle w:val="TableContents"/>
              <w:spacing w:before="0" w:after="113"/>
              <w:rPr/>
            </w:pPr>
            <w:r>
              <w:rPr/>
              <w:t>XXX</w:t>
            </w:r>
          </w:p>
        </w:tc>
        <w:tc>
          <w:tcPr>
            <w:tcW w:w="7426" w:type="dxa"/>
            <w:tcBorders/>
          </w:tcPr>
          <w:p>
            <w:pPr>
              <w:pStyle w:val="TableContents"/>
              <w:spacing w:before="0" w:after="113"/>
              <w:rPr/>
            </w:pPr>
            <w:r>
              <w:rPr/>
              <w:t xml:space="preserve">When prepared, the neck sent to the Smithsonian proved to belong not to </w:t>
            </w:r>
            <w:r>
              <w:rPr>
                <w:i/>
                <w:iCs/>
              </w:rPr>
              <w:t>Diplodocus</w:t>
            </w:r>
            <w:r>
              <w:rPr/>
              <w:t xml:space="preserve"> but to </w:t>
            </w:r>
            <w:r>
              <w:rPr>
                <w:i/>
                <w:iCs/>
              </w:rPr>
              <w:t>Barosaurus</w:t>
            </w:r>
            <w:r>
              <w:rPr/>
              <w:t>.</w:t>
            </w:r>
          </w:p>
        </w:tc>
      </w:tr>
      <w:tr>
        <w:trPr>
          <w:trHeight w:val="246" w:hRule="atLeast"/>
        </w:trPr>
        <w:tc>
          <w:tcPr>
            <w:tcW w:w="2212" w:type="dxa"/>
            <w:tcBorders/>
          </w:tcPr>
          <w:p>
            <w:pPr>
              <w:pStyle w:val="TableContents"/>
              <w:spacing w:before="0" w:after="113"/>
              <w:rPr/>
            </w:pPr>
            <w:r>
              <w:rPr/>
              <w:t>1929</w:t>
            </w:r>
          </w:p>
        </w:tc>
        <w:tc>
          <w:tcPr>
            <w:tcW w:w="7426" w:type="dxa"/>
            <w:tcBorders/>
          </w:tcPr>
          <w:p>
            <w:pPr>
              <w:pStyle w:val="TableContents"/>
              <w:spacing w:before="0" w:after="113"/>
              <w:rPr/>
            </w:pPr>
            <w:r>
              <w:rPr/>
              <w:t>Barnum Brown realised that the Smithsonian neck and the Carnegie tail belonged to the same individual as the partial skeleton at the University of Utah. He acquired all three three portions of this skeleton and reunited them the the American Museum of Natural History (AMNH) in New York. The reunited skeleton was given the specimen number AMNH 6341.</w:t>
            </w:r>
          </w:p>
        </w:tc>
      </w:tr>
      <w:tr>
        <w:trPr>
          <w:trHeight w:val="246" w:hRule="atLeast"/>
        </w:trPr>
        <w:tc>
          <w:tcPr>
            <w:tcW w:w="2212" w:type="dxa"/>
            <w:tcBorders/>
          </w:tcPr>
          <w:p>
            <w:pPr>
              <w:pStyle w:val="TableContents"/>
              <w:spacing w:before="0" w:after="113"/>
              <w:rPr/>
            </w:pPr>
            <w:r>
              <w:rPr/>
              <w:t>1931</w:t>
            </w:r>
          </w:p>
        </w:tc>
        <w:tc>
          <w:tcPr>
            <w:tcW w:w="7426"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12" w:type="dxa"/>
            <w:tcBorders/>
          </w:tcPr>
          <w:p>
            <w:pPr>
              <w:pStyle w:val="TableContents"/>
              <w:spacing w:before="0" w:after="113"/>
              <w:rPr/>
            </w:pPr>
            <w:r>
              <w:rPr/>
              <w:t>17 April 1939</w:t>
            </w:r>
          </w:p>
        </w:tc>
        <w:tc>
          <w:tcPr>
            <w:tcW w:w="7426"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12" w:type="dxa"/>
            <w:tcBorders/>
          </w:tcPr>
          <w:p>
            <w:pPr>
              <w:pStyle w:val="TableContents"/>
              <w:spacing w:before="0" w:after="113"/>
              <w:rPr/>
            </w:pPr>
            <w:r>
              <w:rPr/>
              <w:t>Early 1950s</w:t>
            </w:r>
          </w:p>
        </w:tc>
        <w:tc>
          <w:tcPr>
            <w:tcW w:w="7426"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12" w:type="dxa"/>
            <w:tcBorders/>
          </w:tcPr>
          <w:p>
            <w:pPr>
              <w:pStyle w:val="TableContents"/>
              <w:spacing w:before="0" w:after="113"/>
              <w:rPr/>
            </w:pPr>
            <w:r>
              <w:rPr/>
              <w:t>1952</w:t>
            </w:r>
          </w:p>
        </w:tc>
        <w:tc>
          <w:tcPr>
            <w:tcW w:w="7426"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12" w:type="dxa"/>
            <w:tcBorders/>
          </w:tcPr>
          <w:p>
            <w:pPr>
              <w:pStyle w:val="TableContents"/>
              <w:spacing w:before="0" w:after="113"/>
              <w:rPr/>
            </w:pPr>
            <w:r>
              <w:rPr/>
              <w:t>8 June, 1957</w:t>
            </w:r>
          </w:p>
        </w:tc>
        <w:tc>
          <w:tcPr>
            <w:tcW w:w="7426" w:type="dxa"/>
            <w:tcBorders/>
          </w:tcPr>
          <w:p>
            <w:pPr>
              <w:pStyle w:val="TableContents"/>
              <w:spacing w:before="0" w:after="113"/>
              <w:rPr/>
            </w:pPr>
            <w:r>
              <w:rPr/>
              <w:t xml:space="preserve">A concrete </w:t>
            </w:r>
            <w:r>
              <w:rPr>
                <w:i/>
                <w:iCs/>
              </w:rPr>
              <w:t>Diplodocus</w:t>
            </w:r>
            <w:r>
              <w:rPr/>
              <w:t xml:space="preserve"> cast made from these molds is unveiled outside the Utah Field House.</w:t>
            </w:r>
          </w:p>
        </w:tc>
      </w:tr>
      <w:tr>
        <w:trPr>
          <w:trHeight w:val="246" w:hRule="atLeast"/>
        </w:trPr>
        <w:tc>
          <w:tcPr>
            <w:tcW w:w="2212" w:type="dxa"/>
            <w:tcBorders/>
          </w:tcPr>
          <w:p>
            <w:pPr>
              <w:pStyle w:val="TableContents"/>
              <w:spacing w:before="0" w:after="113"/>
              <w:rPr/>
            </w:pPr>
            <w:r>
              <w:rPr/>
              <w:t>1970</w:t>
            </w:r>
          </w:p>
        </w:tc>
        <w:tc>
          <w:tcPr>
            <w:tcW w:w="7426"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12" w:type="dxa"/>
            <w:tcBorders/>
          </w:tcPr>
          <w:p>
            <w:pPr>
              <w:pStyle w:val="TableContents"/>
              <w:spacing w:before="0" w:after="113"/>
              <w:rPr/>
            </w:pPr>
            <w:r>
              <w:rPr/>
              <w:t>1977</w:t>
            </w:r>
          </w:p>
        </w:tc>
        <w:tc>
          <w:tcPr>
            <w:tcW w:w="7426" w:type="dxa"/>
            <w:tcBorders/>
          </w:tcPr>
          <w:p>
            <w:pPr>
              <w:pStyle w:val="TableContents"/>
              <w:spacing w:before="0" w:after="113"/>
              <w:rPr/>
            </w:pPr>
            <w:r>
              <w:rPr/>
              <w:t>Peter May began working with skeletal mounts at the Royal Ontario Museum.</w:t>
            </w:r>
          </w:p>
        </w:tc>
      </w:tr>
      <w:tr>
        <w:trPr>
          <w:trHeight w:val="246" w:hRule="atLeast"/>
        </w:trPr>
        <w:tc>
          <w:tcPr>
            <w:tcW w:w="2212" w:type="dxa"/>
            <w:tcBorders/>
          </w:tcPr>
          <w:p>
            <w:pPr>
              <w:pStyle w:val="TableContents"/>
              <w:spacing w:before="0" w:after="113"/>
              <w:rPr/>
            </w:pPr>
            <w:r>
              <w:rPr/>
              <w:t>1978</w:t>
            </w:r>
          </w:p>
        </w:tc>
        <w:tc>
          <w:tcPr>
            <w:tcW w:w="7426" w:type="dxa"/>
            <w:tcBorders/>
          </w:tcPr>
          <w:p>
            <w:pPr>
              <w:pStyle w:val="TableContents"/>
              <w:spacing w:before="0" w:after="113"/>
              <w:rPr/>
            </w:pPr>
            <w:r>
              <w:rPr/>
              <w:t xml:space="preserve">Gregory S. Paul painted </w:t>
            </w:r>
            <w:r>
              <w:rPr>
                <w:i/>
                <w:iCs/>
              </w:rPr>
              <w:t>Ambush at Como Creek</w:t>
            </w:r>
            <w:r>
              <w:rPr/>
              <w:t xml:space="preserve">, a widely reproduced piece that depicts rearing Diplodocus individuals under attack from </w:t>
            </w:r>
            <w:r>
              <w:rPr>
                <w:i/>
                <w:iCs/>
              </w:rPr>
              <w:t>Allosaurus</w:t>
            </w:r>
            <w:r>
              <w:rPr/>
              <w:t>.</w:t>
            </w:r>
          </w:p>
        </w:tc>
      </w:tr>
      <w:tr>
        <w:trPr>
          <w:trHeight w:val="246" w:hRule="atLeast"/>
        </w:trPr>
        <w:tc>
          <w:tcPr>
            <w:tcW w:w="2212" w:type="dxa"/>
            <w:tcBorders/>
          </w:tcPr>
          <w:p>
            <w:pPr>
              <w:pStyle w:val="TableContents"/>
              <w:spacing w:before="0" w:after="113"/>
              <w:rPr/>
            </w:pPr>
            <w:r>
              <w:rPr/>
              <w:t>1986</w:t>
            </w:r>
          </w:p>
        </w:tc>
        <w:tc>
          <w:tcPr>
            <w:tcW w:w="7426" w:type="dxa"/>
            <w:tcBorders/>
          </w:tcPr>
          <w:p>
            <w:pPr>
              <w:pStyle w:val="TableContents"/>
              <w:spacing w:before="0" w:after="113"/>
              <w:rPr/>
            </w:pPr>
            <w:r>
              <w:rPr/>
              <w:t>The AMNH began planning an extensive renovation of its fossil halls.</w:t>
            </w:r>
          </w:p>
        </w:tc>
      </w:tr>
      <w:tr>
        <w:trPr>
          <w:trHeight w:val="246" w:hRule="atLeast"/>
        </w:trPr>
        <w:tc>
          <w:tcPr>
            <w:tcW w:w="2212" w:type="dxa"/>
            <w:tcBorders/>
          </w:tcPr>
          <w:p>
            <w:pPr>
              <w:pStyle w:val="TableContents"/>
              <w:spacing w:before="0" w:after="113"/>
              <w:rPr/>
            </w:pPr>
            <w:r>
              <w:rPr/>
              <w:t>1989</w:t>
            </w:r>
          </w:p>
        </w:tc>
        <w:tc>
          <w:tcPr>
            <w:tcW w:w="7426" w:type="dxa"/>
            <w:tcBorders/>
          </w:tcPr>
          <w:p>
            <w:pPr>
              <w:pStyle w:val="TableContents"/>
              <w:spacing w:before="0" w:after="113"/>
              <w:rPr/>
            </w:pPr>
            <w:r>
              <w:rPr/>
              <w:t xml:space="preserve">Jim Madsen’s company Dinolab unmounted concrete </w:t>
            </w:r>
            <w:r>
              <w:rPr>
                <w:i/>
                <w:iCs/>
              </w:rPr>
              <w:t>Diplodocus</w:t>
            </w:r>
            <w:r>
              <w:rPr/>
              <w:t xml:space="preserve"> of Vernal, used it to create second-generation molds, and created a new, lightweight cast for the Field House’s new building.</w:t>
            </w:r>
          </w:p>
        </w:tc>
      </w:tr>
      <w:tr>
        <w:trPr>
          <w:trHeight w:val="246" w:hRule="atLeast"/>
        </w:trPr>
        <w:tc>
          <w:tcPr>
            <w:tcW w:w="2212" w:type="dxa"/>
            <w:tcBorders/>
          </w:tcPr>
          <w:p>
            <w:pPr>
              <w:pStyle w:val="TableContents"/>
              <w:spacing w:before="0" w:after="113"/>
              <w:rPr/>
            </w:pPr>
            <w:r>
              <w:rPr/>
              <w:t>1990</w:t>
            </w:r>
          </w:p>
        </w:tc>
        <w:tc>
          <w:tcPr>
            <w:tcW w:w="7426" w:type="dxa"/>
            <w:tcBorders/>
          </w:tcPr>
          <w:p>
            <w:pPr>
              <w:pStyle w:val="TableContents"/>
              <w:spacing w:before="0" w:after="113"/>
              <w:rPr/>
            </w:pPr>
            <w:r>
              <w:rPr/>
              <w:t>Peter May went full time with his company Research Casting International (RCI).</w:t>
            </w:r>
          </w:p>
        </w:tc>
      </w:tr>
      <w:tr>
        <w:trPr>
          <w:trHeight w:val="246" w:hRule="atLeast"/>
        </w:trPr>
        <w:tc>
          <w:tcPr>
            <w:tcW w:w="2212" w:type="dxa"/>
            <w:tcBorders/>
          </w:tcPr>
          <w:p>
            <w:pPr>
              <w:pStyle w:val="TableContents"/>
              <w:spacing w:before="0" w:after="113"/>
              <w:rPr/>
            </w:pPr>
            <w:r>
              <w:rPr/>
              <w:t>28 March 1990</w:t>
            </w:r>
          </w:p>
        </w:tc>
        <w:tc>
          <w:tcPr>
            <w:tcW w:w="7426"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12" w:type="dxa"/>
            <w:tcBorders/>
          </w:tcPr>
          <w:p>
            <w:pPr>
              <w:pStyle w:val="TableContents"/>
              <w:spacing w:before="0" w:after="113"/>
              <w:rPr/>
            </w:pPr>
            <w:r>
              <w:rPr/>
              <w:t>Fall 1990</w:t>
            </w:r>
          </w:p>
        </w:tc>
        <w:tc>
          <w:tcPr>
            <w:tcW w:w="7426"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12" w:type="dxa"/>
            <w:tcBorders/>
          </w:tcPr>
          <w:p>
            <w:pPr>
              <w:pStyle w:val="TableContents"/>
              <w:spacing w:before="0" w:after="113"/>
              <w:rPr/>
            </w:pPr>
            <w:r>
              <w:rPr/>
              <w:t>Late 1990/early 1991</w:t>
            </w:r>
          </w:p>
        </w:tc>
        <w:tc>
          <w:tcPr>
            <w:tcW w:w="7426"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12" w:type="dxa"/>
            <w:tcBorders/>
          </w:tcPr>
          <w:p>
            <w:pPr>
              <w:pStyle w:val="TableContents"/>
              <w:spacing w:before="0" w:after="113"/>
              <w:rPr/>
            </w:pPr>
            <w:r>
              <w:rPr/>
              <w:t>Spring 1991</w:t>
            </w:r>
          </w:p>
        </w:tc>
        <w:tc>
          <w:tcPr>
            <w:tcW w:w="7426" w:type="dxa"/>
            <w:tcBorders/>
          </w:tcPr>
          <w:p>
            <w:pPr>
              <w:pStyle w:val="TableContents"/>
              <w:spacing w:before="0" w:after="113"/>
              <w:rPr/>
            </w:pPr>
            <w:r>
              <w:rPr/>
              <w:t xml:space="preserve">A test erection of the rearing </w:t>
            </w:r>
            <w:r>
              <w:rPr>
                <w:i/>
                <w:iCs/>
              </w:rPr>
              <w:t>Barosaurus</w:t>
            </w:r>
            <w:r>
              <w:rPr/>
              <w:t xml:space="preserve"> mount was carried out on Toronto.</w:t>
            </w:r>
          </w:p>
        </w:tc>
      </w:tr>
      <w:tr>
        <w:trPr>
          <w:trHeight w:val="246" w:hRule="atLeast"/>
        </w:trPr>
        <w:tc>
          <w:tcPr>
            <w:tcW w:w="2212" w:type="dxa"/>
            <w:tcBorders/>
          </w:tcPr>
          <w:p>
            <w:pPr>
              <w:pStyle w:val="TableContents"/>
              <w:spacing w:before="0" w:after="113"/>
              <w:rPr/>
            </w:pPr>
            <w:r>
              <w:rPr/>
              <w:t>Summer 1991</w:t>
            </w:r>
          </w:p>
        </w:tc>
        <w:tc>
          <w:tcPr>
            <w:tcW w:w="7426" w:type="dxa"/>
            <w:tcBorders/>
          </w:tcPr>
          <w:p>
            <w:pPr>
              <w:pStyle w:val="TableContents"/>
              <w:spacing w:before="0" w:after="113"/>
              <w:rPr/>
            </w:pPr>
            <w:r>
              <w:rPr/>
              <w:t>Gene Gaffney and Peter May found a site in northeastern Montana that could be molded and cast to provide the base that the skeletons.</w:t>
            </w:r>
          </w:p>
        </w:tc>
      </w:tr>
      <w:tr>
        <w:trPr>
          <w:trHeight w:val="246" w:hRule="atLeast"/>
        </w:trPr>
        <w:tc>
          <w:tcPr>
            <w:tcW w:w="2212" w:type="dxa"/>
            <w:tcBorders/>
          </w:tcPr>
          <w:p>
            <w:pPr>
              <w:pStyle w:val="TableContents"/>
              <w:spacing w:before="0" w:after="113"/>
              <w:rPr/>
            </w:pPr>
            <w:r>
              <w:rPr/>
              <w:t>November 1991</w:t>
            </w:r>
          </w:p>
        </w:tc>
        <w:tc>
          <w:tcPr>
            <w:tcW w:w="7426" w:type="dxa"/>
            <w:tcBorders/>
          </w:tcPr>
          <w:p>
            <w:pPr>
              <w:pStyle w:val="TableContents"/>
              <w:spacing w:before="0" w:after="113"/>
              <w:rPr/>
            </w:pPr>
            <w:r>
              <w:rPr/>
              <w:t>The work in Toronto was complete, and the completed exhibit was transported to New York.</w:t>
            </w:r>
          </w:p>
        </w:tc>
      </w:tr>
      <w:tr>
        <w:trPr>
          <w:trHeight w:val="246" w:hRule="atLeast"/>
        </w:trPr>
        <w:tc>
          <w:tcPr>
            <w:tcW w:w="2212" w:type="dxa"/>
            <w:tcBorders/>
          </w:tcPr>
          <w:p>
            <w:pPr>
              <w:pStyle w:val="TableContents"/>
              <w:spacing w:before="0" w:after="113"/>
              <w:rPr/>
            </w:pPr>
            <w:r>
              <w:rPr/>
              <w:t>29 November 1991</w:t>
            </w:r>
          </w:p>
        </w:tc>
        <w:tc>
          <w:tcPr>
            <w:tcW w:w="7426" w:type="dxa"/>
            <w:tcBorders/>
          </w:tcPr>
          <w:p>
            <w:pPr>
              <w:pStyle w:val="TableContents"/>
              <w:spacing w:before="0" w:after="113"/>
              <w:rPr/>
            </w:pPr>
            <w:r>
              <w:rPr/>
              <w:t xml:space="preserve">The John Gurche painting prepared for the exhibit appeared on the front cover of </w:t>
            </w:r>
            <w:r>
              <w:rPr>
                <w:i/>
                <w:iCs/>
              </w:rPr>
              <w:t>New York Newsday</w:t>
            </w:r>
            <w:r>
              <w:rPr/>
              <w:t>.</w:t>
            </w:r>
          </w:p>
        </w:tc>
      </w:tr>
      <w:tr>
        <w:trPr>
          <w:trHeight w:val="246" w:hRule="atLeast"/>
        </w:trPr>
        <w:tc>
          <w:tcPr>
            <w:tcW w:w="2212" w:type="dxa"/>
            <w:tcBorders/>
          </w:tcPr>
          <w:p>
            <w:pPr>
              <w:pStyle w:val="TableContents"/>
              <w:spacing w:before="0" w:after="113"/>
              <w:rPr/>
            </w:pPr>
            <w:r>
              <w:rPr/>
              <w:t>3 December 1991</w:t>
            </w:r>
          </w:p>
        </w:tc>
        <w:tc>
          <w:tcPr>
            <w:tcW w:w="7426"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12" w:type="dxa"/>
            <w:tcBorders/>
          </w:tcPr>
          <w:p>
            <w:pPr>
              <w:pStyle w:val="TableContents"/>
              <w:spacing w:before="0" w:after="113"/>
              <w:rPr/>
            </w:pPr>
            <w:r>
              <w:rPr/>
              <w:t>4 December 1991</w:t>
            </w:r>
          </w:p>
        </w:tc>
        <w:tc>
          <w:tcPr>
            <w:tcW w:w="7426" w:type="dxa"/>
            <w:tcBorders/>
          </w:tcPr>
          <w:p>
            <w:pPr>
              <w:pStyle w:val="TableContents"/>
              <w:spacing w:before="0" w:after="113"/>
              <w:rPr/>
            </w:pPr>
            <w:r>
              <w:rPr/>
              <w:t>The exhibit was opened to the public.</w:t>
            </w:r>
          </w:p>
        </w:tc>
      </w:tr>
      <w:tr>
        <w:trPr>
          <w:trHeight w:val="246" w:hRule="atLeast"/>
        </w:trPr>
        <w:tc>
          <w:tcPr>
            <w:tcW w:w="2212" w:type="dxa"/>
            <w:tcBorders/>
          </w:tcPr>
          <w:p>
            <w:pPr>
              <w:pStyle w:val="TableContents"/>
              <w:spacing w:before="0" w:after="113"/>
              <w:rPr/>
            </w:pPr>
            <w:r>
              <w:rPr/>
              <w:t>2005</w:t>
            </w:r>
          </w:p>
        </w:tc>
        <w:tc>
          <w:tcPr>
            <w:tcW w:w="7426"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12" w:type="dxa"/>
            <w:tcBorders/>
          </w:tcPr>
          <w:p>
            <w:pPr>
              <w:pStyle w:val="TableContents"/>
              <w:spacing w:before="0" w:after="113"/>
              <w:rPr/>
            </w:pPr>
            <w:r>
              <w:rPr/>
              <w:t>2007</w:t>
            </w:r>
          </w:p>
        </w:tc>
        <w:tc>
          <w:tcPr>
            <w:tcW w:w="7426"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12" w:type="dxa"/>
            <w:tcBorders/>
          </w:tcPr>
          <w:p>
            <w:pPr>
              <w:pStyle w:val="TableContents"/>
              <w:spacing w:before="0" w:after="113"/>
              <w:rPr/>
            </w:pPr>
            <w:r>
              <w:rPr/>
              <w:t>5 December 2007</w:t>
            </w:r>
          </w:p>
        </w:tc>
        <w:tc>
          <w:tcPr>
            <w:tcW w:w="7426"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hdl.handle.net/2246/6497" TargetMode="External"/><Relationship Id="rId9" Type="http://schemas.openxmlformats.org/officeDocument/2006/relationships/hyperlink" Target="https://dinotoyblog.com/" TargetMode="External"/><Relationship Id="rId10" Type="http://schemas.openxmlformats.org/officeDocument/2006/relationships/hyperlink" Target="https://github.com/miketaylor/palaeo-superbaro" TargetMode="External"/><Relationship Id="rId11" Type="http://schemas.openxmlformats.org/officeDocument/2006/relationships/hyperlink" Target="https://zenodo.org/records/13732378" TargetMode="External"/><Relationship Id="rId12" Type="http://schemas.openxmlformats.org/officeDocument/2006/relationships/hyperlink" Target="https://doi.org/10.7717/peerj.857"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23612</TotalTime>
  <Application>LibreOffice/25.2.3.2$MacOSX_X86_64 LibreOffice_project/bbb074479178df812d175f709636b368952c2ce3</Application>
  <AppVersion>15.0000</AppVersion>
  <Pages>28</Pages>
  <Words>13943</Words>
  <Characters>73545</Characters>
  <CharactersWithSpaces>87093</CharactersWithSpaces>
  <Paragraphs>335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2025-09-27T18:49:21Z</dcterms:modified>
  <cp:revision>494</cp:revision>
  <dc:subject/>
  <dc:title/>
</cp:coreProperties>
</file>

<file path=docProps/custom.xml><?xml version="1.0" encoding="utf-8"?>
<Properties xmlns="http://schemas.openxmlformats.org/officeDocument/2006/custom-properties" xmlns:vt="http://schemas.openxmlformats.org/officeDocument/2006/docPropsVTypes"/>
</file>