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iCs w:val="false"/>
        </w:rPr>
      </w:pPr>
      <w:r>
        <w:rPr>
          <w:b/>
          <w:bCs/>
          <w:i w:val="false"/>
          <w:iCs w:val="false"/>
        </w:rPr>
        <w:t>John S. McIntosh</w:t>
      </w:r>
      <w:r>
        <w:rPr>
          <w:i w:val="false"/>
          <w:iCs w:val="false"/>
        </w:rPr>
        <w:t>. Wesleyan University, Science Tower, Middle Town, Connecticut 06457, USA.  (Deceased 2015)</w:t>
      </w:r>
    </w:p>
    <w:p>
      <w:pPr>
        <w:pStyle w:val="Author"/>
        <w:rPr>
          <w:i w:val="false"/>
          <w:iCs w:val="false"/>
        </w:rPr>
      </w:pPr>
      <w:r>
        <w:rPr>
          <w:b/>
          <w:bCs/>
          <w:i w:val="false"/>
          <w:iCs w:val="false"/>
        </w:rPr>
        <w:t>Mark A. Norell.</w:t>
      </w:r>
      <w:r>
        <w:rPr>
          <w:i w:val="false"/>
          <w:iCs w:val="false"/>
        </w:rPr>
        <w:t xml:space="preserve"> Division of Paleontology, American Museum of Natural History, New York, New York, USA. (Deceased 2025).</w:t>
      </w:r>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8</w:t>
          </w:r>
        </w:p>
        <w:p>
          <w:pPr>
            <w:pStyle w:val="TOC2"/>
            <w:tabs>
              <w:tab w:val="clear" w:pos="9355"/>
              <w:tab w:val="right" w:pos="9637" w:leader="dot"/>
            </w:tabs>
            <w:rPr/>
          </w:pPr>
          <w:r>
            <w:rPr/>
            <w:t>The conception of the mount</w:t>
            <w:tab/>
            <w:t>8</w:t>
          </w:r>
        </w:p>
        <w:p>
          <w:pPr>
            <w:pStyle w:val="TOC2"/>
            <w:tabs>
              <w:tab w:val="clear" w:pos="9355"/>
              <w:tab w:val="right" w:pos="9637" w:leader="dot"/>
            </w:tabs>
            <w:rPr/>
          </w:pPr>
          <w:r>
            <w:rPr/>
            <w:t>The purpose of the mount</w:t>
            <w:tab/>
            <w:t>9</w:t>
          </w:r>
        </w:p>
        <w:p>
          <w:pPr>
            <w:pStyle w:val="TOC2"/>
            <w:tabs>
              <w:tab w:val="clear" w:pos="9355"/>
              <w:tab w:val="right" w:pos="9637" w:leader="dot"/>
            </w:tabs>
            <w:rPr/>
          </w:pPr>
          <w:r>
            <w:rPr/>
            <w:t>The creation of the mount</w:t>
            <w:tab/>
            <w:t>10</w:t>
          </w:r>
        </w:p>
        <w:p>
          <w:pPr>
            <w:pStyle w:val="TOC2"/>
            <w:tabs>
              <w:tab w:val="clear" w:pos="9355"/>
              <w:tab w:val="right" w:pos="9637" w:leader="dot"/>
            </w:tabs>
            <w:rPr/>
          </w:pPr>
          <w:r>
            <w:rPr/>
            <w:t>Photography of the mount</w:t>
            <w:tab/>
            <w:t>13</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14</w:t>
          </w:r>
        </w:p>
        <w:p>
          <w:pPr>
            <w:pStyle w:val="TOC3"/>
            <w:tabs>
              <w:tab w:val="clear" w:pos="9072"/>
              <w:tab w:val="right" w:pos="9637" w:leader="dot"/>
            </w:tabs>
            <w:rPr/>
          </w:pPr>
          <w:r>
            <w:rPr/>
            <w:t>Non-</w:t>
          </w:r>
          <w:r>
            <w:rPr>
              <w:i/>
              <w:iCs/>
            </w:rPr>
            <w:t>Barosaurus</w:t>
          </w:r>
          <w:r>
            <w:rPr/>
            <w:t xml:space="preserve"> material in the mount</w:t>
            <w:tab/>
            <w:t>15</w:t>
          </w:r>
        </w:p>
        <w:p>
          <w:pPr>
            <w:pStyle w:val="TOC3"/>
            <w:tabs>
              <w:tab w:val="clear" w:pos="9072"/>
              <w:tab w:val="right" w:pos="9637" w:leader="dot"/>
            </w:tabs>
            <w:rPr/>
          </w:pPr>
          <w:r>
            <w:rPr/>
            <w:t>Skull</w:t>
            <w:tab/>
            <w:t>16</w:t>
          </w:r>
        </w:p>
        <w:p>
          <w:pPr>
            <w:pStyle w:val="TOC3"/>
            <w:tabs>
              <w:tab w:val="clear" w:pos="9072"/>
              <w:tab w:val="right" w:pos="9637" w:leader="dot"/>
            </w:tabs>
            <w:rPr/>
          </w:pPr>
          <w:r>
            <w:rPr/>
            <w:t>Neck</w:t>
            <w:tab/>
            <w:t>16</w:t>
          </w:r>
        </w:p>
        <w:p>
          <w:pPr>
            <w:pStyle w:val="TOC3"/>
            <w:tabs>
              <w:tab w:val="clear" w:pos="9072"/>
              <w:tab w:val="right" w:pos="9637" w:leader="dot"/>
            </w:tabs>
            <w:rPr/>
          </w:pPr>
          <w:r>
            <w:rPr/>
            <w:t>Torso, sacrum and tail</w:t>
            <w:tab/>
            <w:t>17</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18</w:t>
          </w:r>
        </w:p>
        <w:p>
          <w:pPr>
            <w:pStyle w:val="TOC1"/>
            <w:tabs>
              <w:tab w:val="clear" w:pos="9638"/>
              <w:tab w:val="right" w:pos="9637" w:leader="dot"/>
            </w:tabs>
            <w:rPr/>
          </w:pPr>
          <w:r>
            <w:rPr/>
            <w:t>Discussion</w:t>
            <w:tab/>
            <w:t>18</w:t>
          </w:r>
        </w:p>
        <w:p>
          <w:pPr>
            <w:pStyle w:val="TOC2"/>
            <w:tabs>
              <w:tab w:val="clear" w:pos="9355"/>
              <w:tab w:val="right" w:pos="9637" w:leader="dot"/>
            </w:tabs>
            <w:rPr/>
          </w:pPr>
          <w:r>
            <w:rPr/>
            <w:t>Rearing pose</w:t>
            <w:tab/>
            <w:t>18</w:t>
          </w:r>
        </w:p>
        <w:p>
          <w:pPr>
            <w:pStyle w:val="TOC2"/>
            <w:tabs>
              <w:tab w:val="clear" w:pos="9355"/>
              <w:tab w:val="right" w:pos="9637" w:leader="dot"/>
            </w:tabs>
            <w:rPr/>
          </w:pPr>
          <w:r>
            <w:rPr/>
            <w:t>A short history of rearing sauropods</w:t>
            <w:tab/>
            <w:t>20</w:t>
          </w:r>
        </w:p>
        <w:p>
          <w:pPr>
            <w:pStyle w:val="TOC2"/>
            <w:tabs>
              <w:tab w:val="clear" w:pos="9355"/>
              <w:tab w:val="right" w:pos="9637" w:leader="dot"/>
            </w:tabs>
            <w:rPr/>
          </w:pPr>
          <w:r>
            <w:rPr/>
            <w:t>Cultural impact</w:t>
            <w:tab/>
            <w:t>21</w:t>
          </w:r>
        </w:p>
        <w:p>
          <w:pPr>
            <w:pStyle w:val="TOC2"/>
            <w:tabs>
              <w:tab w:val="clear" w:pos="9355"/>
              <w:tab w:val="right" w:pos="9637" w:leader="dot"/>
            </w:tabs>
            <w:rPr/>
          </w:pPr>
          <w:r>
            <w:rPr/>
            <w:t>Size of the AMNH 6341 animal</w:t>
            <w:tab/>
            <w:t>22</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24</w:t>
          </w:r>
        </w:p>
        <w:p>
          <w:pPr>
            <w:pStyle w:val="TOC1"/>
            <w:tabs>
              <w:tab w:val="clear" w:pos="9638"/>
              <w:tab w:val="right" w:pos="9637" w:leader="dot"/>
            </w:tabs>
            <w:rPr/>
          </w:pPr>
          <w:r>
            <w:rPr/>
            <w:t>Figure Captions</w:t>
            <w:tab/>
            <w:t>30</w:t>
          </w:r>
        </w:p>
        <w:p>
          <w:pPr>
            <w:pStyle w:val="TOC1"/>
            <w:tabs>
              <w:tab w:val="clear" w:pos="9638"/>
              <w:tab w:val="right" w:pos="9637" w:leader="dot"/>
            </w:tabs>
            <w:rPr/>
          </w:pPr>
          <w:r>
            <w:rPr/>
            <w:t>Tables</w:t>
            <w:tab/>
            <w:t>34</w:t>
          </w:r>
        </w:p>
        <w:p>
          <w:pPr>
            <w:pStyle w:val="TOC2"/>
            <w:tabs>
              <w:tab w:val="clear" w:pos="9355"/>
              <w:tab w:val="right" w:pos="9637" w:leader="dot"/>
            </w:tabs>
            <w:rPr/>
          </w:pPr>
          <w:r>
            <w:rPr/>
            <w:t>Table 1</w:t>
            <w:tab/>
            <w:t>34</w:t>
          </w:r>
          <w:r>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user"/>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w:t>
      </w:r>
      <w:r>
        <w:rPr/>
        <w:t xml:space="preserve">between photographs of the 17th cervical and 3D models of the Carnegie </w:t>
      </w:r>
      <w:r>
        <w:rPr>
          <w:i/>
          <w:iCs/>
        </w:rPr>
        <w:t>Diplodocus</w:t>
      </w:r>
      <w:r>
        <w:rPr>
          <w:i w:val="false"/>
          <w:iCs w:val="false"/>
        </w:rPr>
        <w:t xml:space="preserve"> provided by Heinrich Mallison (for the Berlin cast) and Paul Barrett (for the London cast) show that the former is not a replica of any of the posterior cervicals of the latter. Since the Carnegie </w:t>
      </w:r>
      <w:r>
        <w:rPr>
          <w:i/>
          <w:iCs/>
        </w:rPr>
        <w:t>Diplodocus</w:t>
      </w:r>
      <w:r>
        <w:rPr>
          <w:i w:val="false"/>
          <w:iCs w:val="false"/>
        </w:rPr>
        <w:t xml:space="preserve"> was the only source of cast elements (other than the metacarpals discussed below), the 17th cervical of the mounted skeleton must be a sculpture, crafted as an intermediate between C16 and D1.</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on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 xml:space="preserve">Heinrich Mallison (Palaeo3D) and Paul M. Barrett (Natural History Museum) provided 3D scans of two casts of the Carnegie </w:t>
      </w:r>
      <w:r>
        <w:rPr>
          <w:i/>
          <w:iCs/>
        </w:rPr>
        <w:t>Diplodocus</w:t>
      </w:r>
      <w:r>
        <w:rPr/>
        <w:t>.</w:t>
      </w:r>
    </w:p>
    <w:p>
      <w:pPr>
        <w:pStyle w:val="BodyText"/>
        <w:rPr/>
      </w:pPr>
      <w:r>
        <w:rPr/>
        <w:t>Carl Mehling (AMNH) searched collections for the missing C7 and concluded it was absent.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:69–107. doi:10.1127/pala/284/2008/69</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rPr/>
      </w:pPr>
      <w:bookmarkStart w:id="34" w:name="__RefHeading___Toc3407_68767826"/>
      <w:bookmarkEnd w:id="34"/>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star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start"/>
        <w:tblInd w:w="0" w:type="dxa"/>
        <w:tblLayout w:type="fixed"/>
        <w:tblCellMar>
          <w:top w:w="0" w:type="dxa"/>
          <w:start w:w="0" w:type="dxa"/>
          <w:bottom w:w="0" w:type="dxa"/>
          <w:end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even" r:id="rId16"/>
      <w:headerReference w:type="default" r:id="rId17"/>
      <w:headerReference w:type="first" r:id="rId18"/>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Baskerville">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Gill Sans">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user" w:customStyle="1">
    <w:name w:val="Bullets (user)"/>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start="283"/>
    </w:pPr>
    <w:rPr>
      <w:i/>
    </w:rPr>
  </w:style>
  <w:style w:type="paragraph" w:styleId="BlockQuotationuser" w:customStyle="1">
    <w:name w:val="Block Quotation (user)"/>
    <w:basedOn w:val="Normal"/>
    <w:qFormat/>
    <w:pPr>
      <w:spacing w:lineRule="auto" w:line="276" w:before="0" w:after="283"/>
      <w:ind w:start="567" w:end="567"/>
    </w:pPr>
    <w:rPr/>
  </w:style>
  <w:style w:type="paragraph" w:styleId="Abstract" w:customStyle="1">
    <w:name w:val="Abstract"/>
    <w:basedOn w:val="BodyText"/>
    <w:qFormat/>
    <w:pPr>
      <w:spacing w:before="0" w:after="142"/>
      <w:ind w:start="567" w:end="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start="283"/>
    </w:pPr>
    <w:rPr/>
  </w:style>
  <w:style w:type="paragraph" w:styleId="TOC2">
    <w:name w:val="toc 2"/>
    <w:basedOn w:val="Index"/>
    <w:pPr>
      <w:tabs>
        <w:tab w:val="clear" w:pos="720"/>
        <w:tab w:val="right" w:pos="9355" w:leader="dot"/>
      </w:tabs>
      <w:ind w:start="283"/>
    </w:pPr>
    <w:rPr/>
  </w:style>
  <w:style w:type="paragraph" w:styleId="FigureCaption" w:customStyle="1">
    <w:name w:val="Figure Caption"/>
    <w:basedOn w:val="BodyText"/>
    <w:qFormat/>
    <w:pPr>
      <w:spacing w:before="0" w:after="142"/>
      <w:ind w:hanging="283" w:start="283"/>
    </w:pPr>
    <w:rPr/>
  </w:style>
  <w:style w:type="paragraph" w:styleId="TOC3">
    <w:name w:val="toc 3"/>
    <w:basedOn w:val="Index"/>
    <w:pPr>
      <w:tabs>
        <w:tab w:val="clear" w:pos="720"/>
        <w:tab w:val="right" w:pos="9072" w:leader="dot"/>
      </w:tabs>
      <w:ind w:star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start"/>
    </w:pPr>
    <w:rPr>
      <w:rFonts w:ascii="Baskerville" w:hAnsi="Baskerville" w:eastAsia="Songti SC" w:cs="Mangal"/>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459</TotalTime>
  <Application>LibreOffice/26.2.0.3$MacOSX_AARCH64 LibreOffice_project/afbbd0df0edb6d40b450b0337ac646b0913a760c</Application>
  <AppVersion>15.0000</AppVersion>
  <Pages>36</Pages>
  <Words>17490</Words>
  <Characters>92296</Characters>
  <CharactersWithSpaces>109313</CharactersWithSpaces>
  <Paragraphs>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2026-08-19T20:44:55Z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