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numbering.xml" ContentType="application/vnd.openxmlformats-officedocument.wordprocessingml.numbering+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t xml:space="preserve"> in the American Museum of Natural History</w:t>
      </w:r>
    </w:p>
    <w:p>
      <w:pPr>
        <w:pStyle w:val="BodyText"/>
        <w:rPr/>
      </w:pPr>
      <w:r>
        <w:rPr/>
      </w:r>
    </w:p>
    <w:p>
      <w:pPr>
        <w:pStyle w:val="Normal"/>
        <w:rPr/>
      </w:pPr>
      <w:r>
        <w:rPr/>
        <w:t xml:space="preserve">Keywords: </w:t>
      </w:r>
      <w:r>
        <w:rPr>
          <w:i/>
          <w:iCs/>
        </w:rPr>
        <w:t>Barosaurus;</w:t>
      </w:r>
      <w:r>
        <w:rPr/>
        <w:t xml:space="preserve"> sauropod; neck; rearing; skeletal mount; cast</w:t>
      </w:r>
      <w:r>
        <w:br w:type="page"/>
      </w:r>
    </w:p>
    <w:p>
      <w:pPr>
        <w:pStyle w:val="Heading1"/>
        <w:spacing w:before="0" w:after="142"/>
        <w:rPr/>
      </w:pPr>
      <w:bookmarkStart w:id="0" w:name="__RefHeading___Toc8618_4125281488"/>
      <w:bookmarkEnd w:id="0"/>
      <w:r>
        <w:rPr/>
        <w:t>Abstract</w:t>
      </w:r>
    </w:p>
    <w:p>
      <w:pPr>
        <w:pStyle w:val="BodyText"/>
        <w:rPr/>
      </w:pPr>
      <w:r>
        <w:rPr>
          <w:i w:val="false"/>
          <w:iCs w:val="false"/>
        </w:rPr>
        <w:t xml:space="preserve">The rearing mounted skeleton of </w:t>
      </w:r>
      <w:r>
        <w:rPr/>
        <w:t>Barosaurus lentus</w:t>
      </w:r>
      <w:r>
        <w:rPr>
          <w:i w:val="false"/>
          <w:iCs w:val="false"/>
        </w:rPr>
        <w:t xml:space="preserve"> in the Roosevelt Memorial Hall of the American Museum of Natural History (AMNH) is among the most culturally influential of all dinosaur exhibits. We review the history of the genus and of AMNH 6341, the specimen on which the mount is principally based. Excavated by Earl Douglass from the Carnegie Quarry at what is now Dinosaur National Monument, this skeleton was divided between three institutions before Barnum Brown reunited it at the AMNH around 1930. It was then largely neglected for six decades. We document the conception of the rearing mount during the 1986–1991 renovation of the fossil halls, when Lowell Dingus and Eugene Gaffney independently arrived at the idea of a rearing sauropod inspired in part by Gregory S. Paul’s painting </w:t>
      </w:r>
      <w:r>
        <w:rPr/>
        <w:t>Ambush at Como Creek</w:t>
      </w:r>
      <w:r>
        <w:rPr>
          <w:i w:val="false"/>
          <w:iCs w:val="false"/>
        </w:rPr>
        <w:t xml:space="preserve">, and the construction of the cast by Research Casting International. At about 15 m, it is the tallest free-standing mounted skeleton in the world. Crucially, the mount’s purpose was not to assert that </w:t>
      </w:r>
      <w:r>
        <w:rPr/>
        <w:t>Barosaurus</w:t>
      </w:r>
      <w:r>
        <w:rPr>
          <w:i w:val="false"/>
          <w:iCs w:val="false"/>
        </w:rPr>
        <w:t xml:space="preserve"> habitually reared, but to provoke visitors to think about what fossils can and cannot tell us about extinct animals. About 80% of the material in the mount was cast from AMNH 6341. Almost all of the rest was cast from second-generation molds of the Carnegie </w:t>
      </w:r>
      <w:r>
        <w:rPr/>
        <w:t>Diplodocus</w:t>
      </w:r>
      <w:r>
        <w:rPr>
          <w:i w:val="false"/>
          <w:iCs w:val="false"/>
        </w:rPr>
        <w:t>, including a third of the neck and some residual camarasaurid material in the manus. We summarise the controversy the pose provoked, trace the longer history of rearing sauropods in science and art, and assess the mount’s substantial impact on popular culture.</w:t>
      </w:r>
    </w:p>
    <w:p>
      <w:pPr>
        <w:pStyle w:val="BodyText"/>
        <w:rPr>
          <w:i w:val="false"/>
          <w:iCs w:val="false"/>
        </w:rPr>
      </w:pPr>
      <w:r>
        <w:rPr>
          <w:i w:val="false"/>
          <w:iCs w:val="false"/>
        </w:rPr>
      </w:r>
      <w:r>
        <w:br w:type="page"/>
      </w:r>
    </w:p>
    <w:p>
      <w:pPr>
        <w:pStyle w:val="Heading1"/>
        <w:rPr/>
      </w:pPr>
      <w:bookmarkStart w:id="1" w:name="__RefHeading___Toc8620_4125281488"/>
      <w:bookmarkEnd w:id="1"/>
      <w:r>
        <w:rPr/>
        <w:t>Plain language summary</w:t>
      </w:r>
    </w:p>
    <w:p>
      <w:pPr>
        <w:pStyle w:val="BodyText"/>
        <w:rPr>
          <w:i w:val="false"/>
          <w:iCs w:val="false"/>
        </w:rPr>
      </w:pPr>
      <w:r>
        <w:rPr>
          <w:i/>
          <w:iCs/>
        </w:rPr>
        <w:t>Barosaurus</w:t>
      </w:r>
      <w:r>
        <w:rPr>
          <w:i w:val="false"/>
          <w:iCs w:val="false"/>
        </w:rPr>
        <w:t xml:space="preserve"> was a long-necked plant-eating dinosaur, a close relative of </w:t>
      </w:r>
      <w:r>
        <w:rPr>
          <w:i/>
          <w:iCs/>
        </w:rPr>
        <w:t>Diplodocus</w:t>
      </w:r>
      <w:r>
        <w:rPr>
          <w:i w:val="false"/>
          <w:iCs w:val="false"/>
        </w:rPr>
        <w:t xml:space="preserve">, that lived in the American West about 150 million years ago. The skeleton behind the American Museum of Natural History’s famous mount was dug up by Earl Douglass in Utah in the 1920s and was at first mistaken for a </w:t>
      </w:r>
      <w:r>
        <w:rPr>
          <w:i/>
          <w:iCs/>
        </w:rPr>
        <w:t>Diplodocus</w:t>
      </w:r>
      <w:r>
        <w:rPr>
          <w:i w:val="false"/>
          <w:iCs w:val="false"/>
        </w:rPr>
        <w:t>. Its bones ended up split between three separate museums, until Barnum Brown bought all three portions for the AMNH around 1930. The skeleton then sat mostly ignored for sixty years.</w:t>
      </w:r>
    </w:p>
    <w:p>
      <w:pPr>
        <w:pStyle w:val="BodyText"/>
        <w:rPr>
          <w:i w:val="false"/>
          <w:iCs w:val="false"/>
        </w:rPr>
      </w:pPr>
      <w:r>
        <w:rPr>
          <w:i w:val="false"/>
          <w:iCs w:val="false"/>
        </w:rPr>
        <w:t xml:space="preserve">During a major renovation in the late 1980s, two museum staff independently hit on the idea of showing a sauropod rearing up on its hind legs — an idea partly inspired by a Gregory Paul painting. A Canadian company made lightweight casts and assembled them into what is still the tallest free-standing mounted skeleton in the world, about 15 metres tall. Roughly 80% of the cast comes from the real specimen; most of the rest, including part of the neck and the skull, comes from </w:t>
      </w:r>
      <w:r>
        <w:rPr>
          <w:i/>
          <w:iCs/>
        </w:rPr>
        <w:t>Diplodocus</w:t>
      </w:r>
      <w:r>
        <w:rPr>
          <w:i w:val="false"/>
          <w:iCs w:val="false"/>
        </w:rPr>
        <w:t xml:space="preserve"> casts.</w:t>
      </w:r>
    </w:p>
    <w:p>
      <w:pPr>
        <w:pStyle w:val="BodyText"/>
        <w:rPr>
          <w:i w:val="false"/>
          <w:iCs w:val="false"/>
        </w:rPr>
      </w:pPr>
      <w:r>
        <w:rPr>
          <w:i w:val="false"/>
          <w:iCs w:val="false"/>
        </w:rPr>
        <w:t>The pose was never meant as a firm claim about behaviour, but as a prompt for visitors to ask what fossils really can and cannot tell us. It sparked scientific argument — some of it in a medical journal, about how such an animal could pump blood to its raised head — and later biomechanical modelling suggested the pose was indeed feasible. The mount has since shaped how sauropods appear in films, television and toys.</w:t>
      </w:r>
    </w:p>
    <w:p>
      <w:pPr>
        <w:pStyle w:val="BodyTex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8618_4125281488" w:tooltip="Abstract">
            <w:r>
              <w:rPr>
                <w:rStyle w:val="IndexLink"/>
              </w:rPr>
              <w:t>Abstract</w:t>
              <w:tab/>
              <w:t>2</w:t>
            </w:r>
          </w:hyperlink>
        </w:p>
        <w:p>
          <w:pPr>
            <w:pStyle w:val="TOC1"/>
            <w:tabs>
              <w:tab w:val="clear" w:pos="9638"/>
              <w:tab w:val="right" w:pos="9637" w:leader="dot"/>
            </w:tabs>
            <w:rPr/>
          </w:pPr>
          <w:hyperlink w:anchor="__RefHeading___Toc8620_4125281488" w:tooltip="Plain language summary">
            <w:r>
              <w:rPr>
                <w:rStyle w:val="IndexLink"/>
              </w:rPr>
              <w:t>Plain language summary</w:t>
              <w:tab/>
              <w:t>3</w:t>
            </w:r>
          </w:hyperlink>
        </w:p>
        <w:p>
          <w:pPr>
            <w:pStyle w:val="TOC1"/>
            <w:tabs>
              <w:tab w:val="clear" w:pos="9638"/>
              <w:tab w:val="right" w:pos="9637" w:leader="dot"/>
            </w:tabs>
            <w:rPr/>
          </w:pPr>
          <w:hyperlink w:anchor="__RefHeading___Toc3784_1986291683" w:tooltip="Introduction">
            <w:r>
              <w:rPr>
                <w:rStyle w:val="IndexLink"/>
              </w:rPr>
              <w:t>Introduction</w:t>
              <w:tab/>
              <w:t>7</w:t>
            </w:r>
          </w:hyperlink>
        </w:p>
        <w:p>
          <w:pPr>
            <w:pStyle w:val="TOC2"/>
            <w:tabs>
              <w:tab w:val="clear" w:pos="9355"/>
              <w:tab w:val="right" w:pos="9637" w:leader="dot"/>
            </w:tabs>
            <w:rPr/>
          </w:pPr>
          <w:hyperlink w:anchor="__RefHeading___Toc3323_2187837281" w:tooltip="Anatomical nomenclature">
            <w:r>
              <w:rPr>
                <w:rStyle w:val="IndexLink"/>
              </w:rPr>
              <w:t>Anatomical nomenclature</w:t>
              <w:tab/>
              <w:t>7</w:t>
            </w:r>
          </w:hyperlink>
        </w:p>
        <w:p>
          <w:pPr>
            <w:pStyle w:val="TOC2"/>
            <w:tabs>
              <w:tab w:val="clear" w:pos="9355"/>
              <w:tab w:val="right" w:pos="9637" w:leader="dot"/>
            </w:tabs>
            <w:rPr/>
          </w:pPr>
          <w:hyperlink w:anchor="__RefHeading___Toc5349_68767826" w:tooltip="Institutional abbreviations">
            <w:r>
              <w:rPr>
                <w:rStyle w:val="IndexLink"/>
              </w:rPr>
              <w:t>Institutional abbreviations</w:t>
              <w:tab/>
              <w:t>8</w:t>
            </w:r>
          </w:hyperlink>
        </w:p>
        <w:p>
          <w:pPr>
            <w:pStyle w:val="TOC1"/>
            <w:tabs>
              <w:tab w:val="clear" w:pos="9638"/>
              <w:tab w:val="right" w:pos="9637" w:leader="dot"/>
            </w:tabs>
            <w:rPr/>
          </w:pPr>
          <w:hyperlink w:anchor="__RefHeading___Toc4316_68767826" w:tooltip="Historical background">
            <w:r>
              <w:rPr>
                <w:rStyle w:val="IndexLink"/>
              </w:rPr>
              <w:t>Historical background</w:t>
              <w:tab/>
              <w:t>8</w:t>
            </w:r>
          </w:hyperlink>
        </w:p>
        <w:p>
          <w:pPr>
            <w:pStyle w:val="TOC2"/>
            <w:tabs>
              <w:tab w:val="clear" w:pos="9355"/>
              <w:tab w:val="right" w:pos="9637" w:leader="dot"/>
            </w:tabs>
            <w:rPr/>
          </w:pPr>
          <w:hyperlink w:anchor="__RefHeading___Toc12350_68767826" w:tooltip="Early discoveries of Barosaurus">
            <w:r>
              <w:rPr>
                <w:rStyle w:val="IndexLink"/>
              </w:rPr>
              <w:t xml:space="preserve">Early discoveries of </w:t>
            </w:r>
            <w:r>
              <w:rPr>
                <w:rStyle w:val="IndexLink"/>
                <w:i/>
                <w:iCs/>
              </w:rPr>
              <w:t>Barosaurus</w:t>
            </w:r>
            <w:r>
              <w:rPr>
                <w:rStyle w:val="IndexLink"/>
              </w:rPr>
              <w:tab/>
              <w:t>8</w:t>
            </w:r>
          </w:hyperlink>
        </w:p>
        <w:p>
          <w:pPr>
            <w:pStyle w:val="TOC2"/>
            <w:tabs>
              <w:tab w:val="clear" w:pos="9355"/>
              <w:tab w:val="right" w:pos="9637" w:leader="dot"/>
            </w:tabs>
            <w:rPr/>
          </w:pPr>
          <w:hyperlink w:anchor="__RefHeading___Toc12352_68767826" w:tooltip="The AMNH specimen of Barosaurus">
            <w:r>
              <w:rPr>
                <w:rStyle w:val="IndexLink"/>
              </w:rPr>
              <w:t xml:space="preserve">The AMNH specimen of </w:t>
            </w:r>
            <w:r>
              <w:rPr>
                <w:rStyle w:val="IndexLink"/>
                <w:i/>
                <w:iCs/>
              </w:rPr>
              <w:t>Barosaurus</w:t>
            </w:r>
            <w:r>
              <w:rPr>
                <w:rStyle w:val="IndexLink"/>
              </w:rPr>
              <w:tab/>
              <w:t>10</w:t>
            </w:r>
          </w:hyperlink>
        </w:p>
        <w:p>
          <w:pPr>
            <w:pStyle w:val="TOC3"/>
            <w:tabs>
              <w:tab w:val="clear" w:pos="9072"/>
              <w:tab w:val="right" w:pos="9637" w:leader="dot"/>
            </w:tabs>
            <w:rPr/>
          </w:pPr>
          <w:hyperlink w:anchor="__RefHeading___Toc25848_1820571732" w:tooltip="The Carnegie Quarry at Dinosaur National Monument">
            <w:r>
              <w:rPr>
                <w:rStyle w:val="IndexLink"/>
              </w:rPr>
              <w:t>The Carnegie Quarry at Dinosaur National Monument</w:t>
              <w:tab/>
              <w:t>10</w:t>
            </w:r>
          </w:hyperlink>
        </w:p>
        <w:p>
          <w:pPr>
            <w:pStyle w:val="TOC3"/>
            <w:tabs>
              <w:tab w:val="clear" w:pos="9072"/>
              <w:tab w:val="right" w:pos="9637" w:leader="dot"/>
            </w:tabs>
            <w:rPr/>
          </w:pPr>
          <w:hyperlink w:anchor="__RefHeading___Toc25850_1820571732" w:tooltip="USNM work at Dinosaur National Monument">
            <w:r>
              <w:rPr>
                <w:rStyle w:val="IndexLink"/>
              </w:rPr>
              <w:t>USNM work at Dinosaur National Monument</w:t>
              <w:tab/>
              <w:t>11</w:t>
            </w:r>
          </w:hyperlink>
        </w:p>
        <w:p>
          <w:pPr>
            <w:pStyle w:val="TOC3"/>
            <w:tabs>
              <w:tab w:val="clear" w:pos="9072"/>
              <w:tab w:val="right" w:pos="9637" w:leader="dot"/>
            </w:tabs>
            <w:rPr/>
          </w:pPr>
          <w:hyperlink w:anchor="__RefHeading___Toc25852_1820571732" w:tooltip="The skeleton reunited">
            <w:r>
              <w:rPr>
                <w:rStyle w:val="IndexLink"/>
              </w:rPr>
              <w:t>The skeleton reunited</w:t>
              <w:tab/>
              <w:t>13</w:t>
            </w:r>
          </w:hyperlink>
        </w:p>
        <w:p>
          <w:pPr>
            <w:pStyle w:val="TOC1"/>
            <w:tabs>
              <w:tab w:val="clear" w:pos="9638"/>
              <w:tab w:val="right" w:pos="9637" w:leader="dot"/>
            </w:tabs>
            <w:rPr/>
          </w:pPr>
          <w:hyperlink w:anchor="__RefHeading___Toc5351_68767826" w:tooltip="The AMNH mounted Barosaurus">
            <w:r>
              <w:rPr>
                <w:rStyle w:val="IndexLink"/>
              </w:rPr>
              <w:t xml:space="preserve">The AMNH mounted </w:t>
            </w:r>
            <w:r>
              <w:rPr>
                <w:rStyle w:val="IndexLink"/>
                <w:i/>
                <w:iCs/>
              </w:rPr>
              <w:t>Barosaurus</w:t>
            </w:r>
            <w:r>
              <w:rPr>
                <w:rStyle w:val="IndexLink"/>
              </w:rPr>
              <w:tab/>
              <w:t>15</w:t>
            </w:r>
          </w:hyperlink>
        </w:p>
        <w:p>
          <w:pPr>
            <w:pStyle w:val="TOC2"/>
            <w:tabs>
              <w:tab w:val="clear" w:pos="9355"/>
              <w:tab w:val="right" w:pos="9637" w:leader="dot"/>
            </w:tabs>
            <w:rPr/>
          </w:pPr>
          <w:hyperlink w:anchor="__RefHeading___Toc5354_68767826" w:tooltip="The conception of the mount">
            <w:r>
              <w:rPr>
                <w:rStyle w:val="IndexLink"/>
              </w:rPr>
              <w:t>The conception of the mount</w:t>
              <w:tab/>
              <w:t>15</w:t>
            </w:r>
          </w:hyperlink>
        </w:p>
        <w:p>
          <w:pPr>
            <w:pStyle w:val="TOC2"/>
            <w:tabs>
              <w:tab w:val="clear" w:pos="9355"/>
              <w:tab w:val="right" w:pos="9637" w:leader="dot"/>
            </w:tabs>
            <w:rPr/>
          </w:pPr>
          <w:hyperlink w:anchor="__RefHeading___Toc1099_1709072779" w:tooltip="The purpose of the mount">
            <w:r>
              <w:rPr>
                <w:rStyle w:val="IndexLink"/>
              </w:rPr>
              <w:t>The purpose of the mount</w:t>
              <w:tab/>
              <w:t>18</w:t>
            </w:r>
          </w:hyperlink>
        </w:p>
        <w:p>
          <w:pPr>
            <w:pStyle w:val="TOC2"/>
            <w:tabs>
              <w:tab w:val="clear" w:pos="9355"/>
              <w:tab w:val="right" w:pos="9637" w:leader="dot"/>
            </w:tabs>
            <w:rPr/>
          </w:pPr>
          <w:hyperlink w:anchor="__RefHeading___Toc18297_68767826" w:tooltip="The creation of the mount">
            <w:r>
              <w:rPr>
                <w:rStyle w:val="IndexLink"/>
              </w:rPr>
              <w:t>The creation of the mount</w:t>
              <w:tab/>
              <w:t>19</w:t>
            </w:r>
          </w:hyperlink>
        </w:p>
        <w:p>
          <w:pPr>
            <w:pStyle w:val="TOC2"/>
            <w:tabs>
              <w:tab w:val="clear" w:pos="9355"/>
              <w:tab w:val="right" w:pos="9637" w:leader="dot"/>
            </w:tabs>
            <w:rPr/>
          </w:pPr>
          <w:hyperlink w:anchor="__RefHeading___Toc5632_2187837281" w:tooltip="Photography of the mount">
            <w:r>
              <w:rPr>
                <w:rStyle w:val="IndexLink"/>
              </w:rPr>
              <w:t>Photography of the mount</w:t>
              <w:tab/>
              <w:t>24</w:t>
            </w:r>
          </w:hyperlink>
        </w:p>
        <w:p>
          <w:pPr>
            <w:pStyle w:val="TOC2"/>
            <w:tabs>
              <w:tab w:val="clear" w:pos="9355"/>
              <w:tab w:val="right" w:pos="9637" w:leader="dot"/>
            </w:tabs>
            <w:rPr/>
          </w:pPr>
          <w:hyperlink w:anchor="__RefHeading___Toc5356_68767826" w:tooltip="The composition of the mount">
            <w:r>
              <w:rPr>
                <w:rStyle w:val="IndexLink"/>
              </w:rPr>
              <w:t>The composition of the mount</w:t>
              <w:tab/>
              <w:t>25</w:t>
            </w:r>
          </w:hyperlink>
        </w:p>
        <w:p>
          <w:pPr>
            <w:pStyle w:val="TOC3"/>
            <w:tabs>
              <w:tab w:val="clear" w:pos="9072"/>
              <w:tab w:val="right" w:pos="9637" w:leader="dot"/>
            </w:tabs>
            <w:rPr/>
          </w:pPr>
          <w:hyperlink w:anchor="__RefHeading___Toc16585_68767826" w:tooltip="Overview">
            <w:r>
              <w:rPr>
                <w:rStyle w:val="IndexLink"/>
              </w:rPr>
              <w:t>Overview</w:t>
              <w:tab/>
              <w:t>25</w:t>
            </w:r>
          </w:hyperlink>
        </w:p>
        <w:p>
          <w:pPr>
            <w:pStyle w:val="TOC3"/>
            <w:tabs>
              <w:tab w:val="clear" w:pos="9072"/>
              <w:tab w:val="right" w:pos="9637" w:leader="dot"/>
            </w:tabs>
            <w:rPr/>
          </w:pPr>
          <w:hyperlink w:anchor="__RefHeading___Toc4995_537823704" w:tooltip="Barosaurus material in the mount">
            <w:r>
              <w:rPr>
                <w:rStyle w:val="IndexLink"/>
                <w:i/>
                <w:iCs/>
              </w:rPr>
              <w:t>Barosaurus</w:t>
            </w:r>
            <w:r>
              <w:rPr>
                <w:rStyle w:val="IndexLink"/>
              </w:rPr>
              <w:t xml:space="preserve"> material in the mount</w:t>
              <w:tab/>
              <w:t>26</w:t>
            </w:r>
          </w:hyperlink>
        </w:p>
        <w:p>
          <w:pPr>
            <w:pStyle w:val="TOC3"/>
            <w:tabs>
              <w:tab w:val="clear" w:pos="9072"/>
              <w:tab w:val="right" w:pos="9637" w:leader="dot"/>
            </w:tabs>
            <w:rPr/>
          </w:pPr>
          <w:hyperlink w:anchor="__RefHeading___Toc25854_1820571732" w:tooltip="Non-Barosaurus material in the mount">
            <w:r>
              <w:rPr>
                <w:rStyle w:val="IndexLink"/>
              </w:rPr>
              <w:t>Non-</w:t>
            </w:r>
            <w:r>
              <w:rPr>
                <w:rStyle w:val="IndexLink"/>
                <w:i/>
                <w:iCs/>
              </w:rPr>
              <w:t>Barosaurus</w:t>
            </w:r>
            <w:r>
              <w:rPr>
                <w:rStyle w:val="IndexLink"/>
              </w:rPr>
              <w:t xml:space="preserve"> material in the mount</w:t>
              <w:tab/>
              <w:t>28</w:t>
            </w:r>
          </w:hyperlink>
        </w:p>
        <w:p>
          <w:pPr>
            <w:pStyle w:val="TOC3"/>
            <w:tabs>
              <w:tab w:val="clear" w:pos="9072"/>
              <w:tab w:val="right" w:pos="9637" w:leader="dot"/>
            </w:tabs>
            <w:rPr/>
          </w:pPr>
          <w:hyperlink w:anchor="__RefHeading___Toc16587_68767826" w:tooltip="Skull">
            <w:r>
              <w:rPr>
                <w:rStyle w:val="IndexLink"/>
              </w:rPr>
              <w:t>Skull</w:t>
              <w:tab/>
              <w:t>29</w:t>
            </w:r>
          </w:hyperlink>
        </w:p>
        <w:p>
          <w:pPr>
            <w:pStyle w:val="TOC3"/>
            <w:tabs>
              <w:tab w:val="clear" w:pos="9072"/>
              <w:tab w:val="right" w:pos="9637" w:leader="dot"/>
            </w:tabs>
            <w:rPr/>
          </w:pPr>
          <w:hyperlink w:anchor="__RefHeading___Toc16589_68767826" w:tooltip="Neck">
            <w:r>
              <w:rPr>
                <w:rStyle w:val="IndexLink"/>
              </w:rPr>
              <w:t>Neck</w:t>
              <w:tab/>
              <w:t>29</w:t>
            </w:r>
          </w:hyperlink>
        </w:p>
        <w:p>
          <w:pPr>
            <w:pStyle w:val="TOC3"/>
            <w:tabs>
              <w:tab w:val="clear" w:pos="9072"/>
              <w:tab w:val="right" w:pos="9637" w:leader="dot"/>
            </w:tabs>
            <w:rPr/>
          </w:pPr>
          <w:hyperlink w:anchor="__RefHeading___Toc2466_2187837281" w:tooltip="Torso, sacrum and tail">
            <w:r>
              <w:rPr>
                <w:rStyle w:val="IndexLink"/>
              </w:rPr>
              <w:t>Torso, sacrum and tail</w:t>
              <w:tab/>
              <w:t>31</w:t>
            </w:r>
          </w:hyperlink>
        </w:p>
        <w:p>
          <w:pPr>
            <w:pStyle w:val="TOC3"/>
            <w:tabs>
              <w:tab w:val="clear" w:pos="9072"/>
              <w:tab w:val="right" w:pos="9637" w:leader="dot"/>
            </w:tabs>
            <w:rPr/>
          </w:pPr>
          <w:hyperlink w:anchor="__RefHeading___Toc2470_2187837281" w:tooltip="Forelimbs and girdles">
            <w:r>
              <w:rPr>
                <w:rStyle w:val="IndexLink"/>
              </w:rPr>
              <w:t>Forelimbs and girdles</w:t>
              <w:tab/>
              <w:t>32</w:t>
            </w:r>
          </w:hyperlink>
        </w:p>
        <w:p>
          <w:pPr>
            <w:pStyle w:val="TOC3"/>
            <w:tabs>
              <w:tab w:val="clear" w:pos="9072"/>
              <w:tab w:val="right" w:pos="9637" w:leader="dot"/>
            </w:tabs>
            <w:rPr/>
          </w:pPr>
          <w:hyperlink w:anchor="__RefHeading___Toc25856_1820571732" w:tooltip="Hindlimbs and girdles">
            <w:r>
              <w:rPr>
                <w:rStyle w:val="IndexLink"/>
              </w:rPr>
              <w:t>Hindlimbs and girdles</w:t>
              <w:tab/>
              <w:t>32</w:t>
            </w:r>
          </w:hyperlink>
        </w:p>
        <w:p>
          <w:pPr>
            <w:pStyle w:val="TOC1"/>
            <w:tabs>
              <w:tab w:val="clear" w:pos="9638"/>
              <w:tab w:val="right" w:pos="9637" w:leader="dot"/>
            </w:tabs>
            <w:rPr/>
          </w:pPr>
          <w:hyperlink w:anchor="__RefHeading___Toc3401_68767826" w:tooltip="Discussion">
            <w:r>
              <w:rPr>
                <w:rStyle w:val="IndexLink"/>
              </w:rPr>
              <w:t>Discussion</w:t>
              <w:tab/>
              <w:t>33</w:t>
            </w:r>
          </w:hyperlink>
        </w:p>
        <w:p>
          <w:pPr>
            <w:pStyle w:val="TOC2"/>
            <w:tabs>
              <w:tab w:val="clear" w:pos="9355"/>
              <w:tab w:val="right" w:pos="9637" w:leader="dot"/>
            </w:tabs>
            <w:rPr/>
          </w:pPr>
          <w:hyperlink w:anchor="__RefHeading___Toc21934_68767826" w:tooltip="Size of the AMNH 6341 animal">
            <w:r>
              <w:rPr>
                <w:rStyle w:val="IndexLink"/>
              </w:rPr>
              <w:t>Size of the AMNH 6341 animal</w:t>
              <w:tab/>
              <w:t>33</w:t>
            </w:r>
          </w:hyperlink>
        </w:p>
        <w:p>
          <w:pPr>
            <w:pStyle w:val="TOC2"/>
            <w:tabs>
              <w:tab w:val="clear" w:pos="9355"/>
              <w:tab w:val="right" w:pos="9637" w:leader="dot"/>
            </w:tabs>
            <w:rPr/>
          </w:pPr>
          <w:hyperlink w:anchor="__RefHeading___Toc7947_4188845286" w:tooltip="Rearing pose">
            <w:r>
              <w:rPr>
                <w:rStyle w:val="IndexLink"/>
              </w:rPr>
              <w:t>Rearing pose</w:t>
              <w:tab/>
              <w:t>34</w:t>
            </w:r>
          </w:hyperlink>
        </w:p>
        <w:p>
          <w:pPr>
            <w:pStyle w:val="TOC2"/>
            <w:tabs>
              <w:tab w:val="clear" w:pos="9355"/>
              <w:tab w:val="right" w:pos="9637" w:leader="dot"/>
            </w:tabs>
            <w:rPr/>
          </w:pPr>
          <w:hyperlink w:anchor="__RefHeading___Toc3786_1986291683" w:tooltip="A short history of rearing sauropods">
            <w:r>
              <w:rPr>
                <w:rStyle w:val="IndexLink"/>
              </w:rPr>
              <w:t>A short history of rearing sauropods</w:t>
              <w:tab/>
              <w:t>37</w:t>
            </w:r>
          </w:hyperlink>
        </w:p>
        <w:p>
          <w:pPr>
            <w:pStyle w:val="TOC2"/>
            <w:tabs>
              <w:tab w:val="clear" w:pos="9355"/>
              <w:tab w:val="right" w:pos="9637" w:leader="dot"/>
            </w:tabs>
            <w:rPr/>
          </w:pPr>
          <w:hyperlink w:anchor="__RefHeading___Toc11689_675290491" w:tooltip="Cultural impact">
            <w:r>
              <w:rPr>
                <w:rStyle w:val="IndexLink"/>
              </w:rPr>
              <w:t>Cultural impact</w:t>
              <w:tab/>
              <w:t>39</w:t>
            </w:r>
          </w:hyperlink>
        </w:p>
        <w:p>
          <w:pPr>
            <w:pStyle w:val="TOC1"/>
            <w:tabs>
              <w:tab w:val="clear" w:pos="9638"/>
              <w:tab w:val="right" w:pos="9637" w:leader="dot"/>
            </w:tabs>
            <w:rPr/>
          </w:pPr>
          <w:hyperlink w:anchor="__RefHeading___Toc8168_4188845286" w:tooltip="Conclusion">
            <w:r>
              <w:rPr>
                <w:rStyle w:val="IndexLink"/>
              </w:rPr>
              <w:t>Conclusion</w:t>
              <w:tab/>
              <w:t>41</w:t>
            </w:r>
          </w:hyperlink>
        </w:p>
        <w:p>
          <w:pPr>
            <w:pStyle w:val="TOC1"/>
            <w:tabs>
              <w:tab w:val="clear" w:pos="9638"/>
              <w:tab w:val="right" w:pos="9637" w:leader="dot"/>
            </w:tabs>
            <w:rPr/>
          </w:pPr>
          <w:hyperlink w:anchor="__RefHeading___Toc2658_1236825145" w:tooltip="References">
            <w:r>
              <w:rPr>
                <w:rStyle w:val="IndexLink"/>
              </w:rPr>
              <w:t>References</w:t>
              <w:tab/>
              <w:t>42</w:t>
            </w:r>
          </w:hyperlink>
        </w:p>
        <w:p>
          <w:pPr>
            <w:pStyle w:val="TOC1"/>
            <w:tabs>
              <w:tab w:val="clear" w:pos="9638"/>
              <w:tab w:val="right" w:pos="9637" w:leader="dot"/>
            </w:tabs>
            <w:rPr/>
          </w:pPr>
          <w:hyperlink w:anchor="__RefHeading___Toc3407_68767826" w:tooltip="Figure Captions">
            <w:r>
              <w:rPr>
                <w:rStyle w:val="IndexLink"/>
              </w:rPr>
              <w:t>Figure Captions</w:t>
              <w:tab/>
              <w:t>52</w:t>
            </w:r>
          </w:hyperlink>
        </w:p>
        <w:p>
          <w:pPr>
            <w:pStyle w:val="TOC1"/>
            <w:tabs>
              <w:tab w:val="clear" w:pos="9638"/>
              <w:tab w:val="right" w:pos="9637" w:leader="dot"/>
            </w:tabs>
            <w:rPr/>
          </w:pPr>
          <w:hyperlink w:anchor="__RefHeading___Toc2660_1236825145" w:tooltip="Figures">
            <w:r>
              <w:rPr>
                <w:rStyle w:val="IndexLink"/>
              </w:rPr>
              <w:t>Figures</w:t>
              <w:tab/>
              <w:t>58</w:t>
            </w:r>
          </w:hyperlink>
        </w:p>
        <w:p>
          <w:pPr>
            <w:pStyle w:val="TOC2"/>
            <w:tabs>
              <w:tab w:val="clear" w:pos="9355"/>
              <w:tab w:val="right" w:pos="9637" w:leader="dot"/>
            </w:tabs>
            <w:rPr/>
          </w:pPr>
          <w:hyperlink w:anchor="__RefHeading___Toc2662_1236825145" w:tooltip="Figure 1">
            <w:r>
              <w:rPr>
                <w:rStyle w:val="IndexLink"/>
              </w:rPr>
              <w:t>Figure 1</w:t>
              <w:tab/>
              <w:t>58</w:t>
            </w:r>
          </w:hyperlink>
        </w:p>
        <w:p>
          <w:pPr>
            <w:pStyle w:val="TOC2"/>
            <w:tabs>
              <w:tab w:val="clear" w:pos="9355"/>
              <w:tab w:val="right" w:pos="9637" w:leader="dot"/>
            </w:tabs>
            <w:rPr/>
          </w:pPr>
          <w:hyperlink w:anchor="__RefHeading___Toc2664_1236825145" w:tooltip="Figure 2">
            <w:r>
              <w:rPr>
                <w:rStyle w:val="IndexLink"/>
              </w:rPr>
              <w:t>Figure 2</w:t>
              <w:tab/>
              <w:t>59</w:t>
            </w:r>
          </w:hyperlink>
        </w:p>
        <w:p>
          <w:pPr>
            <w:pStyle w:val="TOC2"/>
            <w:tabs>
              <w:tab w:val="clear" w:pos="9355"/>
              <w:tab w:val="right" w:pos="9637" w:leader="dot"/>
            </w:tabs>
            <w:rPr/>
          </w:pPr>
          <w:hyperlink w:anchor="__RefHeading___Toc2666_1236825145" w:tooltip="Figure 3">
            <w:r>
              <w:rPr>
                <w:rStyle w:val="IndexLink"/>
              </w:rPr>
              <w:t>Figure 3</w:t>
              <w:tab/>
              <w:t>60</w:t>
            </w:r>
          </w:hyperlink>
        </w:p>
        <w:p>
          <w:pPr>
            <w:pStyle w:val="TOC2"/>
            <w:tabs>
              <w:tab w:val="clear" w:pos="9355"/>
              <w:tab w:val="right" w:pos="9637" w:leader="dot"/>
            </w:tabs>
            <w:rPr/>
          </w:pPr>
          <w:hyperlink w:anchor="__RefHeading___Toc2668_1236825145" w:tooltip="Figure 4">
            <w:r>
              <w:rPr>
                <w:rStyle w:val="IndexLink"/>
              </w:rPr>
              <w:t>Figure 4</w:t>
              <w:tab/>
              <w:t>61</w:t>
            </w:r>
          </w:hyperlink>
        </w:p>
        <w:p>
          <w:pPr>
            <w:pStyle w:val="TOC2"/>
            <w:tabs>
              <w:tab w:val="clear" w:pos="9355"/>
              <w:tab w:val="right" w:pos="9637" w:leader="dot"/>
            </w:tabs>
            <w:rPr/>
          </w:pPr>
          <w:hyperlink w:anchor="__RefHeading___Toc2670_1236825145" w:tooltip="Figure 5">
            <w:r>
              <w:rPr>
                <w:rStyle w:val="IndexLink"/>
              </w:rPr>
              <w:t>Figure 5</w:t>
              <w:tab/>
              <w:t>62</w:t>
            </w:r>
          </w:hyperlink>
        </w:p>
        <w:p>
          <w:pPr>
            <w:pStyle w:val="TOC2"/>
            <w:tabs>
              <w:tab w:val="clear" w:pos="9355"/>
              <w:tab w:val="right" w:pos="9637" w:leader="dot"/>
            </w:tabs>
            <w:rPr/>
          </w:pPr>
          <w:hyperlink w:anchor="__RefHeading___Toc2672_1236825145" w:tooltip="Figure 6">
            <w:r>
              <w:rPr>
                <w:rStyle w:val="IndexLink"/>
              </w:rPr>
              <w:t>Figure 6</w:t>
              <w:tab/>
              <w:t>63</w:t>
            </w:r>
          </w:hyperlink>
        </w:p>
        <w:p>
          <w:pPr>
            <w:pStyle w:val="TOC2"/>
            <w:tabs>
              <w:tab w:val="clear" w:pos="9355"/>
              <w:tab w:val="right" w:pos="9637" w:leader="dot"/>
            </w:tabs>
            <w:rPr/>
          </w:pPr>
          <w:hyperlink w:anchor="__RefHeading___Toc2674_1236825145" w:tooltip="Figure 7">
            <w:r>
              <w:rPr>
                <w:rStyle w:val="IndexLink"/>
              </w:rPr>
              <w:t>Figure 7</w:t>
              <w:tab/>
              <w:t>64</w:t>
            </w:r>
          </w:hyperlink>
        </w:p>
        <w:p>
          <w:pPr>
            <w:pStyle w:val="TOC2"/>
            <w:tabs>
              <w:tab w:val="clear" w:pos="9355"/>
              <w:tab w:val="right" w:pos="9637" w:leader="dot"/>
            </w:tabs>
            <w:rPr/>
          </w:pPr>
          <w:hyperlink w:anchor="__RefHeading___Toc2676_1236825145" w:tooltip="Figure 8">
            <w:r>
              <w:rPr>
                <w:rStyle w:val="IndexLink"/>
              </w:rPr>
              <w:t>Figure 8</w:t>
              <w:tab/>
              <w:t>65</w:t>
            </w:r>
          </w:hyperlink>
        </w:p>
        <w:p>
          <w:pPr>
            <w:pStyle w:val="TOC2"/>
            <w:tabs>
              <w:tab w:val="clear" w:pos="9355"/>
              <w:tab w:val="right" w:pos="9637" w:leader="dot"/>
            </w:tabs>
            <w:rPr/>
          </w:pPr>
          <w:hyperlink w:anchor="__RefHeading___Toc2678_1236825145" w:tooltip="Figure 9">
            <w:r>
              <w:rPr>
                <w:rStyle w:val="IndexLink"/>
              </w:rPr>
              <w:t>Figure 9</w:t>
              <w:tab/>
              <w:t>66</w:t>
            </w:r>
          </w:hyperlink>
        </w:p>
        <w:p>
          <w:pPr>
            <w:pStyle w:val="TOC2"/>
            <w:tabs>
              <w:tab w:val="clear" w:pos="9355"/>
              <w:tab w:val="right" w:pos="9637" w:leader="dot"/>
            </w:tabs>
            <w:rPr/>
          </w:pPr>
          <w:hyperlink w:anchor="__RefHeading___Toc2680_1236825145" w:tooltip="Figure 10">
            <w:r>
              <w:rPr>
                <w:rStyle w:val="IndexLink"/>
              </w:rPr>
              <w:t>Figure 10</w:t>
              <w:tab/>
              <w:t>67</w:t>
            </w:r>
          </w:hyperlink>
        </w:p>
        <w:p>
          <w:pPr>
            <w:pStyle w:val="TOC2"/>
            <w:tabs>
              <w:tab w:val="clear" w:pos="9355"/>
              <w:tab w:val="right" w:pos="9637" w:leader="dot"/>
            </w:tabs>
            <w:rPr/>
          </w:pPr>
          <w:hyperlink w:anchor="__RefHeading___Toc2682_1236825145" w:tooltip="Figure 11">
            <w:r>
              <w:rPr>
                <w:rStyle w:val="IndexLink"/>
              </w:rPr>
              <w:t>Figure 11</w:t>
              <w:tab/>
              <w:t>68</w:t>
            </w:r>
          </w:hyperlink>
        </w:p>
        <w:p>
          <w:pPr>
            <w:pStyle w:val="TOC2"/>
            <w:tabs>
              <w:tab w:val="clear" w:pos="9355"/>
              <w:tab w:val="right" w:pos="9637" w:leader="dot"/>
            </w:tabs>
            <w:rPr/>
          </w:pPr>
          <w:hyperlink w:anchor="__RefHeading___Toc2684_1236825145" w:tooltip="Figure 12">
            <w:r>
              <w:rPr>
                <w:rStyle w:val="IndexLink"/>
              </w:rPr>
              <w:t>Figure 12</w:t>
              <w:tab/>
              <w:t>69</w:t>
            </w:r>
          </w:hyperlink>
        </w:p>
        <w:p>
          <w:pPr>
            <w:pStyle w:val="TOC2"/>
            <w:tabs>
              <w:tab w:val="clear" w:pos="9355"/>
              <w:tab w:val="right" w:pos="9637" w:leader="dot"/>
            </w:tabs>
            <w:rPr/>
          </w:pPr>
          <w:hyperlink w:anchor="__RefHeading___Toc2686_1236825145" w:tooltip="Figure 13">
            <w:r>
              <w:rPr>
                <w:rStyle w:val="IndexLink"/>
              </w:rPr>
              <w:t>Figure 13</w:t>
              <w:tab/>
              <w:t>70</w:t>
            </w:r>
          </w:hyperlink>
        </w:p>
        <w:p>
          <w:pPr>
            <w:pStyle w:val="TOC2"/>
            <w:tabs>
              <w:tab w:val="clear" w:pos="9355"/>
              <w:tab w:val="right" w:pos="9637" w:leader="dot"/>
            </w:tabs>
            <w:rPr/>
          </w:pPr>
          <w:hyperlink w:anchor="__RefHeading___Toc2688_1236825145" w:tooltip="Figure 14">
            <w:r>
              <w:rPr>
                <w:rStyle w:val="IndexLink"/>
              </w:rPr>
              <w:t>Figure 14</w:t>
              <w:tab/>
              <w:t>71</w:t>
            </w:r>
          </w:hyperlink>
        </w:p>
        <w:p>
          <w:pPr>
            <w:pStyle w:val="TOC2"/>
            <w:tabs>
              <w:tab w:val="clear" w:pos="9355"/>
              <w:tab w:val="right" w:pos="9637" w:leader="dot"/>
            </w:tabs>
            <w:rPr/>
          </w:pPr>
          <w:hyperlink w:anchor="__RefHeading___Toc2690_1236825145" w:tooltip="Figure 15">
            <w:r>
              <w:rPr>
                <w:rStyle w:val="IndexLink"/>
              </w:rPr>
              <w:t>Figure 15</w:t>
              <w:tab/>
              <w:t>72</w:t>
            </w:r>
          </w:hyperlink>
        </w:p>
        <w:p>
          <w:pPr>
            <w:pStyle w:val="TOC2"/>
            <w:tabs>
              <w:tab w:val="clear" w:pos="9355"/>
              <w:tab w:val="right" w:pos="9637" w:leader="dot"/>
            </w:tabs>
            <w:rPr/>
          </w:pPr>
          <w:hyperlink w:anchor="__RefHeading___Toc2692_1236825145" w:tooltip="Figure 16">
            <w:r>
              <w:rPr>
                <w:rStyle w:val="IndexLink"/>
              </w:rPr>
              <w:t>Figure 16</w:t>
              <w:tab/>
              <w:t>73</w:t>
            </w:r>
          </w:hyperlink>
        </w:p>
        <w:p>
          <w:pPr>
            <w:pStyle w:val="TOC2"/>
            <w:tabs>
              <w:tab w:val="clear" w:pos="9355"/>
              <w:tab w:val="right" w:pos="9637" w:leader="dot"/>
            </w:tabs>
            <w:rPr/>
          </w:pPr>
          <w:hyperlink w:anchor="__RefHeading___Toc2694_1236825145" w:tooltip="Figure 17">
            <w:r>
              <w:rPr>
                <w:rStyle w:val="IndexLink"/>
              </w:rPr>
              <w:t>Figure 17</w:t>
              <w:tab/>
              <w:t>74</w:t>
            </w:r>
          </w:hyperlink>
        </w:p>
        <w:p>
          <w:pPr>
            <w:pStyle w:val="TOC2"/>
            <w:tabs>
              <w:tab w:val="clear" w:pos="9355"/>
              <w:tab w:val="right" w:pos="9637" w:leader="dot"/>
            </w:tabs>
            <w:rPr/>
          </w:pPr>
          <w:hyperlink w:anchor="__RefHeading___Toc2696_1236825145" w:tooltip="Figure 18">
            <w:r>
              <w:rPr>
                <w:rStyle w:val="IndexLink"/>
              </w:rPr>
              <w:t>Figure 18</w:t>
              <w:tab/>
              <w:t>75</w:t>
            </w:r>
          </w:hyperlink>
        </w:p>
        <w:p>
          <w:pPr>
            <w:pStyle w:val="TOC2"/>
            <w:tabs>
              <w:tab w:val="clear" w:pos="9355"/>
              <w:tab w:val="right" w:pos="9637" w:leader="dot"/>
            </w:tabs>
            <w:rPr/>
          </w:pPr>
          <w:hyperlink w:anchor="__RefHeading___Toc2698_1236825145" w:tooltip="Figure 19">
            <w:r>
              <w:rPr>
                <w:rStyle w:val="IndexLink"/>
              </w:rPr>
              <w:t>Figure 19</w:t>
              <w:tab/>
              <w:t>76</w:t>
            </w:r>
          </w:hyperlink>
        </w:p>
        <w:p>
          <w:pPr>
            <w:pStyle w:val="TOC1"/>
            <w:tabs>
              <w:tab w:val="clear" w:pos="9638"/>
              <w:tab w:val="right" w:pos="9637" w:leader="dot"/>
            </w:tabs>
            <w:rPr/>
          </w:pPr>
          <w:hyperlink w:anchor="__RefHeading___Toc25858_1820571732" w:tooltip="Tables">
            <w:r>
              <w:rPr>
                <w:rStyle w:val="IndexLink"/>
              </w:rPr>
              <w:t>Tables</w:t>
              <w:tab/>
              <w:t>77</w:t>
            </w:r>
          </w:hyperlink>
        </w:p>
        <w:p>
          <w:pPr>
            <w:pStyle w:val="TOC2"/>
            <w:tabs>
              <w:tab w:val="clear" w:pos="9355"/>
              <w:tab w:val="right" w:pos="9637" w:leader="dot"/>
            </w:tabs>
            <w:rPr/>
          </w:pPr>
          <w:hyperlink w:anchor="__RefHeading___Toc25860_1820571732" w:tooltip="Table 1">
            <w:r>
              <w:rPr>
                <w:rStyle w:val="IndexLink"/>
              </w:rPr>
              <w:t>Table 1</w:t>
              <w:tab/>
              <w:t>77</w:t>
            </w:r>
          </w:hyperlink>
          <w:r>
            <w:rPr>
              <w:rStyle w:val="IndexLink"/>
            </w:rPr>
            <w:fldChar w:fldCharType="end"/>
          </w:r>
        </w:p>
      </w:sdtContent>
    </w:sdt>
    <w:p>
      <w:pPr>
        <w:pStyle w:val="Heading1"/>
        <w:rPr/>
      </w:pPr>
      <w:r>
        <w:rPr/>
      </w:r>
      <w:r>
        <w:br w:type="page"/>
      </w:r>
    </w:p>
    <w:p>
      <w:pPr>
        <w:pStyle w:val="Heading1"/>
        <w:rPr/>
      </w:pPr>
      <w:bookmarkStart w:id="2" w:name="__RefHeading___Toc3784_1986291683"/>
      <w:bookmarkEnd w:id="2"/>
      <w:r>
        <w:rPr/>
        <w:t>Introduction</w:t>
      </w:r>
    </w:p>
    <w:p>
      <w:pPr>
        <w:pStyle w:val="BodyText"/>
        <w:rPr/>
      </w:pPr>
      <w:r>
        <w:rPr>
          <w:i/>
          <w:iCs/>
        </w:rPr>
        <w:t>Barosaurus</w:t>
      </w:r>
      <w:r>
        <w:rPr/>
        <w:t xml:space="preserve"> is a diplodocid sauropod from the Late Jurassic of North America, found in the extensive Morrison Formation of the American West.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1).</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We will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the pose was decided on, summarize the controversy generated by the mount, survey the history of rearing sauropods, and consider the cultural impact of the AMNH exhibit.</w:t>
      </w:r>
    </w:p>
    <w:p>
      <w:pPr>
        <w:pStyle w:val="Heading2"/>
        <w:rPr/>
      </w:pPr>
      <w:bookmarkStart w:id="3" w:name="__RefHeading___Toc3323_2187837281"/>
      <w:bookmarkEnd w:id="3"/>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t xml:space="preserve">We follow McIntosh’s (2005) interpretation of the presacral vertebrae of </w:t>
      </w:r>
      <w:r>
        <w:rPr>
          <w:i/>
          <w:iCs/>
        </w:rPr>
        <w:t>Barosaurus</w:t>
      </w:r>
      <w:r>
        <w:rPr/>
        <w:t xml:space="preserve"> consisting of 16 cervicals and nine dorsals, rather than 15 and 10 as in </w:t>
      </w:r>
      <w:r>
        <w:rPr>
          <w:i/>
          <w:iCs/>
        </w:rPr>
        <w:t>Diplodocus</w:t>
      </w:r>
      <w:r>
        <w:rPr/>
        <w:t xml:space="preserve"> (although see discussion below).</w:t>
      </w:r>
    </w:p>
    <w:p>
      <w:pPr>
        <w:pStyle w:val="Heading2"/>
        <w:rPr/>
      </w:pPr>
      <w:bookmarkStart w:id="4" w:name="__RefHeading___Toc5349_68767826"/>
      <w:bookmarkEnd w:id="4"/>
      <w:r>
        <w:rPr/>
        <w:t>Institutional abbreviations</w:t>
      </w:r>
    </w:p>
    <w:p>
      <w:pPr>
        <w:pStyle w:val="BodyText"/>
        <w:numPr>
          <w:ilvl w:val="0"/>
          <w:numId w:val="5"/>
        </w:numPr>
        <w:rPr/>
      </w:pPr>
      <w:r>
        <w:rPr/>
        <w:t>AMNH — American Museum of Natural History, New York, New York, USA.</w:t>
      </w:r>
    </w:p>
    <w:p>
      <w:pPr>
        <w:pStyle w:val="BodyText"/>
        <w:numPr>
          <w:ilvl w:val="0"/>
          <w:numId w:val="5"/>
        </w:numPr>
        <w:rPr/>
      </w:pPr>
      <w:r>
        <w:rPr/>
        <w:t>CM — Carnegie Museum of Natural History, Pittsburgh, Pennsylvania, USA.</w:t>
      </w:r>
    </w:p>
    <w:p>
      <w:pPr>
        <w:pStyle w:val="BodyText"/>
        <w:numPr>
          <w:ilvl w:val="0"/>
          <w:numId w:val="5"/>
        </w:numPr>
        <w:rPr/>
      </w:pPr>
      <w:r>
        <w:rPr/>
        <w:t>HMNS — Houston Museum of Nature and Science, Houston, Texas, USA.</w:t>
      </w:r>
    </w:p>
    <w:p>
      <w:pPr>
        <w:pStyle w:val="BodyText"/>
        <w:numPr>
          <w:ilvl w:val="0"/>
          <w:numId w:val="5"/>
        </w:numPr>
        <w:rPr/>
      </w:pPr>
      <w:r>
        <w:rPr/>
        <w:t>MB — Museum für Naturkunde Berlin, Berlin, Germany; specimen numbers for fossil reptiles take the form MB.R.</w:t>
      </w:r>
      <w:r>
        <w:rPr>
          <w:i/>
          <w:iCs/>
        </w:rPr>
        <w:t>nnnn</w:t>
      </w:r>
      <w:r>
        <w:rPr/>
        <w:t>.</w:t>
      </w:r>
    </w:p>
    <w:p>
      <w:pPr>
        <w:pStyle w:val="BodyText"/>
        <w:numPr>
          <w:ilvl w:val="0"/>
          <w:numId w:val="5"/>
        </w:numPr>
        <w:rPr/>
      </w:pPr>
      <w:r>
        <w:rPr/>
        <w:t>ROM — Royal Ontario Museum, Toronto, Ontario, Canada.</w:t>
      </w:r>
    </w:p>
    <w:p>
      <w:pPr>
        <w:pStyle w:val="BodyText"/>
        <w:numPr>
          <w:ilvl w:val="0"/>
          <w:numId w:val="5"/>
        </w:numPr>
        <w:rPr/>
      </w:pPr>
      <w:r>
        <w:rPr/>
        <w:t>USNM – United States National Museum, Washington, D.C., USA.</w:t>
      </w:r>
    </w:p>
    <w:p>
      <w:pPr>
        <w:pStyle w:val="BodyText"/>
        <w:numPr>
          <w:ilvl w:val="0"/>
          <w:numId w:val="5"/>
        </w:numPr>
        <w:rPr/>
      </w:pPr>
      <w:r>
        <w:rPr/>
        <w:t>YPM — Yale Peabody Museum, New Haven, Connecticut, USA.</w:t>
      </w:r>
    </w:p>
    <w:p>
      <w:pPr>
        <w:pStyle w:val="Heading1"/>
        <w:numPr>
          <w:ilvl w:val="0"/>
          <w:numId w:val="3"/>
        </w:numPr>
        <w:rPr/>
      </w:pPr>
      <w:bookmarkStart w:id="5" w:name="__RefHeading___Toc4316_68767826"/>
      <w:bookmarkEnd w:id="5"/>
      <w:r>
        <w:rPr/>
        <w:t>Historical background</w:t>
      </w:r>
    </w:p>
    <w:p>
      <w:pPr>
        <w:pStyle w:val="Heading2"/>
        <w:rPr/>
      </w:pPr>
      <w:bookmarkStart w:id="6" w:name="__RefHeading___Toc12350_68767826"/>
      <w:bookmarkEnd w:id="6"/>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on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7" w:name="__RefHeading___Toc12352_68767826"/>
      <w:bookmarkEnd w:id="7"/>
      <w:r>
        <w:rPr/>
        <w:t xml:space="preserve">The AMNH specimen of </w:t>
      </w:r>
      <w:r>
        <w:rPr>
          <w:i/>
          <w:iCs/>
        </w:rPr>
        <w:t>Barosaurus</w:t>
      </w:r>
    </w:p>
    <w:p>
      <w:pPr>
        <w:pStyle w:val="Heading3"/>
        <w:numPr>
          <w:ilvl w:val="2"/>
          <w:numId w:val="6"/>
        </w:numPr>
        <w:rPr/>
      </w:pPr>
      <w:bookmarkStart w:id="8" w:name="__RefHeading___Toc25848_1820571732"/>
      <w:bookmarkEnd w:id="8"/>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correspondence collection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once excavated, would be mounted in the Carnegie Museum in 1913. It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and described in detail by Gilmore (1936).</w:t>
      </w:r>
    </w:p>
    <w:p>
      <w:pPr>
        <w:pStyle w:val="BodyText"/>
        <w:rPr/>
      </w:pPr>
      <w:r>
        <w:rPr/>
        <w:t>As Douglass and his colleagues excavated, it quickly became apparent that there were many more dinosaurs in the rock. Excavating these fossils now became Douglass’s full-time job (Figure 2). The Carnegie Quarry, as it was named, would become one of the most fruitful in palaeontological history. The Museum funded the excavations for 13 years, shipping 700,000 lb of material to Pittsburgh (Gilmore 1936:170) — 318 tonnes.</w:t>
      </w:r>
    </w:p>
    <w:p>
      <w:pPr>
        <w:pStyle w:val="Heading3"/>
        <w:numPr>
          <w:ilvl w:val="2"/>
          <w:numId w:val="6"/>
        </w:numPr>
        <w:rPr/>
      </w:pPr>
      <w:bookmarkStart w:id="9" w:name="__RefHeading___Toc25850_1820571732"/>
      <w:bookmarkEnd w:id="9"/>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USNM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In a brief telegram on 10 November, Douglass reported to Merrill the existence of two sauropods in the quarry (Douglass 1922a). The next day, Merrill wrote to Douglass requesting technical and logistical information. Douglass replied on 22 November (Douglass 1922b) with a long and helpful letter explaining how the two sauropod skeletons, both thought to be </w:t>
      </w:r>
      <w:r>
        <w:rPr>
          <w:i/>
          <w:iCs/>
        </w:rPr>
        <w:t>Diplodocus</w:t>
      </w:r>
      <w:r>
        <w:rPr/>
        <w:t xml:space="preserve">, were positioned — #355 and #340, the former lying partly above the latter (Figure 3) — and stating that blocks containing most of the neck of #340 had been taken out of the quarry. </w:t>
      </w:r>
    </w:p>
    <w:p>
      <w:pPr>
        <w:pStyle w:val="BodyText"/>
        <w:rPr/>
      </w:pPr>
      <w:r>
        <w:rPr/>
        <w:t>Douglass listed 10 skeletons that had been partly or completely taken out during the year. Among those listed was “No. 340 — </w:t>
      </w:r>
      <w:r>
        <w:rPr>
          <w:i/>
          <w:iCs/>
        </w:rPr>
        <w:t>Diplodocus</w:t>
      </w:r>
      <w:r>
        <w:rPr/>
        <w:t xml:space="preserve">. Apparently nearly complete skeleton but only neck taken out. The remainder still in the ledge” (Douglass 1922c). By the end of the 1922 season, “all but two skeletons — those of </w:t>
      </w:r>
      <w:r>
        <w:rPr>
          <w:i/>
          <w:iCs/>
        </w:rPr>
        <w:t>Diplodocus</w:t>
      </w:r>
      <w:r>
        <w:rPr/>
        <w:t xml:space="preserve"> — were removed” (Douglass 1923).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the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Douglass also handed over to Gilmore four large blocks and several smaller ones containing much of the neck of #340, which as noted above had been extracted from the quarry but not prepared out. It was Gilmore’s intention to extract #355 (the more complete of the two) for the USNM, then secure the parts of #340 necessary to complete the skeleton (Gilmore 1923b). Skeleton #355 was subsequently accessioned as USNM 10865 and mounted in Washington D.C. (Gilmore 1932), where it remains in the public gallery to this day.</w:t>
      </w:r>
    </w:p>
    <w:p>
      <w:pPr>
        <w:pStyle w:val="BodyText"/>
        <w:rPr/>
      </w:pPr>
      <w:r>
        <w:rPr/>
        <w:t>On 8 August 1923, Gilmore wrote briefly to Ravenel to say that work in the quarry was complete and the extracted blocks would be shipped to the USNM soon after 19 August (Gilmore 1923a), and sent a more comprehensive report in 30 August (Gilmore 1923b). In 1924, all excavation at the quarry ended.</w:t>
      </w:r>
    </w:p>
    <w:p>
      <w:pPr>
        <w:pStyle w:val="BodyText"/>
        <w:rPr/>
      </w:pPr>
      <w:r>
        <w:rPr/>
        <w:t xml:space="preserve">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w:t>
      </w:r>
      <w:r>
        <w:rPr>
          <w:i/>
          <w:iCs/>
        </w:rPr>
        <w:t>three</w:t>
      </w:r>
      <w:r>
        <w:rPr/>
        <w:t xml:space="preserv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of #340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numPr>
          <w:ilvl w:val="2"/>
          <w:numId w:val="6"/>
        </w:numPr>
        <w:rPr/>
      </w:pPr>
      <w:bookmarkStart w:id="10" w:name="__RefHeading___Toc25852_1820571732"/>
      <w:bookmarkEnd w:id="10"/>
      <w:r>
        <w:rPr/>
        <w:t>The skeleton reunited</w:t>
      </w:r>
    </w:p>
    <w:p>
      <w:pPr>
        <w:pStyle w:val="BodyText"/>
        <w:rPr/>
      </w:pPr>
      <w:r>
        <w:rPr/>
        <w:t xml:space="preserve">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(AMNH 5428, now USNM 12814),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They may still lurk unrecognised in the USNM collections. Matt Caranno (pers. comm., 2026) thinks it is possible they are in the oversized collection at the remote storage facility, but a detailed search would be laborious.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lower count is also in accord with the quarry map of Gilmore (1932:figure 1; Figure 3). This shows nine dorsals and ten cervicals belonging to the </w:t>
      </w:r>
      <w:r>
        <w:rPr>
          <w:i/>
          <w:iCs/>
        </w:rPr>
        <w:t>Barosaurus</w:t>
      </w:r>
      <w:r>
        <w:rPr/>
        <w:t xml:space="preserve"> skeleton (although the line-drawings of the cervicals do not at all resemble the actual vertebrae: compare Figure 4). If the cervical count of ten in the quarry map and Brown’s memo is correct, the most anterior of the cervicals (C7) seems to have been lost or destroyed some time in the next 30 years,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photographs from that time (Figure 5B) show the anteriormost cervical vertebra on display, and it is recognizable as the C8 that is the anteriormost currently preserved vertebra; and the signage that accompanied the exhibit (Figure 6) indicates that nine cervicals were present.</w:t>
      </w:r>
    </w:p>
    <w:p>
      <w:pPr>
        <w:pStyle w:val="Heading1"/>
        <w:numPr>
          <w:ilvl w:val="0"/>
          <w:numId w:val="3"/>
        </w:numPr>
        <w:rPr/>
      </w:pPr>
      <w:bookmarkStart w:id="11" w:name="__RefHeading___Toc5351_68767826"/>
      <w:bookmarkEnd w:id="11"/>
      <w:r>
        <w:rPr/>
        <w:t xml:space="preserve">The AMNH mounted </w:t>
      </w:r>
      <w:r>
        <w:rPr>
          <w:i/>
          <w:iCs/>
        </w:rPr>
        <w:t>Barosaurus</w:t>
      </w:r>
    </w:p>
    <w:p>
      <w:pPr>
        <w:pStyle w:val="Heading2"/>
        <w:rPr/>
      </w:pPr>
      <w:bookmarkStart w:id="12" w:name="__RefHeading___Toc5354_68767826"/>
      <w:bookmarkEnd w:id="12"/>
      <w:r>
        <w:rPr/>
        <w:t>The conception of the mount</w:t>
      </w:r>
    </w:p>
    <w:p>
      <w:pPr>
        <w:pStyle w:val="BodyText"/>
        <w:rPr/>
      </w:pPr>
      <w:r>
        <w:rPr/>
        <w:t xml:space="preserve">The three parts of AMNH 6341 had been reunited from their layovers in the USNM, Utah University and Carnegie Museum by 1933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rPr>
        <w:t>Apatosaurus</w:t>
      </w:r>
      <w:r>
        <w:rPr/>
        <w:t xml:space="preserve"> in the Hall of Early Dinosaurs on 17 April 1939 (Figure 5, Figure 6).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 with its impressive, barrel-vaulted ceiling.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long-neglected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palaeontologist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rPr>
        <w:t>Allosaurus</w:t>
      </w:r>
      <w:r>
        <w:rPr/>
        <w:t xml:space="preserve">. As the carnivore attacks, one </w:t>
      </w:r>
      <w:r>
        <w:rPr>
          <w:i/>
          <w:iCs/>
        </w:rPr>
        <w:t>Diplodocus</w:t>
      </w:r>
      <w:r>
        <w:rPr/>
        <w:t xml:space="preserve"> provides cover for its retreating allies by facing down the predator in a rearing threat display. This initial version of the painting was reproduced in Bird (1985:59), but Paul became dissatisfied with it and painted over parts of the original in 1983 and 1985 to produce the better known final version (Figure 7)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palaeontologist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had told Gaffney that the museum had one of the best preserved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3" w:name="__RefHeading___Toc1099_1709072779"/>
      <w:bookmarkEnd w:id="13"/>
      <w:r>
        <w:rPr/>
        <w:t>The purpose of the mount</w:t>
      </w:r>
    </w:p>
    <w:p>
      <w:pPr>
        <w:pStyle w:val="BodyText"/>
        <w:rPr/>
      </w:pPr>
      <w:r>
        <w:rPr/>
        <w:t>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extinct animals, and what can’t we know based on the limited kinds of data preserved in their fossils? The exhibition label for the mount clearly stated this conundrum in a section entitled “Did this really happen?” (Figure 8):</w:t>
      </w:r>
    </w:p>
    <w:p>
      <w:pPr>
        <w:pStyle w:val="BlockQuotationuser"/>
        <w:rPr/>
      </w:pPr>
      <w:r>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t xml:space="preserve">) or on their two hind legs (like </w:t>
      </w:r>
      <w:r>
        <w:rPr>
          <w:i/>
          <w:iCs/>
        </w:rPr>
        <w:t>Allosaurus</w:t>
      </w:r>
      <w:r>
        <w:rPr/>
        <w:t xml:space="preserve">). They do not tell us, however, if </w:t>
      </w:r>
      <w:r>
        <w:rPr>
          <w:i/>
          <w:iCs/>
        </w:rPr>
        <w:t>Barosaurus</w:t>
      </w:r>
      <w:r>
        <w:rPr/>
        <w:t xml:space="preserve"> could rear up or if </w:t>
      </w:r>
      <w:r>
        <w:rPr>
          <w:i/>
          <w:iCs/>
        </w:rPr>
        <w:t>Allosaurus</w:t>
      </w:r>
      <w:r>
        <w:rPr/>
        <w:t xml:space="preserve"> hunted alone or in groups.</w:t>
      </w:r>
    </w:p>
    <w:p>
      <w:pPr>
        <w:pStyle w:val="Heading2"/>
        <w:rPr/>
      </w:pPr>
      <w:bookmarkStart w:id="14" w:name="__RefHeading___Toc18297_68767826"/>
      <w:bookmarkEnd w:id="14"/>
      <w:r>
        <w:rPr/>
        <w:t>The creation of the mount</w:t>
      </w:r>
    </w:p>
    <w:p>
      <w:pPr>
        <w:pStyle w:val="BodyText"/>
        <w:rPr/>
      </w:pPr>
      <w:r>
        <w:rPr/>
        <w:t>At the time of the casting-and-mounting project, the process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 and the relatively few documents that were recovered from AMNH archives.</w:t>
      </w:r>
    </w:p>
    <w:p>
      <w:pPr>
        <w:pStyle w:val="BodyText"/>
        <w:rPr/>
      </w:pPr>
      <w:r>
        <w:rPr/>
        <w:t>Early in the process, around March 1990, a prototype model at about 1/16 full size was commissioned at a cost of $3,980 (Galiano 1990), to allow the scene to be created and manipulated at a workable scale (Figure 9). This was created by a model-maker at Maxilla and Mandible,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replicas. (The real presacral vertebrae are on display under the glass walkway behind the mounted </w:t>
      </w:r>
      <w:r>
        <w:rPr>
          <w:i/>
          <w:iCs/>
        </w:rPr>
        <w:t>Apatosaurus</w:t>
      </w:r>
      <w:r>
        <w:rPr/>
        <w:t xml:space="preserve"> in the Hall of Saurischian Dinosaurs, and have been since the Hall opened in June 1995: see the photo in Dingus 1996:71.)</w:t>
      </w:r>
    </w:p>
    <w:p>
      <w:pPr>
        <w:pStyle w:val="BodyText"/>
        <w:rPr/>
      </w:pPr>
      <w:r>
        <w:rPr/>
        <w:t xml:space="preserve">The bones of AMNH 6341, the </w:t>
      </w:r>
      <w:r>
        <w:rPr>
          <w:i/>
          <w:iCs/>
        </w:rPr>
        <w:t>Barosaurus</w:t>
      </w:r>
      <w:r>
        <w:rPr/>
        <w:t xml:space="preserve"> specimen that was to provide most of the mount, were in poor condition by 1990. The presacral vertebrae, scapulocoracoid and humerus had been in collections for the best part of 40 years, since Colbert’s early-1950s renovation; the rest of the bones had been there for 60 years, ever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 recently established organization specializing in mounting prehistoric animals. Founder Peter May had started working with fossil mounts at the Royal Ontario Museum, beginning in 1977, where he learned the techniques from paleontology technician Gordon Gyrmov and former WW2 Luftwaffe rocket-plane test pilot Rudy Zimmermann. May rose to become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May’s first meeting with Lowell Dingus, Gene Gaffney, Jack MacIntosh and Phil Currie was on 30 January 1990 at the AMNH.</w:t>
      </w:r>
    </w:p>
    <w:p>
      <w:pPr>
        <w:pStyle w:val="BodyText"/>
        <w:rPr/>
      </w:pPr>
      <w:r>
        <w:rPr/>
        <w:t xml:space="preserve">On 28 March 1990, an agreement was made between Lowell Dingus, acting for the AMNH, and Peter May and Andrew Leitch, acting for RCI, to provide the fully mounted and painted cast skeletons of a rearing adult </w:t>
      </w:r>
      <w:r>
        <w:rPr>
          <w:i/>
          <w:iCs/>
        </w:rPr>
        <w:t>Barosaurus</w:t>
      </w:r>
      <w:r>
        <w:rPr/>
        <w:t xml:space="preserve">, a juvenile, and an </w:t>
      </w:r>
      <w:r>
        <w:rPr>
          <w:i/>
          <w:iCs/>
        </w:rPr>
        <w:t>Allosaurus</w:t>
      </w:r>
      <w:r>
        <w:rPr/>
        <w:t xml:space="preserve"> (Dingus 1990). The total agreed cost was $184,675 (equivalent to $472,000 in 2026 according to usinflationcalculator.com). This amount was made up of $72,721 for the adult </w:t>
      </w:r>
      <w:r>
        <w:rPr>
          <w:i/>
          <w:iCs/>
        </w:rPr>
        <w:t>Barosaurus</w:t>
      </w:r>
      <w:r>
        <w:rPr/>
        <w:t xml:space="preserve">, $75,136 for the juvenile, $16,660 for the </w:t>
      </w:r>
      <w:r>
        <w:rPr>
          <w:i/>
          <w:iCs/>
        </w:rPr>
        <w:t>Allosaurus</w:t>
      </w:r>
      <w:r>
        <w:rPr/>
        <w:t xml:space="preserve">, $15,411 for a duplicate model of the juvenile </w:t>
      </w:r>
      <w:r>
        <w:rPr>
          <w:i/>
          <w:iCs/>
        </w:rPr>
        <w:t>Barosaurus</w:t>
      </w:r>
      <w:r>
        <w:rPr/>
        <w:t xml:space="preserve"> for Dinosaur National Monument, and $4,748 for travel and transport. (Surprisingly, the small juvenile cost more than the adult!). The agreement was signed by Dingus on 28 March, by May and Leitch on 30 March, and by AMNH director William J, Moynihan on 3 April.</w:t>
      </w:r>
    </w:p>
    <w:p>
      <w:pPr>
        <w:pStyle w:val="BodyText"/>
        <w:rPr/>
      </w:pPr>
      <w:r>
        <w:rPr/>
        <w:t xml:space="preserve">In the fall 1990, the RCI crew took the repaired and cleaned </w:t>
      </w:r>
      <w:r>
        <w:rPr>
          <w:i/>
          <w:iCs/>
        </w:rPr>
        <w:t>Barosaurus</w:t>
      </w:r>
      <w:r>
        <w:rPr/>
        <w:t xml:space="preserve"> fossils in a semi truck from New York to Toronto, where they remained for the best part of a year. There, the bones were duplicated. First, they were coated with latex, which was then cured to form rubber molds (Figure 10). The bones were then cast, first with a layer of gel coat inside the molds, and then in various materials. As noted by 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vertebrae. (These fragile projections are rarely preserved intact.) The missing parts of the skeleton were mostly replaced by elements cast from the Carnegie </w:t>
      </w:r>
      <w:r>
        <w:rPr>
          <w:i/>
          <w:iCs/>
        </w:rPr>
        <w:t>Diplodocus</w:t>
      </w:r>
      <w:r>
        <w:rPr/>
        <w:t>, though some were fabricated in Toronto. Records do not show exactly which 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11).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mount (Figure 12). Also present were photographers including National Geographic’s Louie Psihoyos, a television crew, at least one observer from another museum, and a crowd of local workers on their lunch 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Blakelock Moving were contracted to ship the completed exhibit in sections for mounting to New York on 7 November (Clark 1991; Figure 13).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14).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C11 and C13 in Figures 1 and 14B and in other contemporary photos such as those of Dingus (1996:26) and Lindsay (1992:18–20). It was soon corrected, however, in a near-disastrous but ultimately successful late-night operation (Dingus 1996:28), and the resulting line of the neck is smooth and elegant.</w:t>
      </w:r>
    </w:p>
    <w:p>
      <w:pPr>
        <w:pStyle w:val="BodyText"/>
        <w:rPr/>
      </w:pPr>
      <w:r>
        <w:rPr/>
        <w:t>In a non-technical children’s book simply titled, “</w:t>
      </w:r>
      <w:r>
        <w:rPr>
          <w:i/>
          <w:iCs/>
        </w:rPr>
        <w:t>Barosaurus</w:t>
      </w:r>
      <w:r>
        <w:rPr/>
        <w:t>”, 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Heading2"/>
        <w:rPr/>
      </w:pPr>
      <w:bookmarkStart w:id="15" w:name="__RefHeading___Toc5632_2187837281"/>
      <w:bookmarkEnd w:id="15"/>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user"/>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6" w:name="__RefHeading___Toc5356_68767826"/>
      <w:bookmarkEnd w:id="16"/>
      <w:r>
        <w:rPr/>
        <w:t>The composition of the mount</w:t>
      </w:r>
    </w:p>
    <w:p>
      <w:pPr>
        <w:pStyle w:val="Heading3"/>
        <w:numPr>
          <w:ilvl w:val="2"/>
          <w:numId w:val="6"/>
        </w:numPr>
        <w:rPr/>
      </w:pPr>
      <w:bookmarkStart w:id="17" w:name="__RefHeading___Toc16585_68767826"/>
      <w:bookmarkEnd w:id="17"/>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seems to be in error regarding numerous elements being modeled from scratch. A complete list of the elements of AMNH 6341 itself can be assembled from the published works and notes of McIntosh, old signage, and letters between Gilmore and the USNM (see below). Peter May recalls that with some exceptions discussed below, the missing bones were filled in with casts taken from molds made from the Utah Field House’s concrete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numPr>
          <w:ilvl w:val="2"/>
          <w:numId w:val="6"/>
        </w:numPr>
        <w:rPr/>
      </w:pPr>
      <w:bookmarkStart w:id="18" w:name="__RefHeading___Toc4995_537823704"/>
      <w:bookmarkEnd w:id="18"/>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with observations of materials on exhibition in the past and present, and in light of historical correspondence, it is possible to arrive at a complete list of material as follows:</w:t>
      </w:r>
    </w:p>
    <w:p>
      <w:pPr>
        <w:pStyle w:val="BodyText"/>
        <w:numPr>
          <w:ilvl w:val="0"/>
          <w:numId w:val="9"/>
        </w:numPr>
        <w:rPr/>
      </w:pPr>
      <w:r>
        <w:rPr/>
        <w:t>the posterior part of the neck (cervicals 8–16)</w:t>
      </w:r>
    </w:p>
    <w:p>
      <w:pPr>
        <w:pStyle w:val="BodyText"/>
        <w:numPr>
          <w:ilvl w:val="0"/>
          <w:numId w:val="9"/>
        </w:numPr>
        <w:rPr/>
      </w:pPr>
      <w:r>
        <w:rPr/>
        <w:t>all nine dorsal vertebrae (dorsals 1–9)</w:t>
      </w:r>
    </w:p>
    <w:p>
      <w:pPr>
        <w:pStyle w:val="BodyText"/>
        <w:numPr>
          <w:ilvl w:val="0"/>
          <w:numId w:val="9"/>
        </w:numPr>
        <w:rPr/>
      </w:pPr>
      <w:r>
        <w:rPr/>
        <w:t>the complete sacrum (sacral vertebrae 1–5)</w:t>
      </w:r>
    </w:p>
    <w:p>
      <w:pPr>
        <w:pStyle w:val="BodyText"/>
        <w:numPr>
          <w:ilvl w:val="0"/>
          <w:numId w:val="9"/>
        </w:numPr>
        <w:rPr/>
      </w:pPr>
      <w:r>
        <w:rPr/>
        <w:t>the anterior part of the tail (caudals 1–29)</w:t>
      </w:r>
    </w:p>
    <w:p>
      <w:pPr>
        <w:pStyle w:val="BodyText"/>
        <w:numPr>
          <w:ilvl w:val="0"/>
          <w:numId w:val="9"/>
        </w:numPr>
        <w:rPr/>
      </w:pPr>
      <w:bookmarkStart w:id="19" w:name="__DdeLink__31298_802501007"/>
      <w:r>
        <w:rPr/>
        <w:t>six partial ribs, of which one is the first or possibly second on the left side, and another is probably its counterpart</w:t>
      </w:r>
      <w:bookmarkEnd w:id="19"/>
    </w:p>
    <w:p>
      <w:pPr>
        <w:pStyle w:val="BodyText"/>
        <w:numPr>
          <w:ilvl w:val="0"/>
          <w:numId w:val="9"/>
        </w:numPr>
        <w:rPr/>
      </w:pPr>
      <w:r>
        <w:rPr/>
        <w:t>a single chevron, from further back than Ca13 and likely in the region Ca22–Ca28.</w:t>
      </w:r>
    </w:p>
    <w:p>
      <w:pPr>
        <w:pStyle w:val="BodyText"/>
        <w:numPr>
          <w:ilvl w:val="0"/>
          <w:numId w:val="9"/>
        </w:numPr>
        <w:rPr/>
      </w:pPr>
      <w:r>
        <w:rPr/>
        <w:t>right (not left as in McIntosh 2005:43) scapulocoracoid, fully fused together; distal end of left scapula; left coracoid</w:t>
      </w:r>
    </w:p>
    <w:p>
      <w:pPr>
        <w:pStyle w:val="BodyText"/>
        <w:numPr>
          <w:ilvl w:val="0"/>
          <w:numId w:val="9"/>
        </w:numPr>
        <w:rPr/>
      </w:pPr>
      <w:r>
        <w:rPr/>
        <w:t>right (not left as in McIntosh 2005:43) humerus</w:t>
      </w:r>
    </w:p>
    <w:p>
      <w:pPr>
        <w:pStyle w:val="BodyText"/>
        <w:numPr>
          <w:ilvl w:val="0"/>
          <w:numId w:val="9"/>
        </w:numPr>
        <w:rPr/>
      </w:pPr>
      <w:r>
        <w:rPr/>
        <w:t>right ilium complete except small part of the upper border; acetabular portion and “distal ends” of left ilium</w:t>
      </w:r>
    </w:p>
    <w:p>
      <w:pPr>
        <w:pStyle w:val="BodyText"/>
        <w:numPr>
          <w:ilvl w:val="0"/>
          <w:numId w:val="9"/>
        </w:numPr>
        <w:rPr/>
      </w:pPr>
      <w:r>
        <w:rPr/>
        <w:t>both pubes and ischia complete except parts of the proximal ends of both pubes and the right ischium</w:t>
      </w:r>
    </w:p>
    <w:p>
      <w:pPr>
        <w:pStyle w:val="BodyText"/>
        <w:numPr>
          <w:ilvl w:val="0"/>
          <w:numId w:val="9"/>
        </w:numPr>
        <w:rPr/>
      </w:pPr>
      <w:r>
        <w:rPr/>
        <w:t>complete right hindlimb (femur, tibia, fibula, astragalus)</w:t>
      </w:r>
    </w:p>
    <w:p>
      <w:pPr>
        <w:pStyle w:val="BodyText"/>
        <w:numPr>
          <w:ilvl w:val="0"/>
          <w:numId w:val="9"/>
        </w:numPr>
        <w:rPr/>
      </w:pPr>
      <w:r>
        <w:rPr/>
        <w:t>elements of the right pes: metatarsals I, II and V, phalanges I-I and V-I, two 2nd phalanges, one ungual</w:t>
      </w:r>
    </w:p>
    <w:p>
      <w:pPr>
        <w:pStyle w:val="BodyText"/>
        <w:numPr>
          <w:ilvl w:val="0"/>
          <w:numId w:val="9"/>
        </w:numPr>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15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6).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assignments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5B)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numPr>
          <w:ilvl w:val="2"/>
          <w:numId w:val="6"/>
        </w:numPr>
        <w:rPr/>
      </w:pPr>
      <w:bookmarkStart w:id="20" w:name="__RefHeading___Toc25854_1820571732"/>
      <w:bookmarkEnd w:id="20"/>
      <w:r>
        <w:rPr/>
        <w:t>Non-</w:t>
      </w:r>
      <w:r>
        <w:rPr>
          <w:i/>
          <w:iCs/>
        </w:rPr>
        <w:t>Barosaurus</w:t>
      </w:r>
      <w:r>
        <w:rPr/>
        <w:t xml:space="preserve"> material in the mount</w:t>
      </w:r>
    </w:p>
    <w:p>
      <w:pPr>
        <w:pStyle w:val="BodyText"/>
        <w:rPr>
          <w:lang w:val="en-US"/>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These new molds were then used to create several additional </w:t>
      </w:r>
      <w:r>
        <w:rPr>
          <w:i/>
          <w:iCs/>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lang w:val="en-US"/>
        </w:rPr>
      </w:pPr>
      <w:r>
        <w:rPr>
          <w:lang w:val="en-US"/>
        </w:rPr>
        <w:t>With this in mind, we will now consider the source of specific elements of the cast.</w:t>
      </w:r>
    </w:p>
    <w:p>
      <w:pPr>
        <w:pStyle w:val="Heading3"/>
        <w:numPr>
          <w:ilvl w:val="2"/>
          <w:numId w:val="7"/>
        </w:numPr>
        <w:rPr/>
      </w:pPr>
      <w:bookmarkStart w:id="21" w:name="__RefHeading___Toc16587_68767826"/>
      <w:bookmarkEnd w:id="21"/>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16A–B).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16C).</w:t>
      </w:r>
    </w:p>
    <w:p>
      <w:pPr>
        <w:pStyle w:val="Heading3"/>
        <w:numPr>
          <w:ilvl w:val="2"/>
          <w:numId w:val="8"/>
        </w:numPr>
        <w:rPr/>
      </w:pPr>
      <w:bookmarkStart w:id="22" w:name="__RefHeading___Toc16589_68767826"/>
      <w:bookmarkEnd w:id="22"/>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an additional cervical vertebra (C7), at present it preserves the last nine cervical vertebrae. These are therefore considered to be C8–C16.</w:t>
      </w:r>
    </w:p>
    <w:p>
      <w:pPr>
        <w:pStyle w:val="BodyText"/>
        <w:rPr/>
      </w:pPr>
      <w:r>
        <w:rPr/>
        <w:t xml:space="preserve">The anterior part of the neck of the mount was completed using seven casts of anterior vertebrae from the Carnegie </w:t>
      </w:r>
      <w:r>
        <w:rPr>
          <w:i/>
          <w:iCs/>
        </w:rPr>
        <w:t>Diplodocus</w:t>
      </w:r>
      <w:r>
        <w:rPr/>
        <w:t xml:space="preserve">, but the anteriormost seven </w:t>
      </w:r>
      <w:r>
        <w:rPr>
          <w:i/>
          <w:iCs/>
        </w:rPr>
        <w:t>Diplodocus</w:t>
      </w:r>
      <w:r>
        <w:rPr/>
        <w:t xml:space="preserve">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 </w:t>
      </w:r>
      <w:r>
        <w:rPr>
          <w:i/>
          <w:iCs/>
        </w:rPr>
        <w:t>Diplodocus</w:t>
      </w:r>
      <w:r>
        <w:rPr/>
        <w:t xml:space="preserve"> cervicals was used to obtain a smoother transition. By comparison of </w:t>
      </w:r>
      <w:r>
        <w:rPr>
          <w:i/>
          <w:iCs/>
        </w:rPr>
        <w:t>Barosaurus</w:t>
      </w:r>
      <w:r>
        <w:rPr/>
        <w:t xml:space="preserve">-mounting photos (Figure 17) with Hatcher (1901:plate III) and photographs of various Carnegie </w:t>
      </w:r>
      <w:r>
        <w:rPr>
          <w:i/>
          <w:iCs/>
        </w:rPr>
        <w:t>Diplodocus</w:t>
      </w:r>
      <w:r>
        <w:rPr/>
        <w:t xml:space="preserve"> mounts, the anterior cervicals cast from </w:t>
      </w:r>
      <w:r>
        <w:rPr>
          <w:i/>
          <w:iCs/>
        </w:rPr>
        <w:t>Diplodocus</w:t>
      </w:r>
      <w:r>
        <w:rPr/>
        <w:t xml:space="preserve"> can be seen to be C3–6 and C8 (512 mm) — and presumably the atlas and axis, though these are not in place in Figures 13 and 17.</w:t>
      </w:r>
    </w:p>
    <w:p>
      <w:pPr>
        <w:pStyle w:val="BodyText"/>
        <w:rPr/>
      </w:pPr>
      <w:r>
        <w:rPr/>
        <w:t xml:space="preserve">To make matters more complicated, photographs show that the completed mount actually has 17 cervicals rather than 16 (e.g. Figure 1; Lindsay 1992:20–21; Taylor and Wedel 2016:figure 1). McIntosh (2005:45) implicitly left open the possibility that </w:t>
      </w:r>
      <w:r>
        <w:rPr>
          <w:i/>
          <w:iCs/>
        </w:rPr>
        <w:t>Barosaurus</w:t>
      </w:r>
      <w:r>
        <w:rPr/>
        <w:t xml:space="preserve"> had 17 cervicals, due to his uncertainty about the correct interpretation of the 9th</w:t>
      </w:r>
      <w:r>
        <w:rPr>
          <w:vertAlign w:val="superscript"/>
        </w:rPr>
        <w:t xml:space="preserve"> </w:t>
      </w:r>
      <w:r>
        <w:rPr/>
        <w:t>presacral, which he tentatively designated as the first dorsal vertebra but considered possibly the last cervical. However, the existence of a 17th cervical on this basis is predicated on a reduced dorsal count of eight, and the mounted skeleton has nine dorsals with free ribs. The additional cervical therefore appears to be an insert not warranted by the evidence available at the time of mounting.</w:t>
      </w:r>
    </w:p>
    <w:p>
      <w:pPr>
        <w:pStyle w:val="BodyText"/>
        <w:rPr/>
      </w:pPr>
      <w:r>
        <w:rPr/>
        <w:t xml:space="preserve">However, photos of the mounting process in the AMNH (e.g. Figure 13) show that the neck section used in the mount had only 14 cervical vertebrae — C3–16, not counting the atlas and axis which were not in place at that time but which, when added, would bring the total to 16. The assembly process was complex. The neck section containing the head and C1–16 was welded to the torso leaving a stretch of bare armature. The two halves of the seventeenth vertebra (visible on the right side of Figure 13) were then glued together around the armature, bridging the gap between the bones of the neck section and the torso. The special 17th vertebra can be seen in Figure 11B, distinctly darker than the cervicals above it and the dorsals below. Since there are no duplicate vertebrae in the neck, the special C17 must have come from elsewhere. Careful comparisons between photographs of the 17th cervical and 3D models of the Carnegie </w:t>
      </w:r>
      <w:r>
        <w:rPr>
          <w:i/>
          <w:iCs/>
        </w:rPr>
        <w:t>Diplodocus</w:t>
      </w:r>
      <w:r>
        <w:rPr>
          <w:i w:val="false"/>
          <w:iCs w:val="false"/>
        </w:rPr>
        <w:t xml:space="preserve"> provided by Heinrich Mallison (for the Berlin cast) and Paul Barrett (for the London cast) show that the former is not a replica of any of the posterior cervicals of the latter. Since the Carnegie </w:t>
      </w:r>
      <w:r>
        <w:rPr>
          <w:i/>
          <w:iCs/>
        </w:rPr>
        <w:t>Diplodocus</w:t>
      </w:r>
      <w:r>
        <w:rPr>
          <w:i w:val="false"/>
          <w:iCs w:val="false"/>
        </w:rPr>
        <w:t xml:space="preserve"> was the only source of cast elements (other than the metacarpals discussed below), the 17th cervical of the mounted skeleton must be a sculpture, crafted as an intermediate between C16 and D1.</w:t>
      </w:r>
    </w:p>
    <w:p>
      <w:pPr>
        <w:pStyle w:val="BodyText"/>
        <w:rPr/>
      </w:pPr>
      <w:r>
        <w:rPr/>
        <w:t xml:space="preserve">(Note: it is quite possible that </w:t>
      </w:r>
      <w:r>
        <w:rPr>
          <w:i/>
          <w:iCs/>
        </w:rPr>
        <w:t>Barosaurus</w:t>
      </w:r>
      <w:r>
        <w:rPr/>
        <w:t xml:space="preserve"> did indeed have 17 cervicals — or even more, as in the 18 of </w:t>
      </w:r>
      <w:r>
        <w:rPr>
          <w:i/>
          <w:iCs/>
        </w:rPr>
        <w:t>Mamenchisaurus youngi</w:t>
      </w:r>
      <w:r>
        <w:rPr/>
        <w:t xml:space="preserve"> (Ouyang and Ye 2002:24–30) or the 19 of </w:t>
      </w:r>
      <w:r>
        <w:rPr>
          <w:i/>
          <w:iCs/>
        </w:rPr>
        <w:t>Mamenchisaurus hochuanensis</w:t>
      </w:r>
      <w:r>
        <w:rPr/>
        <w:t xml:space="preserve"> (Young and Zhao 1972). Currently available </w:t>
      </w:r>
      <w:r>
        <w:rPr>
          <w:i/>
          <w:iCs/>
        </w:rPr>
        <w:t>Barosaurus</w:t>
      </w:r>
      <w:r>
        <w:rPr/>
        <w:t xml:space="preserve"> fossils are not complete enough to determine the point.)</w:t>
      </w:r>
    </w:p>
    <w:p>
      <w:pPr>
        <w:pStyle w:val="BodyText"/>
        <w:rPr/>
      </w:pPr>
      <w:r>
        <w:rPr/>
        <w:t xml:space="preserve">CM 84, the specimen that forms most of the Carnegie mount, includes C2–8 (and the subsequent cervicals), but not the atlas (C1). As discussed by Taylor et al. (2025:71–72), it is not clear which specimen supplied the atlas in the Carnegie mount, and it seems most likely that this element was a sculpture not based on any specific fossil specimen — and so the same would be true in the mounted </w:t>
      </w:r>
      <w:r>
        <w:rPr>
          <w:i/>
          <w:iCs/>
        </w:rPr>
        <w:t>Barosaurus</w:t>
      </w:r>
      <w:r>
        <w:rPr/>
        <w:t>.</w:t>
      </w:r>
    </w:p>
    <w:p>
      <w:pPr>
        <w:pStyle w:val="Heading3"/>
        <w:numPr>
          <w:ilvl w:val="2"/>
          <w:numId w:val="2"/>
        </w:numPr>
        <w:rPr/>
      </w:pPr>
      <w:bookmarkStart w:id="23" w:name="__RefHeading___Toc2466_2187837281"/>
      <w:bookmarkEnd w:id="23"/>
      <w:r>
        <w:rPr/>
        <w:t>Torso, sacrum and tail</w:t>
      </w:r>
    </w:p>
    <w:p>
      <w:pPr>
        <w:pStyle w:val="BodyText"/>
        <w:rPr/>
      </w:pPr>
      <w:r>
        <w:rPr/>
        <w:t>The complete dorsal sequence (of nine vertebrae) and complete sacrum (of five vertebrae) are present in AMNH 6341. However, McIntosh’s (2005:43) account says that only “six ribs and fragments” were included from a total of 18 (two per dorsal vertebra), and as noted above the identification of these ribs is uncertain.</w:t>
      </w:r>
    </w:p>
    <w:p>
      <w:pPr>
        <w:pStyle w:val="BodyText"/>
        <w:rPr/>
      </w:pPr>
      <w:r>
        <w:rPr/>
        <w:t xml:space="preserve">AMNH 6341 includes the first 29 caudals (or perhaps caudals 1–20 and 22–30, see above) but only one chevron. The missing caudals and chevrons were most likely provided once more by casts of the Carnegie </w:t>
      </w:r>
      <w:r>
        <w:rPr>
          <w:i/>
          <w:iCs/>
        </w:rPr>
        <w:t>Diplodocus</w:t>
      </w:r>
      <w:r>
        <w:rPr/>
        <w:t>.</w:t>
      </w:r>
    </w:p>
    <w:p>
      <w:pPr>
        <w:pStyle w:val="Heading3"/>
        <w:numPr>
          <w:ilvl w:val="2"/>
          <w:numId w:val="2"/>
        </w:numPr>
        <w:rPr/>
      </w:pPr>
      <w:bookmarkStart w:id="24" w:name="__RefHeading___Toc2470_2187837281"/>
      <w:bookmarkEnd w:id="24"/>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instead of one,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molds,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numPr>
          <w:ilvl w:val="2"/>
          <w:numId w:val="6"/>
        </w:numPr>
        <w:rPr/>
      </w:pPr>
      <w:bookmarkStart w:id="25" w:name="__RefHeading___Toc25856_1820571732"/>
      <w:bookmarkEnd w:id="25"/>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the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of both the original mounted </w:t>
      </w:r>
      <w:r>
        <w:rPr>
          <w:i/>
          <w:iCs/>
        </w:rPr>
        <w:t>Diplodocus</w:t>
      </w:r>
      <w:r>
        <w:rPr/>
        <w:t xml:space="preserve"> and the casts). And the </w:t>
      </w:r>
      <w:r>
        <w:rPr>
          <w:i/>
          <w:iCs/>
        </w:rPr>
        <w:t>Barosaurus</w:t>
      </w:r>
      <w:r>
        <w:rPr/>
        <w:t xml:space="preserve"> cast probably used second-generation casts of these sculptures.</w:t>
      </w:r>
    </w:p>
    <w:p>
      <w:pPr>
        <w:pStyle w:val="Heading1"/>
        <w:numPr>
          <w:ilvl w:val="0"/>
          <w:numId w:val="4"/>
        </w:numPr>
        <w:rPr/>
      </w:pPr>
      <w:bookmarkStart w:id="26" w:name="__RefHeading___Toc3401_68767826"/>
      <w:bookmarkEnd w:id="26"/>
      <w:r>
        <w:rPr/>
        <w:t>Discussion</w:t>
      </w:r>
    </w:p>
    <w:p>
      <w:pPr>
        <w:pStyle w:val="Heading2"/>
        <w:rPr/>
      </w:pPr>
      <w:bookmarkStart w:id="27" w:name="__RefHeading___Toc21934_68767826"/>
      <w:bookmarkEnd w:id="27"/>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Berlin brachiosaur which has “a skull located more than 13 m above the level of the feet” (Remes et al. 2011:309). (The Berlin brachiosaur was also mounted by RCI — or rather, remounted in 2005–2007, following the original mounting in 1938 under the direction of Werner Janensch.)</w:t>
      </w:r>
    </w:p>
    <w:p>
      <w:pPr>
        <w:pStyle w:val="BodyText"/>
        <w:rPr/>
      </w:pPr>
      <w:r>
        <w:rPr/>
        <w:t xml:space="preserve">The mass of </w:t>
      </w:r>
      <w:r>
        <w:rPr>
          <w:i/>
          <w:iCs/>
          <w:u w:val="none"/>
        </w:rPr>
        <w:t>Barosaurus</w:t>
      </w:r>
      <w:r>
        <w:rPr/>
        <w:t xml:space="preserve"> AMNH 6341 is generally considered to be similar to that of </w:t>
      </w:r>
      <w:r>
        <w:rPr>
          <w:i/>
          <w:iCs/>
        </w:rPr>
        <w:t>Diplodocus carnegii</w:t>
      </w:r>
      <w:r>
        <w:rPr/>
        <w:t xml:space="preserve">, as its torso is about the same size and the longer neck is balanced by </w:t>
      </w:r>
      <w:r>
        <w:rPr>
          <w:i/>
          <w:iCs/>
        </w:rPr>
        <w:t>Diplodocus</w:t>
      </w:r>
      <w:r>
        <w:rPr/>
        <w:t xml:space="preserve">’s longer tail. Seebacher (2001) gave a mass estimate of 20,040 kg based on graphic double integration (compared with 19,655 kg for </w:t>
      </w:r>
      <w:r>
        <w:rPr>
          <w:i/>
          <w:iCs/>
        </w:rPr>
        <w:t>Diplodocus carnegii</w:t>
      </w:r>
      <w:r>
        <w:rPr/>
        <w:t xml:space="preserve">). Henderson (2013) estimated 15,800 kg by slicing a digital model (compared with 11,900 kg for </w:t>
      </w:r>
      <w:r>
        <w:rPr>
          <w:i/>
          <w:iCs/>
        </w:rPr>
        <w:t>Diplodocus carnegii</w:t>
      </w:r>
      <w:r>
        <w:rPr/>
        <w:t xml:space="preserve">). Benson et al. (2014), in supplementary information S1, gave an estimate of 13,164 kg for AMNH 6341 based on limb-bone measurements (compared with 13,801 kg for </w:t>
      </w:r>
      <w:r>
        <w:rPr>
          <w:i/>
          <w:iCs/>
          <w:u w:val="none"/>
        </w:rPr>
        <w:t>Diplodocus carnegii</w:t>
      </w:r>
      <w:r>
        <w:rPr/>
        <w:t>).</w:t>
      </w:r>
    </w:p>
    <w:p>
      <w:pPr>
        <w:pStyle w:val="Heading2"/>
        <w:rPr/>
      </w:pPr>
      <w:bookmarkStart w:id="28" w:name="__RefHeading___Toc7947_4188845286"/>
      <w:bookmarkEnd w:id="28"/>
      <w:r>
        <w:rPr/>
        <w:t>Rearing pose</w:t>
      </w:r>
    </w:p>
    <w:p>
      <w:pPr>
        <w:pStyle w:val="BodyText"/>
        <w:rPr/>
      </w:pPr>
      <w:r>
        <w:rPr/>
        <w:t xml:space="preserve">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18),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(Sander et al. 2008).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mount’s critics were encouraging the public to think about the controversy for themselves.</w:t>
      </w:r>
    </w:p>
    <w:p>
      <w:pPr>
        <w:pStyle w:val="Heading2"/>
        <w:rPr/>
      </w:pPr>
      <w:bookmarkStart w:id="29" w:name="__RefHeading___Toc3786_1986291683"/>
      <w:bookmarkEnd w:id="29"/>
      <w:r>
        <w:rPr/>
        <w:t>A short history of rearing sauropods</w:t>
      </w:r>
    </w:p>
    <w:p>
      <w:pPr>
        <w:pStyle w:val="BodyText"/>
        <w:rPr/>
      </w:pPr>
      <w:r>
        <w:rPr/>
        <w:t xml:space="preserve">The notion of rearing sauropods has a long heritage.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on land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t xml:space="preserve">” (= </w:t>
      </w:r>
      <w:r>
        <w:rPr>
          <w:i/>
          <w:iCs/>
        </w:rPr>
        <w:t>Neuquensaurus</w:t>
      </w:r>
      <w:r>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 1978). In his widely read popular-science book </w:t>
      </w:r>
      <w:r>
        <w:rPr>
          <w:i/>
          <w:iCs/>
        </w:rPr>
        <w:t>The Dinosaur Heresies</w:t>
      </w:r>
      <w:r>
        <w:rPr/>
        <w:t xml:space="preserve">, Bakker (1986:190–192) reiterated and expanded his own argument that diplodocids, including </w:t>
      </w:r>
      <w:r>
        <w:rPr>
          <w:i/>
          <w:iCs/>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influential painting </w:t>
      </w:r>
      <w:r>
        <w:rPr>
          <w:i/>
          <w:iCs/>
        </w:rPr>
        <w:t>Ambush at Como Creek</w:t>
      </w:r>
      <w:r>
        <w:rPr/>
        <w:t xml:space="preserve"> (see above), argued that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t xml:space="preserve"> (considered by McIntosh et al. (1996) to be a species of </w:t>
      </w:r>
      <w:r>
        <w:rPr>
          <w:i/>
          <w:iCs/>
        </w:rPr>
        <w:t>Camarasaurus</w:t>
      </w:r>
      <w:r>
        <w:rPr/>
        <w:t xml:space="preserve"> but regarded as its own genus by Tschopp et al. 2014). Jensen (1988:124–128)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supracostal plates in the sacral vertebrae, and 20-degree forward rotation of the ilia relative to the sacrum. While some of these features do not seem directly related to rearing and others are likely age-related, the rotation of the ilium remains unique and is difficult to interpret as anything other than a rearing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biomechanically justified.</w:t>
      </w:r>
    </w:p>
    <w:p>
      <w:pPr>
        <w:pStyle w:val="Heading2"/>
        <w:rPr/>
      </w:pPr>
      <w:bookmarkStart w:id="30" w:name="__RefHeading___Toc11689_675290491"/>
      <w:bookmarkEnd w:id="30"/>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in </w:t>
      </w:r>
      <w:r>
        <w:rPr>
          <w:i/>
          <w:iCs/>
        </w:rPr>
        <w:t>Prehistoric Planet</w:t>
      </w:r>
      <w:r>
        <w:rPr/>
        <w:t xml:space="preserve"> (2022). Episode 2 (</w:t>
      </w:r>
      <w:r>
        <w:rPr>
          <w:i/>
          <w:iCs/>
        </w:rPr>
        <w:t>Deserts</w:t>
      </w:r>
      <w:r>
        <w:rPr/>
        <w:t xml:space="preserve">) included a lengthy scene beginning at four minutes, in which </w:t>
      </w:r>
      <w:r>
        <w:rPr>
          <w:i/>
          <w:iCs/>
        </w:rPr>
        <w:t>Dreadnoughtus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(Adam Smith, pers. comm., 2024), including 50 versions of </w:t>
      </w:r>
      <w:r>
        <w:rPr>
          <w:i/>
          <w:iCs/>
        </w:rPr>
        <w:t>Brachiosaurus</w:t>
      </w:r>
      <w:r>
        <w:rPr/>
        <w:t xml:space="preserve">, 38 of </w:t>
      </w:r>
      <w:r>
        <w:rPr>
          <w:i/>
          <w:iCs/>
        </w:rPr>
        <w:t>Apatosaurus</w:t>
      </w:r>
      <w:r>
        <w:rPr/>
        <w:t xml:space="preserve"> and 22 of </w:t>
      </w:r>
      <w:r>
        <w:rPr>
          <w:i/>
          <w:iCs/>
        </w:rPr>
        <w:t>Diplodocus</w:t>
      </w:r>
      <w:r>
        <w:rPr/>
        <w:t xml:space="preserve"> — but not a single </w:t>
      </w:r>
      <w:r>
        <w:rPr>
          <w:i/>
          <w:iCs/>
        </w:rPr>
        <w:t>Barosaurus</w:t>
      </w:r>
      <w:r>
        <w:rPr/>
        <w:t xml:space="preserve"> toy. The only </w:t>
      </w:r>
      <w:r>
        <w:rPr>
          <w:i/>
          <w:iCs/>
        </w:rPr>
        <w:t>Barosaurus</w:t>
      </w:r>
      <w:r>
        <w:rPr/>
        <w:t xml:space="preserve"> “toys” on the market at the time of writing seem to be large museum-quality maquettes costing $500 or more. A Lego model of the rearing AMNH </w:t>
      </w:r>
      <w:r>
        <w:rPr>
          <w:i/>
          <w:iCs/>
        </w:rPr>
        <w:t>Barosaurus</w:t>
      </w:r>
      <w:r>
        <w:rPr/>
        <w:t xml:space="preserve"> has been created by Ambrosino (a pseudonym) and its instructions made freely available (Ambrosino 2023; Figure 19).</w:t>
      </w:r>
    </w:p>
    <w:p>
      <w:pPr>
        <w:pStyle w:val="Heading1"/>
        <w:rPr/>
      </w:pPr>
      <w:bookmarkStart w:id="31" w:name="__RefHeading___Toc8168_4188845286"/>
      <w:bookmarkEnd w:id="31"/>
      <w:r>
        <w:rPr/>
        <w:t>Conclusion</w:t>
      </w:r>
    </w:p>
    <w:p>
      <w:pPr>
        <w:pStyle w:val="BodyText"/>
        <w:rPr/>
      </w:pPr>
      <w:r>
        <w:rPr/>
        <w:t xml:space="preserve">It is ironic that the AMNH had no part in the excavation or preparation of what is arguably its most iconic fossil specimen, Barnum Brown having reunited it after a diaspora to three different museums. It doubly ironic that, having acquired the skeleton, the museum did not even display it for several years, then removed it from display after little more than a decade. Subsequent developments show the value of palaeoart as a hypothesis-generating machine: there would be no rearing </w:t>
      </w:r>
      <w:r>
        <w:rPr>
          <w:i/>
          <w:iCs/>
        </w:rPr>
        <w:t>Barosaurus</w:t>
      </w:r>
      <w:r>
        <w:rPr/>
        <w:t xml:space="preserve"> mount without Greg Paul’s painting </w:t>
      </w:r>
      <w:r>
        <w:rPr>
          <w:i/>
          <w:iCs/>
        </w:rPr>
        <w:t>Ambush at Como Creek</w:t>
      </w:r>
      <w:r>
        <w:rPr/>
        <w:t>. It is striking that Dingus and Gaffney independently had the idea for a rearing mount, despite their distaste for speculative palaeobiology, each of them expecting the other to object — and that Norell, who they both expected to veto the idea, was also on board. And it is satisfying that the biomechanical feasibility of rearing diplodocines has subsequently been demonstrated mathematically. The mount certainly achieved its stated goals of provoking not just public discussion, but much further scientific work.</w:t>
      </w:r>
    </w:p>
    <w:p>
      <w:pPr>
        <w:pStyle w:val="BodyText"/>
        <w:rPr/>
      </w:pPr>
      <w:r>
        <w:rPr/>
      </w:r>
      <w:r>
        <w:br w:type="page"/>
      </w:r>
    </w:p>
    <w:p>
      <w:pPr>
        <w:pStyle w:val="Heading1"/>
        <w:rPr/>
      </w:pPr>
      <w:bookmarkStart w:id="32" w:name="__RefHeading___Toc2658_1236825145"/>
      <w:bookmarkEnd w:id="32"/>
      <w:r>
        <w:rPr/>
        <w:t>References</w:t>
      </w:r>
    </w:p>
    <w:p>
      <w:pPr>
        <w:pStyle w:val="Reference"/>
        <w:rPr/>
      </w:pPr>
      <w:r>
        <w:rPr/>
        <w:t xml:space="preserve">Alexander, R. McNeill. 1985. Mechanics of posture and gait of some large dinosaurs: </w:t>
      </w:r>
      <w:r>
        <w:rPr>
          <w:i/>
          <w:iCs/>
        </w:rPr>
        <w:t>Zoological Journal of the Linnean Society</w:t>
      </w:r>
      <w:r>
        <w:rPr/>
        <w:t xml:space="preserve"> </w:t>
      </w:r>
      <w:r>
        <w:rPr>
          <w:b/>
          <w:bCs/>
        </w:rPr>
        <w:t>83</w:t>
      </w:r>
      <w:r>
        <w:rPr/>
        <w:t>:1–25.</w:t>
      </w:r>
    </w:p>
    <w:p>
      <w:pPr>
        <w:pStyle w:val="Reference"/>
        <w:rPr/>
      </w:pPr>
      <w:r>
        <w:rPr/>
        <w:t xml:space="preserve">Ambrosino. 2023. 21320: </w:t>
      </w:r>
      <w:r>
        <w:rPr>
          <w:i/>
          <w:iCs/>
        </w:rPr>
        <w:t>Barosaurus</w:t>
      </w:r>
      <w:r>
        <w:rPr/>
        <w:t xml:space="preserve"> skeleton. </w:t>
      </w:r>
      <w:hyperlink r:id="rId2">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3">
        <w:r>
          <w:rPr>
            <w:rStyle w:val="Hyperlink"/>
          </w:rPr>
          <w:t>https://babel.hathitrust.org/cgi/pt?id=coo.31924080776994</w:t>
        </w:r>
      </w:hyperlink>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Benson Roger B. J., Nicolás E. Campione, Matthew T. Carrano, Philip D. Mannion, Corwin Sullivan, Paul Upchurch and David C. Evans. 2014. Rates of dinosaur body mass evolution indicate 170 million years of sustained ecological innovation on the avian stem lineage. </w:t>
      </w:r>
      <w:r>
        <w:rPr>
          <w:i/>
          <w:iCs/>
        </w:rPr>
        <w:t>PLoS Biology</w:t>
      </w:r>
      <w:r>
        <w:rPr/>
        <w:t xml:space="preserve"> </w:t>
      </w:r>
      <w:r>
        <w:rPr>
          <w:b/>
          <w:bCs/>
        </w:rPr>
        <w:t>12(5)</w:t>
      </w:r>
      <w:r>
        <w:rPr/>
        <w:t>:e1001853. doi:10.1371/journal.pbio.1001853</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Clark, Robert J. 1991. Letter to Peter May, Research Casting International. 28 October 1991. Department of Vertebrate Paleontology building and exhibit records, VPA 100, Series 3, Box 28, Folder 35, American Museum of Natural History Vertebrate Paleontology Archive.</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Dingus, Lowell. 1990. Letter of agreement to Peter May and Andrew Leitch, Research Casting International. 28 March 1990. Department of Vertebrate Paleontology building and exhibit records, VPA 100, Series 3, Box 28, Folder 35, American Museum of Natural History Vertebrate Paleontology Archive.</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4">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1922c. Report of Work Done by the Carnegie Museum at the Dinosaur National Monument in Uinta County, Utah, under the Supervision of Earl Douglass, in the year 1922. 24 March 1923.</w:t>
      </w:r>
    </w:p>
    <w:p>
      <w:pPr>
        <w:pStyle w:val="Reference"/>
        <w:rPr/>
      </w:pPr>
      <w:r>
        <w:rPr/>
        <w:t>Douglass, Earl. 1923. Report of Work Done by the Carnegie Museum at the Dinosaur National Monument in Uinta County, Utah, under the Supervision of Earl Douglass, in the year 1922. 24 March 1923. 2 pages.</w:t>
      </w:r>
    </w:p>
    <w:p>
      <w:pPr>
        <w:pStyle w:val="Reference"/>
        <w:rPr/>
      </w:pPr>
      <w:r>
        <w:rPr/>
        <w:t>Galiano, Henry. 1990. Letter to James “Chip” Jeffries, Ralph Appelbaum Associates. 22 March 1990. Department of Vertebrate Paleontology building and exhibit records, VPA 100, Series 3, Box 28, Folder 35, American Museum of Natural History Vertebrate Paleontology Archive.</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3" w:name="__DdeLink__2788_55120580"/>
      <w:r>
        <w:rPr>
          <w:i/>
          <w:iCs/>
        </w:rPr>
        <w:t>Proceedings of the United States National Museum</w:t>
      </w:r>
      <w:bookmarkEnd w:id="33"/>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Henderson, Donald M. 2013. Sauropod necks: are they really for heat loss? </w:t>
      </w:r>
      <w:r>
        <w:rPr>
          <w:i/>
          <w:iCs/>
        </w:rPr>
        <w:t>PLoS ONE</w:t>
      </w:r>
      <w:r>
        <w:rPr/>
        <w:t xml:space="preserve"> </w:t>
      </w:r>
      <w:r>
        <w:rPr>
          <w:b/>
          <w:bCs/>
        </w:rPr>
        <w:t>8(10)</w:t>
      </w:r>
      <w:r>
        <w:rPr/>
        <w:t>: e77108. doi:10.1371/journal.pone.0077108</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Huene, Friedrich von. 1929. Die Besonderheit der Titanosaurier [The characteristics of titanosaurs]. </w:t>
      </w:r>
      <w:r>
        <w:rPr>
          <w:i/>
          <w:iCs/>
        </w:rPr>
        <w:t>Centralblatt für Mineralogie, Geologie und Palaontologie</w:t>
      </w:r>
      <w:r>
        <w:rPr/>
        <w:t xml:space="preserve"> </w:t>
      </w:r>
      <w:r>
        <w:rPr>
          <w:b/>
          <w:bCs/>
        </w:rPr>
        <w:t>1929(B)</w:t>
      </w:r>
      <w:r>
        <w:rPr/>
        <w:t>:493–499.</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Janensch, Werner. 1950. Die Skelettrekonstruktion von </w:t>
      </w:r>
      <w:r>
        <w:rPr>
          <w:i/>
          <w:iCs/>
        </w:rPr>
        <w:t>Brachiosaurus brancai</w:t>
      </w:r>
      <w:r>
        <w:rPr/>
        <w:t xml:space="preserve">. </w:t>
      </w:r>
      <w:r>
        <w:rPr>
          <w:i/>
          <w:iCs/>
        </w:rPr>
        <w:t>Palaeontographica</w:t>
      </w:r>
      <w:r>
        <w:rPr/>
        <w:t xml:space="preserve"> (Supplement 7) </w:t>
      </w:r>
      <w:r>
        <w:rPr>
          <w:b/>
          <w:bCs/>
        </w:rPr>
        <w:t>3</w:t>
      </w:r>
      <w:r>
        <w:rPr/>
        <w:t>:97–103, and plates VI–VIII.</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t xml:space="preserve"> </w:t>
      </w:r>
      <w:r>
        <w:rPr>
          <w:b/>
          <w:bCs/>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 xml:space="preserve">:81–86. </w:t>
      </w:r>
      <w:hyperlink r:id="rId5">
        <w:r>
          <w:rPr>
            <w:rStyle w:val="Hyperlink"/>
          </w:rPr>
          <w:t>doi:10.2475/ajs.s3-39.229.81</w:t>
        </w:r>
      </w:hyperlink>
    </w:p>
    <w:p>
      <w:pPr>
        <w:pStyle w:val="Reference"/>
        <w:rPr/>
      </w:pPr>
      <w:r>
        <w:rPr/>
        <w:t xml:space="preserve">Marsh, Othniel C. 1891. Restoration of </w:t>
      </w:r>
      <w:r>
        <w:rPr>
          <w:i/>
          <w:iCs/>
        </w:rPr>
        <w:t>Triceratops</w:t>
      </w:r>
      <w:r>
        <w:rPr/>
        <w:t xml:space="preserve"> (with plates XV and XVI). </w:t>
      </w:r>
      <w:r>
        <w:rPr>
          <w:i/>
          <w:iCs/>
        </w:rPr>
        <w:t>American Journal of Science</w:t>
      </w:r>
      <w:r>
        <w:rPr/>
        <w:t xml:space="preserve">, 3rd series, </w:t>
      </w:r>
      <w:r>
        <w:rPr>
          <w:b/>
          <w:bCs/>
        </w:rPr>
        <w:t>41(244)</w:t>
      </w:r>
      <w:r>
        <w:rPr/>
        <w:t>:339–342.</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4" w:name="__DdeLink__16582_68767826"/>
      <w:r>
        <w:rPr/>
        <w:t>Nieuwland</w:t>
      </w:r>
      <w:bookmarkEnd w:id="34"/>
      <w:r>
        <w:rPr/>
        <w:t xml:space="preserve">, Ilja. 2019. </w:t>
      </w:r>
      <w:r>
        <w:rPr>
          <w:i/>
          <w:iCs/>
        </w:rPr>
        <w:t xml:space="preserve">American dinosaur abroad: a cultural history of Carnegie’s plaster </w:t>
      </w:r>
      <w:r>
        <w:rPr/>
        <w:t>Diplodocus.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6">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Osborn, Henry F. 1923. Letter to Charles D. Walcott with vague but ominous contents. 14 April 1923.</w:t>
      </w:r>
    </w:p>
    <w:p>
      <w:pPr>
        <w:pStyle w:val="Reference"/>
        <w:rPr/>
      </w:pPr>
      <w:r>
        <w:rPr/>
        <w:t xml:space="preserve">Osborn, Henry F.,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7">
        <w:r>
          <w:rPr>
            <w:rStyle w:val="Hyperlink"/>
          </w:rPr>
          <w:t>doi:10.1130/GSAB-30-379</w:t>
        </w:r>
      </w:hyperlink>
    </w:p>
    <w:p>
      <w:pPr>
        <w:pStyle w:val="Reference"/>
        <w:rPr/>
      </w:pPr>
      <w:r>
        <w:rPr/>
        <w:t xml:space="preserve">Ouyang Hui and Ye Yong. 2002. </w:t>
      </w:r>
      <w:r>
        <w:rPr>
          <w:i/>
          <w:iCs/>
        </w:rPr>
        <w:t xml:space="preserve">The first mamenchisaurian skeleton with complete skull: </w:t>
      </w:r>
      <w:r>
        <w:rPr/>
        <w:t>Mamenchisaurus youngi.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Sander, P. Martin, Christian Peitz, Frankie D. Jackson and Luis M. Chiappe. 2008. Upper Cretaceous titanosaur nesting sites and their implications for sauropod dinosaur reproductive biology. </w:t>
      </w:r>
      <w:r>
        <w:rPr>
          <w:i/>
          <w:iCs/>
        </w:rPr>
        <w:t>Palaeontographica Abteilung A</w:t>
      </w:r>
      <w:r>
        <w:rPr/>
        <w:t xml:space="preserve"> </w:t>
      </w:r>
      <w:r>
        <w:rPr>
          <w:b/>
          <w:bCs/>
        </w:rPr>
        <w:t>284</w:t>
      </w:r>
      <w:r>
        <w:rPr/>
        <w:t xml:space="preserve">:69–107. </w:t>
      </w:r>
      <w:hyperlink r:id="rId8">
        <w:r>
          <w:rPr>
            <w:rStyle w:val="Hyperlink"/>
          </w:rPr>
          <w:t>doi:10.1127/pala/284/2008/69</w:t>
        </w:r>
      </w:hyperlink>
    </w:p>
    <w:p>
      <w:pPr>
        <w:pStyle w:val="Reference"/>
        <w:rPr/>
      </w:pPr>
      <w:r>
        <w:rPr/>
        <w:t xml:space="preserve">Seebacher, Frank. 2001. A new method to calculate allometric length-mass relationships of dinosaurs. </w:t>
      </w:r>
      <w:r>
        <w:rPr>
          <w:i/>
          <w:iCs/>
        </w:rPr>
        <w:t>Journal of Vertebrate Paleontology</w:t>
      </w:r>
      <w:r>
        <w:rPr/>
        <w:t xml:space="preserve"> </w:t>
      </w:r>
      <w:r>
        <w:rPr>
          <w:b/>
          <w:bCs/>
        </w:rPr>
        <w:t>21</w:t>
      </w:r>
      <w:r>
        <w:rPr/>
        <w:t>:51–60. doi:10.1671/0272-4634(2001)021[0051:ANMTCA]2.0.CO;2</w:t>
      </w:r>
    </w:p>
    <w:p>
      <w:pPr>
        <w:pStyle w:val="Reference"/>
        <w:rPr/>
      </w:pPr>
      <w:r>
        <w:rPr/>
        <w:t xml:space="preserve">Smith, Adam S. (with contributions from 20 other authors). 2007. Dinosaur Toy Blog. </w:t>
      </w:r>
      <w:hyperlink r:id="rId9">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0">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t xml:space="preserve">. </w:t>
      </w:r>
      <w:r>
        <w:rPr>
          <w:i/>
          <w:iCs/>
        </w:rPr>
        <w:t>Annals of the Carnegie Museum</w:t>
      </w:r>
      <w:r>
        <w:rPr/>
        <w:t xml:space="preserve"> </w:t>
      </w:r>
      <w:r>
        <w:rPr>
          <w:b/>
          <w:bCs/>
        </w:rPr>
        <w:t>91(1)</w:t>
      </w:r>
      <w:r>
        <w:rPr/>
        <w:t>:55–91. doi:10.2992/007.091.0104</w:t>
      </w:r>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1">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 XXXXX is this right?</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2">
        <w:r>
          <w:rPr>
            <w:rStyle w:val="Hyperlink"/>
          </w:rPr>
          <w:t>https://naturalhistory.si.edu/sites/default/files/media/translated_publications/Young%26amp%3BZhao_72.pdf</w:t>
        </w:r>
      </w:hyperlink>
      <w:r>
        <w:rPr/>
        <w:t xml:space="preserve"> </w:t>
      </w:r>
      <w:r>
        <w:br w:type="page"/>
      </w:r>
    </w:p>
    <w:p>
      <w:pPr>
        <w:pStyle w:val="Heading1"/>
        <w:numPr>
          <w:ilvl w:val="0"/>
          <w:numId w:val="4"/>
        </w:numPr>
        <w:spacing w:before="0" w:after="142"/>
        <w:rPr/>
      </w:pPr>
      <w:bookmarkStart w:id="35" w:name="__RefHeading___Toc3407_68767826"/>
      <w:bookmarkEnd w:id="35"/>
      <w:r>
        <w:rPr/>
        <w:t>Figure Captions</w:t>
      </w:r>
    </w:p>
    <w:p>
      <w:pPr>
        <w:pStyle w:val="FigureCaption"/>
        <w:rPr/>
      </w:pPr>
      <w:r>
        <w:rPr>
          <w:b/>
          <w:bCs/>
        </w:rPr>
        <w:t>Figure 1.</w:t>
      </w:r>
      <w:r>
        <w:rPr/>
        <w:t xml:space="preserve"> The mounted skeleton of </w:t>
      </w:r>
      <w:r>
        <w:rPr>
          <w:i/>
          <w:iCs/>
        </w:rPr>
        <w:t>Barosaurus lentus</w:t>
      </w:r>
      <w:r>
        <w:rPr/>
        <w:t xml:space="preserve"> AMNH 6341 in the Theodore Roosevelt Rotunda of the American Museum of Natural History, New York, as it appeared after the initial mounting and before repairs to the middle of the neck (see text). Photograph provided by Department of Vertebrate Paleontology Archive, Copyright © AMNH.</w:t>
      </w:r>
    </w:p>
    <w:p>
      <w:pPr>
        <w:pStyle w:val="FigureCaption"/>
        <w:rPr/>
      </w:pPr>
      <w:r>
        <w:rPr>
          <w:b/>
          <w:bCs/>
        </w:rPr>
        <w:t>Figure 2.</w:t>
      </w:r>
      <w:r>
        <w:rPr/>
        <w:t xml:space="preserve"> Earl Douglass, aged 60, at the Carnegie Quarry in August 1922. He is seen here standing in front of the left femur of </w:t>
      </w:r>
      <w:r>
        <w:rPr>
          <w:i/>
          <w:iCs/>
        </w:rPr>
        <w:t>Diplodocus</w:t>
      </w:r>
      <w:r>
        <w:rPr/>
        <w:t xml:space="preserve"> specimen #355 (now USNM 10865), with the sacrum, partial left ilium, last five dorsal vertebral centra and some ribs also in view (compare Figure 3, in which the femur is labelled 23, the ilium 24 and the last five dorsals 7–11). The </w:t>
      </w:r>
      <w:r>
        <w:rPr>
          <w:i/>
          <w:iCs/>
        </w:rPr>
        <w:t>Diplodocus</w:t>
      </w:r>
      <w:r>
        <w:rPr/>
        <w:t xml:space="preserve"> is seen in ventral view with anterior to the top. Photograph uploaded to Wikimedia Commons by Ken Carpenter.</w:t>
      </w:r>
    </w:p>
    <w:p>
      <w:pPr>
        <w:pStyle w:val="FigureCaption"/>
        <w:rPr/>
      </w:pPr>
      <w:r>
        <w:rPr>
          <w:b/>
          <w:bCs/>
        </w:rPr>
        <w:t>Figure 3.</w:t>
      </w:r>
      <w:r>
        <w:rPr/>
        <w:t xml:space="preserve"> Carnegie Quarry map showing the relative positions of two iconic sauropod specimens: #355 (</w:t>
      </w:r>
      <w:r>
        <w:rPr>
          <w:i/>
          <w:iCs/>
        </w:rPr>
        <w:t>Diplodocus</w:t>
      </w:r>
      <w:r>
        <w:rPr/>
        <w:t>, right) and #340 (</w:t>
      </w:r>
      <w:r>
        <w:rPr>
          <w:i/>
          <w:iCs/>
        </w:rPr>
        <w:t>Barosaurus</w:t>
      </w:r>
      <w:r>
        <w:rPr/>
        <w:t xml:space="preserve">, left, highlighted in pink, initially thought to be be a second </w:t>
      </w:r>
      <w:r>
        <w:rPr>
          <w:i/>
          <w:iCs/>
        </w:rPr>
        <w:t>Diplodocus</w:t>
      </w:r>
      <w:r>
        <w:rPr/>
        <w:t xml:space="preserve">). Modified from Gilmore (1932:figure 1). The </w:t>
      </w:r>
      <w:r>
        <w:rPr>
          <w:i/>
          <w:iCs/>
        </w:rPr>
        <w:t>Diplodocus</w:t>
      </w:r>
      <w:r>
        <w:rPr/>
        <w:t xml:space="preserve"> specimen would become USNM 10865, and the </w:t>
      </w:r>
      <w:r>
        <w:rPr>
          <w:i/>
          <w:iCs/>
        </w:rPr>
        <w:t>Barosaurus</w:t>
      </w:r>
      <w:r>
        <w:rPr/>
        <w:t xml:space="preserve"> would become AMNH 6341. Note that in this map the cervical vertebrae of </w:t>
      </w:r>
      <w:r>
        <w:rPr>
          <w:i/>
          <w:iCs/>
        </w:rPr>
        <w:t>Barosaurus</w:t>
      </w:r>
      <w:r>
        <w:rPr/>
        <w:t xml:space="preserve"> #340 are drawn to look like those of </w:t>
      </w:r>
      <w:r>
        <w:rPr>
          <w:i/>
          <w:iCs/>
        </w:rPr>
        <w:t>Diplodocus</w:t>
      </w:r>
      <w:r>
        <w:rPr/>
        <w:t>, which they were originally assumed to represent. Note also that the number of cervical vertebrae illustrated is ten, compared with the preserved count of nine, weakly corroborating the possibility that there was originally an additional, more anterior vertebra (C7 of present usage).</w:t>
      </w:r>
    </w:p>
    <w:p>
      <w:pPr>
        <w:pStyle w:val="FigureCaption"/>
        <w:rPr/>
      </w:pPr>
      <w:r>
        <w:rPr>
          <w:b/>
          <w:bCs/>
        </w:rPr>
        <w:t>Figure 4.</w:t>
      </w:r>
      <w:r>
        <w:rPr/>
        <w:t xml:space="preserve"> </w:t>
      </w:r>
      <w:r>
        <w:rPr>
          <w:i/>
          <w:iCs/>
        </w:rPr>
        <w:t>Barosaurus</w:t>
      </w:r>
      <w:r>
        <w:rPr/>
        <w:t xml:space="preserve"> AMNH 6341, cervical vertebrae C8–C16 in dorsal (where available) and lateral views, to scale. Lateral views from McIntosh (2005: fig. 2.1) except except C13, which we were able to photograph in collections. Extensive image manipulation was necessary to bring out the information in the dorsal view photographs, due to to poor photography conditions. C16 is sheered to the right, so the aspect is slightly left dorsolateral rather than true dorsal. C8 is on display in the gallery with these vertebrae, but the structure of the display makes it impossible to photograph in dorsal view. C13 is on a shelf in collections, apart from the other cervicals, and we were not able to photograph it in dorsal view.</w:t>
      </w:r>
    </w:p>
    <w:p>
      <w:pPr>
        <w:pStyle w:val="FigureCaption"/>
        <w:rPr/>
      </w:pPr>
      <w:r>
        <w:rPr>
          <w:b/>
          <w:bCs/>
        </w:rPr>
        <w:t>Figure 5</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(1891: plate XVI)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rPr/>
      </w:pPr>
      <w:r>
        <w:rPr>
          <w:b/>
          <w:bCs/>
        </w:rPr>
        <w:t>Figure 6.</w:t>
      </w:r>
      <w:r>
        <w:rPr/>
        <w:t xml:space="preserve"> Public gallery exhibit panel for AMNH 6341, prepared around 1939 to accompany the vertebral sequence, scapulocoracoid and humerus depicted in Figure 5. Photographed by Mick Ellison, AMNH. Original caption reads:</w:t>
      </w:r>
    </w:p>
    <w:p>
      <w:pPr>
        <w:pStyle w:val="BlockQuotationuser"/>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ind w:hanging="0" w:left="283"/>
        <w:rPr/>
      </w:pPr>
      <w:r>
        <w:rPr/>
        <w:t xml:space="preserve">The representation of which bones are included in the specimen is a good match for our modern reconstruction (Figure 15),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(1906:251–252) for </w:t>
      </w:r>
      <w:r>
        <w:rPr>
          <w:i/>
          <w:iCs/>
        </w:rPr>
        <w:t>Diplodocus</w:t>
      </w:r>
      <w:r>
        <w:rPr/>
        <w:t>.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rPr/>
      </w:pPr>
      <w:r>
        <w:rPr>
          <w:b/>
          <w:bCs/>
        </w:rPr>
        <w:t>Figure 7.</w:t>
      </w:r>
      <w:r>
        <w:rPr/>
        <w:t xml:space="preserve"> </w:t>
      </w:r>
      <w:r>
        <w:rPr>
          <w:i/>
          <w:iCs/>
        </w:rPr>
        <w:t>Ambush at Como Creek</w:t>
      </w:r>
      <w:r>
        <w:rPr/>
        <w:t xml:space="preserve">, painted by Gregory S. Paul in the late 1970s or early 1980s. In this revised version, completed in 1985,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rPr/>
      </w:pPr>
      <w:r>
        <w:rPr>
          <w:b/>
          <w:bCs/>
        </w:rPr>
        <w:t>Figure 8.</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rPr/>
      </w:pPr>
      <w:r>
        <w:rPr>
          <w:b/>
          <w:bCs/>
        </w:rPr>
        <w:t>Figure 9.</w:t>
      </w:r>
      <w:r>
        <w:rPr/>
        <w:t xml:space="preserve"> Prototype model of the proposed display. This model is three feet (91 cm) tall from the bottom of the base to the top of the rearing </w:t>
      </w:r>
      <w:r>
        <w:rPr>
          <w:i/>
          <w:iCs/>
        </w:rPr>
        <w:t>Barosaurus</w:t>
      </w:r>
      <w:r>
        <w:rPr/>
        <w:t>, and the base is 44 inches (112 cm) long (Mick Ellison, pers. comm, 2022).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rPr/>
      </w:pPr>
      <w:r>
        <w:rPr>
          <w:b/>
          <w:bCs/>
        </w:rPr>
        <w:t>Figure 10.</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with anterior to the left. The separator on the mold wall allows the rubber latex for the next mold section to be applied without adhering to the first mold section, so that the mold sections will separate easily. Photograph provided by Department of Vertebrate Paleontology Archive.</w:t>
      </w:r>
    </w:p>
    <w:p>
      <w:pPr>
        <w:pStyle w:val="FigureCaption"/>
        <w:rPr/>
      </w:pPr>
      <w:r>
        <w:rPr>
          <w:b/>
          <w:bCs/>
        </w:rPr>
        <w:t>Figure 11.</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Note that the two missing cervical vertebra have been added, and that the posterior one is a different colour from the others. The ribs are a noticeably lighter colour than the rest of the skeleton, presumably because they had not been painted at this point. Photographs provided by Department of Vertebrate Paleontology Archive.</w:t>
      </w:r>
    </w:p>
    <w:p>
      <w:pPr>
        <w:pStyle w:val="FigureCaption"/>
        <w:rPr/>
      </w:pPr>
      <w:r>
        <w:rPr>
          <w:b/>
          <w:bCs/>
        </w:rPr>
        <w:t>Figure 12.</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and Lowell Dingus (left to right) observe. Photographs provided by Department of Vertebrate Paleontology Archive.</w:t>
      </w:r>
    </w:p>
    <w:p>
      <w:pPr>
        <w:pStyle w:val="FigureCaption"/>
        <w:rPr/>
      </w:pPr>
      <w:r>
        <w:rPr>
          <w:b/>
          <w:bCs/>
        </w:rPr>
        <w:t>Figure 13.</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3–16, all articulated in a single piece, with the atlas an axis still to be fitted behind the skull. By the wall to the right are the two halves of the 17th cervical vertebrae: the left half, highlighted in red, with anterior towards the camera; and the right half, highlighted in blue, with anterior facing away.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a section that is probably the proximal part of the </w:t>
      </w:r>
      <w:r>
        <w:rPr>
          <w:i/>
          <w:iCs/>
        </w:rPr>
        <w:t>Allosaurus</w:t>
      </w:r>
      <w:r>
        <w:rPr/>
        <w:t xml:space="preserve"> tail. Finally, intruding on the image from the left is the distal (whiplash) portion of the other </w:t>
      </w:r>
      <w:r>
        <w:rPr>
          <w:i/>
          <w:iCs/>
        </w:rPr>
        <w:t>Barosaurus</w:t>
      </w:r>
      <w:r>
        <w:rPr/>
        <w:t xml:space="preserve"> tail, probably that of the adult. Photograph provided by Department of Vertebrate Paleontology Archive, Copyright © AMNH.</w:t>
      </w:r>
    </w:p>
    <w:p>
      <w:pPr>
        <w:pStyle w:val="FigureCaption"/>
        <w:rPr/>
      </w:pPr>
      <w:r>
        <w:rPr>
          <w:b/>
          <w:bCs/>
        </w:rPr>
        <w:t>Figure 14.</w:t>
      </w:r>
      <w:r>
        <w:rPr/>
        <w:t xml:space="preserve"> Two views of the final mounting in the Roosevelt Memorial Hall of the American Museum of Natural History, both showing the use of two frighteningly unstable-looking cherry-picker cranes. The RCI employees in the higher crane are moving the head-and-neck assembly into place, while the two in the lower crane attempt to fit it to the anterior torso. Photographs provided by Department of Vertebrate Paleontology Archive, Copyright © AMNH.</w:t>
      </w:r>
    </w:p>
    <w:p>
      <w:pPr>
        <w:pStyle w:val="FigureCaption"/>
        <w:rPr/>
      </w:pPr>
      <w:r>
        <w:rPr>
          <w:b/>
          <w:bCs/>
        </w:rPr>
        <w:t>Figure 15.</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16.</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rPr/>
      </w:pPr>
      <w:r>
        <w:rPr>
          <w:b/>
          <w:bCs/>
        </w:rPr>
        <w:t>Figure 17.</w:t>
      </w:r>
      <w:r>
        <w:rPr/>
        <w:t xml:space="preserve"> The anterior part of the AMNH </w:t>
      </w:r>
      <w:r>
        <w:rPr>
          <w:i/>
          <w:iCs/>
        </w:rPr>
        <w:t>Barosaurus</w:t>
      </w:r>
      <w:r>
        <w:rPr/>
        <w:t xml:space="preserve"> neck (skull and first eight cervicals, though the atlas and axis are absent at this point) during the mounting process. </w:t>
      </w:r>
      <w:r>
        <w:rPr>
          <w:b/>
          <w:bCs/>
        </w:rPr>
        <w:t>A.</w:t>
      </w:r>
      <w:r>
        <w:rPr/>
        <w:t xml:space="preserve"> lying on the floor, seen in roughly dorsal view. </w:t>
      </w:r>
      <w:r>
        <w:rPr>
          <w:b/>
          <w:bCs/>
        </w:rPr>
        <w:t>B.</w:t>
      </w:r>
      <w:r>
        <w:rPr/>
        <w:t xml:space="preserve"> held upright, seen in right lateral view. Note that the vertebrae in positions 3–7 are those of </w:t>
      </w:r>
      <w:r>
        <w:rPr>
          <w:i/>
          <w:iCs/>
        </w:rPr>
        <w:t>Diplodocus</w:t>
      </w:r>
      <w:r>
        <w:rPr/>
        <w:t xml:space="preserve">, with relatively high bifurcated neural spines, while the vertebra in position 8 is that of </w:t>
      </w:r>
      <w:r>
        <w:rPr>
          <w:i/>
          <w:iCs/>
        </w:rPr>
        <w:t>Barosaurus</w:t>
      </w:r>
      <w:r>
        <w:rPr/>
        <w:t xml:space="preserve">, with a low and unbifurcated spine. Comparison with the Carnegie </w:t>
      </w:r>
      <w:r>
        <w:rPr>
          <w:i/>
          <w:iCs/>
        </w:rPr>
        <w:t>Diplodocus</w:t>
      </w:r>
      <w:r>
        <w:rPr/>
        <w:t xml:space="preserve"> shows that those in positions 3–6 are C3–C6 of </w:t>
      </w:r>
      <w:r>
        <w:rPr>
          <w:i/>
          <w:iCs/>
        </w:rPr>
        <w:t>Diplodocus</w:t>
      </w:r>
      <w:r>
        <w:rPr/>
        <w:t>, but that the 8th cervical vertebra of Diplodocus is used in position 7 to give a more even progression of increasing length. Photographs provided by Department of Vertebrate Paleontology Archive, Copyright © AMNH.</w:t>
      </w:r>
    </w:p>
    <w:p>
      <w:pPr>
        <w:pStyle w:val="FigureCaption"/>
        <w:rPr/>
      </w:pPr>
      <w:r>
        <w:rPr>
          <w:b/>
          <w:bCs/>
        </w:rPr>
        <w:t>Figure 18.</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rPr/>
      </w:pPr>
      <w:r>
        <w:rPr>
          <w:b/>
          <w:bCs/>
        </w:rPr>
        <w:t>Figure 19.</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rPr/>
      </w:pPr>
      <w:r>
        <w:rPr/>
      </w:r>
      <w:r>
        <w:br w:type="page"/>
      </w:r>
    </w:p>
    <w:p>
      <w:pPr>
        <w:pStyle w:val="Heading1"/>
        <w:rPr/>
      </w:pPr>
      <w:bookmarkStart w:id="36" w:name="__RefHeading___Toc2660_1236825145"/>
      <w:bookmarkEnd w:id="36"/>
      <w:r>
        <w:rPr/>
        <w:t>Figures</w:t>
      </w:r>
    </w:p>
    <w:p>
      <w:pPr>
        <w:pStyle w:val="Heading2"/>
        <w:rPr/>
      </w:pPr>
      <w:bookmarkStart w:id="37" w:name="__RefHeading___Toc2662_1236825145"/>
      <w:bookmarkEnd w:id="37"/>
      <w:r>
        <w:rPr/>
        <w:t>Figure 1</w:t>
      </w:r>
    </w:p>
    <w:p>
      <w:pPr>
        <w:pStyle w:val="FigureCaption"/>
        <w:rPr/>
      </w:pPr>
      <w:r>
        <w:rPr/>
        <w:drawing>
          <wp:inline distT="0" distB="0" distL="0" distR="0">
            <wp:extent cx="6059170" cy="410845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3"/>
                    <a:stretch>
                      <a:fillRect/>
                    </a:stretch>
                  </pic:blipFill>
                  <pic:spPr bwMode="auto">
                    <a:xfrm>
                      <a:off x="0" y="0"/>
                      <a:ext cx="6059170" cy="4108450"/>
                    </a:xfrm>
                    <a:prstGeom prst="rect">
                      <a:avLst/>
                    </a:prstGeom>
                    <a:noFill/>
                  </pic:spPr>
                </pic:pic>
              </a:graphicData>
            </a:graphic>
          </wp:inline>
        </w:drawing>
      </w:r>
    </w:p>
    <w:p>
      <w:pPr>
        <w:pStyle w:val="FigureCaption"/>
        <w:rPr/>
      </w:pPr>
      <w:r>
        <w:rPr/>
      </w:r>
      <w:r>
        <w:br w:type="page"/>
      </w:r>
    </w:p>
    <w:p>
      <w:pPr>
        <w:pStyle w:val="Heading2"/>
        <w:rPr/>
      </w:pPr>
      <w:bookmarkStart w:id="38" w:name="__RefHeading___Toc2664_1236825145"/>
      <w:bookmarkEnd w:id="38"/>
      <w:r>
        <w:rPr/>
        <w:t>Figure 2</w:t>
      </w:r>
    </w:p>
    <w:p>
      <w:pPr>
        <w:pStyle w:val="FigureCaption"/>
        <w:rPr/>
      </w:pPr>
      <w:r>
        <w:rPr/>
        <w:drawing>
          <wp:inline distT="0" distB="0" distL="0" distR="0">
            <wp:extent cx="6120130" cy="727964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4"/>
                    <a:stretch>
                      <a:fillRect/>
                    </a:stretch>
                  </pic:blipFill>
                  <pic:spPr bwMode="auto">
                    <a:xfrm>
                      <a:off x="0" y="0"/>
                      <a:ext cx="6120130" cy="7279640"/>
                    </a:xfrm>
                    <a:prstGeom prst="rect">
                      <a:avLst/>
                    </a:prstGeom>
                    <a:noFill/>
                  </pic:spPr>
                </pic:pic>
              </a:graphicData>
            </a:graphic>
          </wp:inline>
        </w:drawing>
      </w:r>
    </w:p>
    <w:p>
      <w:pPr>
        <w:pStyle w:val="FigureCaption"/>
        <w:rPr/>
      </w:pPr>
      <w:r>
        <w:rPr/>
      </w:r>
      <w:r>
        <w:br w:type="page"/>
      </w:r>
    </w:p>
    <w:p>
      <w:pPr>
        <w:pStyle w:val="Heading2"/>
        <w:rPr/>
      </w:pPr>
      <w:bookmarkStart w:id="39" w:name="__RefHeading___Toc2666_1236825145"/>
      <w:bookmarkEnd w:id="39"/>
      <w:r>
        <w:rPr/>
        <w:t>Figure 3</w:t>
      </w:r>
    </w:p>
    <w:p>
      <w:pPr>
        <w:pStyle w:val="FigureCaption"/>
        <w:rPr/>
      </w:pPr>
      <w:r>
        <w:rPr/>
        <w:drawing>
          <wp:inline distT="0" distB="0" distL="0" distR="0">
            <wp:extent cx="6120130" cy="412305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5"/>
                    <a:stretch>
                      <a:fillRect/>
                    </a:stretch>
                  </pic:blipFill>
                  <pic:spPr bwMode="auto">
                    <a:xfrm>
                      <a:off x="0" y="0"/>
                      <a:ext cx="6120130" cy="4123055"/>
                    </a:xfrm>
                    <a:prstGeom prst="rect">
                      <a:avLst/>
                    </a:prstGeom>
                    <a:noFill/>
                  </pic:spPr>
                </pic:pic>
              </a:graphicData>
            </a:graphic>
          </wp:inline>
        </w:drawing>
      </w:r>
    </w:p>
    <w:p>
      <w:pPr>
        <w:pStyle w:val="FigureCaption"/>
        <w:rPr/>
      </w:pPr>
      <w:r>
        <w:rPr/>
      </w:r>
      <w:r>
        <w:br w:type="page"/>
      </w:r>
    </w:p>
    <w:p>
      <w:pPr>
        <w:pStyle w:val="Heading2"/>
        <w:rPr/>
      </w:pPr>
      <w:bookmarkStart w:id="40" w:name="__RefHeading___Toc2668_1236825145"/>
      <w:bookmarkEnd w:id="40"/>
      <w:r>
        <w:rPr/>
        <w:t>Figure 4</w:t>
      </w:r>
    </w:p>
    <w:p>
      <w:pPr>
        <w:pStyle w:val="FigureCaption"/>
        <w:rPr/>
      </w:pPr>
      <w:r>
        <w:rPr/>
        <w:drawing>
          <wp:inline distT="0" distB="0" distL="0" distR="0">
            <wp:extent cx="6120130" cy="144526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6"/>
                    <a:stretch>
                      <a:fillRect/>
                    </a:stretch>
                  </pic:blipFill>
                  <pic:spPr bwMode="auto">
                    <a:xfrm>
                      <a:off x="0" y="0"/>
                      <a:ext cx="6120130" cy="1445260"/>
                    </a:xfrm>
                    <a:prstGeom prst="rect">
                      <a:avLst/>
                    </a:prstGeom>
                    <a:noFill/>
                  </pic:spPr>
                </pic:pic>
              </a:graphicData>
            </a:graphic>
          </wp:inline>
        </w:drawing>
      </w:r>
    </w:p>
    <w:p>
      <w:pPr>
        <w:pStyle w:val="FigureCaption"/>
        <w:rPr/>
      </w:pPr>
      <w:r>
        <w:rPr/>
      </w:r>
      <w:r>
        <w:br w:type="page"/>
      </w:r>
    </w:p>
    <w:p>
      <w:pPr>
        <w:pStyle w:val="Heading2"/>
        <w:rPr/>
      </w:pPr>
      <w:bookmarkStart w:id="41" w:name="__RefHeading___Toc2670_1236825145"/>
      <w:bookmarkEnd w:id="41"/>
      <w:r>
        <w:rPr/>
        <w:t>Figure 5</w:t>
      </w:r>
    </w:p>
    <w:p>
      <w:pPr>
        <w:pStyle w:val="FigureCaption"/>
        <w:rPr/>
      </w:pPr>
      <w:r>
        <w:rPr/>
        <w:drawing>
          <wp:inline distT="0" distB="0" distL="0" distR="0">
            <wp:extent cx="6102985" cy="328422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7"/>
                    <a:stretch>
                      <a:fillRect/>
                    </a:stretch>
                  </pic:blipFill>
                  <pic:spPr bwMode="auto">
                    <a:xfrm>
                      <a:off x="0" y="0"/>
                      <a:ext cx="6102985" cy="3284220"/>
                    </a:xfrm>
                    <a:prstGeom prst="rect">
                      <a:avLst/>
                    </a:prstGeom>
                    <a:noFill/>
                  </pic:spPr>
                </pic:pic>
              </a:graphicData>
            </a:graphic>
          </wp:inline>
        </w:drawing>
      </w:r>
    </w:p>
    <w:p>
      <w:pPr>
        <w:pStyle w:val="FigureCaption"/>
        <w:rPr/>
      </w:pPr>
      <w:r>
        <w:rPr/>
      </w:r>
      <w:r>
        <w:br w:type="page"/>
      </w:r>
    </w:p>
    <w:p>
      <w:pPr>
        <w:pStyle w:val="Heading2"/>
        <w:rPr/>
      </w:pPr>
      <w:bookmarkStart w:id="42" w:name="__RefHeading___Toc2672_1236825145"/>
      <w:bookmarkEnd w:id="42"/>
      <w:r>
        <w:rPr/>
        <w:t>Figure 6</w:t>
      </w:r>
    </w:p>
    <w:p>
      <w:pPr>
        <w:pStyle w:val="FigureCaption"/>
        <w:rPr/>
      </w:pPr>
      <w:r>
        <w:rPr/>
        <w:drawing>
          <wp:inline distT="0" distB="0" distL="0" distR="0">
            <wp:extent cx="6108700" cy="205041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8"/>
                    <a:stretch>
                      <a:fillRect/>
                    </a:stretch>
                  </pic:blipFill>
                  <pic:spPr bwMode="auto">
                    <a:xfrm>
                      <a:off x="0" y="0"/>
                      <a:ext cx="6108700" cy="2050415"/>
                    </a:xfrm>
                    <a:prstGeom prst="rect">
                      <a:avLst/>
                    </a:prstGeom>
                    <a:noFill/>
                  </pic:spPr>
                </pic:pic>
              </a:graphicData>
            </a:graphic>
          </wp:inline>
        </w:drawing>
      </w:r>
    </w:p>
    <w:p>
      <w:pPr>
        <w:pStyle w:val="FigureCaption"/>
        <w:rPr/>
      </w:pPr>
      <w:r>
        <w:rPr/>
      </w:r>
      <w:r>
        <w:br w:type="page"/>
      </w:r>
    </w:p>
    <w:p>
      <w:pPr>
        <w:pStyle w:val="Heading2"/>
        <w:rPr/>
      </w:pPr>
      <w:bookmarkStart w:id="43" w:name="__RefHeading___Toc2674_1236825145"/>
      <w:bookmarkEnd w:id="43"/>
      <w:r>
        <w:rPr/>
        <w:t>Figure 7</w:t>
      </w:r>
    </w:p>
    <w:p>
      <w:pPr>
        <w:pStyle w:val="FigureCaption"/>
        <w:rPr/>
      </w:pPr>
      <w:r>
        <w:rPr/>
        <w:drawing>
          <wp:inline distT="0" distB="0" distL="0" distR="0">
            <wp:extent cx="6123940" cy="3832860"/>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9"/>
                    <a:stretch>
                      <a:fillRect/>
                    </a:stretch>
                  </pic:blipFill>
                  <pic:spPr bwMode="auto">
                    <a:xfrm>
                      <a:off x="0" y="0"/>
                      <a:ext cx="6123940" cy="3832860"/>
                    </a:xfrm>
                    <a:prstGeom prst="rect">
                      <a:avLst/>
                    </a:prstGeom>
                    <a:noFill/>
                  </pic:spPr>
                </pic:pic>
              </a:graphicData>
            </a:graphic>
          </wp:inline>
        </w:drawing>
      </w:r>
    </w:p>
    <w:p>
      <w:pPr>
        <w:pStyle w:val="FigureCaption"/>
        <w:rPr/>
      </w:pPr>
      <w:r>
        <w:rPr/>
      </w:r>
      <w:r>
        <w:br w:type="page"/>
      </w:r>
    </w:p>
    <w:p>
      <w:pPr>
        <w:pStyle w:val="Heading2"/>
        <w:rPr/>
      </w:pPr>
      <w:bookmarkStart w:id="44" w:name="__RefHeading___Toc2676_1236825145"/>
      <w:bookmarkEnd w:id="44"/>
      <w:r>
        <w:rPr/>
        <w:t>Figure 8</w:t>
      </w:r>
    </w:p>
    <w:p>
      <w:pPr>
        <w:pStyle w:val="FigureCaption"/>
        <w:rPr/>
      </w:pPr>
      <w:r>
        <w:rPr/>
        <w:drawing>
          <wp:inline distT="0" distB="0" distL="0" distR="0">
            <wp:extent cx="6113780" cy="199072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20"/>
                    <a:stretch>
                      <a:fillRect/>
                    </a:stretch>
                  </pic:blipFill>
                  <pic:spPr bwMode="auto">
                    <a:xfrm>
                      <a:off x="0" y="0"/>
                      <a:ext cx="6113780" cy="1990725"/>
                    </a:xfrm>
                    <a:prstGeom prst="rect">
                      <a:avLst/>
                    </a:prstGeom>
                    <a:noFill/>
                  </pic:spPr>
                </pic:pic>
              </a:graphicData>
            </a:graphic>
          </wp:inline>
        </w:drawing>
      </w:r>
    </w:p>
    <w:p>
      <w:pPr>
        <w:pStyle w:val="FigureCaption"/>
        <w:rPr/>
      </w:pPr>
      <w:r>
        <w:rPr/>
      </w:r>
      <w:r>
        <w:br w:type="page"/>
      </w:r>
    </w:p>
    <w:p>
      <w:pPr>
        <w:pStyle w:val="Heading2"/>
        <w:rPr/>
      </w:pPr>
      <w:bookmarkStart w:id="45" w:name="__RefHeading___Toc2678_1236825145"/>
      <w:bookmarkEnd w:id="45"/>
      <w:r>
        <w:rPr/>
        <w:t>Figure 9</w:t>
      </w:r>
    </w:p>
    <w:p>
      <w:pPr>
        <w:pStyle w:val="FigureCaption"/>
        <w:rPr/>
      </w:pPr>
      <w:r>
        <w:rPr/>
        <w:drawing>
          <wp:inline distT="0" distB="0" distL="0" distR="0">
            <wp:extent cx="6132830" cy="5553710"/>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21"/>
                    <a:stretch>
                      <a:fillRect/>
                    </a:stretch>
                  </pic:blipFill>
                  <pic:spPr bwMode="auto">
                    <a:xfrm>
                      <a:off x="0" y="0"/>
                      <a:ext cx="6132830" cy="5553710"/>
                    </a:xfrm>
                    <a:prstGeom prst="rect">
                      <a:avLst/>
                    </a:prstGeom>
                    <a:noFill/>
                  </pic:spPr>
                </pic:pic>
              </a:graphicData>
            </a:graphic>
          </wp:inline>
        </w:drawing>
      </w:r>
    </w:p>
    <w:p>
      <w:pPr>
        <w:pStyle w:val="FigureCaption"/>
        <w:rPr/>
      </w:pPr>
      <w:r>
        <w:rPr/>
      </w:r>
      <w:r>
        <w:br w:type="page"/>
      </w:r>
    </w:p>
    <w:p>
      <w:pPr>
        <w:pStyle w:val="Heading2"/>
        <w:rPr/>
      </w:pPr>
      <w:bookmarkStart w:id="46" w:name="__RefHeading___Toc2680_1236825145"/>
      <w:bookmarkEnd w:id="46"/>
      <w:r>
        <w:rPr/>
        <w:t>Figure 10</w:t>
      </w:r>
    </w:p>
    <w:p>
      <w:pPr>
        <w:pStyle w:val="FigureCaption"/>
        <w:rPr/>
      </w:pPr>
      <w:r>
        <w:rPr/>
        <w:drawing>
          <wp:inline distT="0" distB="0" distL="0" distR="0">
            <wp:extent cx="6108065" cy="4491990"/>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22"/>
                    <a:stretch>
                      <a:fillRect/>
                    </a:stretch>
                  </pic:blipFill>
                  <pic:spPr bwMode="auto">
                    <a:xfrm>
                      <a:off x="0" y="0"/>
                      <a:ext cx="6108065" cy="4491990"/>
                    </a:xfrm>
                    <a:prstGeom prst="rect">
                      <a:avLst/>
                    </a:prstGeom>
                    <a:noFill/>
                  </pic:spPr>
                </pic:pic>
              </a:graphicData>
            </a:graphic>
          </wp:inline>
        </w:drawing>
      </w:r>
    </w:p>
    <w:p>
      <w:pPr>
        <w:pStyle w:val="FigureCaption"/>
        <w:rPr/>
      </w:pPr>
      <w:r>
        <w:rPr/>
      </w:r>
      <w:r>
        <w:br w:type="page"/>
      </w:r>
    </w:p>
    <w:p>
      <w:pPr>
        <w:pStyle w:val="Heading2"/>
        <w:rPr/>
      </w:pPr>
      <w:bookmarkStart w:id="47" w:name="__RefHeading___Toc2682_1236825145"/>
      <w:bookmarkEnd w:id="47"/>
      <w:r>
        <w:rPr/>
        <w:t>Figure 11</w:t>
      </w:r>
    </w:p>
    <w:p>
      <w:pPr>
        <w:pStyle w:val="FigureCaption"/>
        <w:rPr/>
      </w:pPr>
      <w:r>
        <w:rPr/>
        <w:drawing>
          <wp:inline distT="0" distB="0" distL="0" distR="0">
            <wp:extent cx="6109335" cy="4537710"/>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23"/>
                    <a:stretch>
                      <a:fillRect/>
                    </a:stretch>
                  </pic:blipFill>
                  <pic:spPr bwMode="auto">
                    <a:xfrm>
                      <a:off x="0" y="0"/>
                      <a:ext cx="6109335" cy="4537710"/>
                    </a:xfrm>
                    <a:prstGeom prst="rect">
                      <a:avLst/>
                    </a:prstGeom>
                    <a:noFill/>
                  </pic:spPr>
                </pic:pic>
              </a:graphicData>
            </a:graphic>
          </wp:inline>
        </w:drawing>
      </w:r>
    </w:p>
    <w:p>
      <w:pPr>
        <w:pStyle w:val="FigureCaption"/>
        <w:rPr/>
      </w:pPr>
      <w:r>
        <w:rPr/>
      </w:r>
      <w:r>
        <w:br w:type="page"/>
      </w:r>
    </w:p>
    <w:p>
      <w:pPr>
        <w:pStyle w:val="Heading2"/>
        <w:rPr/>
      </w:pPr>
      <w:bookmarkStart w:id="48" w:name="__RefHeading___Toc2684_1236825145"/>
      <w:bookmarkEnd w:id="48"/>
      <w:r>
        <w:rPr/>
        <w:t>Figure 12</w:t>
      </w:r>
    </w:p>
    <w:p>
      <w:pPr>
        <w:pStyle w:val="FigureCaption"/>
        <w:rPr/>
      </w:pPr>
      <w:r>
        <w:rPr/>
        <w:drawing>
          <wp:inline distT="0" distB="0" distL="0" distR="0">
            <wp:extent cx="6102350" cy="4678680"/>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24"/>
                    <a:stretch>
                      <a:fillRect/>
                    </a:stretch>
                  </pic:blipFill>
                  <pic:spPr bwMode="auto">
                    <a:xfrm>
                      <a:off x="0" y="0"/>
                      <a:ext cx="6102350" cy="4678680"/>
                    </a:xfrm>
                    <a:prstGeom prst="rect">
                      <a:avLst/>
                    </a:prstGeom>
                    <a:noFill/>
                  </pic:spPr>
                </pic:pic>
              </a:graphicData>
            </a:graphic>
          </wp:inline>
        </w:drawing>
      </w:r>
    </w:p>
    <w:p>
      <w:pPr>
        <w:pStyle w:val="FigureCaption"/>
        <w:rPr/>
      </w:pPr>
      <w:r>
        <w:rPr/>
      </w:r>
      <w:r>
        <w:br w:type="page"/>
      </w:r>
    </w:p>
    <w:p>
      <w:pPr>
        <w:pStyle w:val="Heading2"/>
        <w:rPr/>
      </w:pPr>
      <w:bookmarkStart w:id="49" w:name="__RefHeading___Toc2686_1236825145"/>
      <w:bookmarkEnd w:id="49"/>
      <w:r>
        <w:rPr/>
        <w:t>Figure 13</w:t>
      </w:r>
    </w:p>
    <w:p>
      <w:pPr>
        <w:pStyle w:val="FigureCaption"/>
        <w:rPr/>
      </w:pPr>
      <w:r>
        <w:rPr/>
        <w:drawing>
          <wp:inline distT="0" distB="0" distL="0" distR="0">
            <wp:extent cx="6097270" cy="5101590"/>
            <wp:effectExtent l="0" t="0" r="0" b="0"/>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25"/>
                    <a:stretch>
                      <a:fillRect/>
                    </a:stretch>
                  </pic:blipFill>
                  <pic:spPr bwMode="auto">
                    <a:xfrm>
                      <a:off x="0" y="0"/>
                      <a:ext cx="6097270" cy="5101590"/>
                    </a:xfrm>
                    <a:prstGeom prst="rect">
                      <a:avLst/>
                    </a:prstGeom>
                    <a:noFill/>
                  </pic:spPr>
                </pic:pic>
              </a:graphicData>
            </a:graphic>
          </wp:inline>
        </w:drawing>
      </w:r>
    </w:p>
    <w:p>
      <w:pPr>
        <w:pStyle w:val="FigureCaption"/>
        <w:rPr/>
      </w:pPr>
      <w:r>
        <w:rPr/>
      </w:r>
      <w:r>
        <w:br w:type="page"/>
      </w:r>
    </w:p>
    <w:p>
      <w:pPr>
        <w:pStyle w:val="Heading2"/>
        <w:rPr/>
      </w:pPr>
      <w:bookmarkStart w:id="50" w:name="__RefHeading___Toc2688_1236825145"/>
      <w:bookmarkEnd w:id="50"/>
      <w:r>
        <w:rPr/>
        <w:t>Figure 14</w:t>
      </w:r>
    </w:p>
    <w:p>
      <w:pPr>
        <w:pStyle w:val="FigureCaption"/>
        <w:rPr/>
      </w:pPr>
      <w:r>
        <w:rPr/>
        <w:drawing>
          <wp:inline distT="0" distB="0" distL="0" distR="0">
            <wp:extent cx="6124575" cy="4580890"/>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26"/>
                    <a:stretch>
                      <a:fillRect/>
                    </a:stretch>
                  </pic:blipFill>
                  <pic:spPr bwMode="auto">
                    <a:xfrm>
                      <a:off x="0" y="0"/>
                      <a:ext cx="6124575" cy="4580890"/>
                    </a:xfrm>
                    <a:prstGeom prst="rect">
                      <a:avLst/>
                    </a:prstGeom>
                    <a:noFill/>
                  </pic:spPr>
                </pic:pic>
              </a:graphicData>
            </a:graphic>
          </wp:inline>
        </w:drawing>
      </w:r>
    </w:p>
    <w:p>
      <w:pPr>
        <w:pStyle w:val="FigureCaption"/>
        <w:rPr/>
      </w:pPr>
      <w:r>
        <w:rPr/>
      </w:r>
      <w:r>
        <w:br w:type="page"/>
      </w:r>
    </w:p>
    <w:p>
      <w:pPr>
        <w:pStyle w:val="Heading2"/>
        <w:rPr/>
      </w:pPr>
      <w:bookmarkStart w:id="51" w:name="__RefHeading___Toc2690_1236825145"/>
      <w:bookmarkEnd w:id="51"/>
      <w:r>
        <w:rPr/>
        <w:t>Figure 15</w:t>
      </w:r>
    </w:p>
    <w:p>
      <w:pPr>
        <w:pStyle w:val="FigureCaption"/>
        <w:rPr/>
      </w:pPr>
      <w:r>
        <w:rPr/>
        <w:drawing>
          <wp:inline distT="0" distB="0" distL="0" distR="0">
            <wp:extent cx="6129020" cy="192722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27"/>
                    <a:stretch>
                      <a:fillRect/>
                    </a:stretch>
                  </pic:blipFill>
                  <pic:spPr bwMode="auto">
                    <a:xfrm>
                      <a:off x="0" y="0"/>
                      <a:ext cx="6129020" cy="1927225"/>
                    </a:xfrm>
                    <a:prstGeom prst="rect">
                      <a:avLst/>
                    </a:prstGeom>
                    <a:noFill/>
                  </pic:spPr>
                </pic:pic>
              </a:graphicData>
            </a:graphic>
          </wp:inline>
        </w:drawing>
      </w:r>
    </w:p>
    <w:p>
      <w:pPr>
        <w:pStyle w:val="FigureCaption"/>
        <w:rPr/>
      </w:pPr>
      <w:r>
        <w:rPr/>
      </w:r>
      <w:r>
        <w:br w:type="page"/>
      </w:r>
    </w:p>
    <w:p>
      <w:pPr>
        <w:pStyle w:val="Heading2"/>
        <w:rPr/>
      </w:pPr>
      <w:bookmarkStart w:id="52" w:name="__RefHeading___Toc2692_1236825145"/>
      <w:bookmarkEnd w:id="52"/>
      <w:r>
        <w:rPr/>
        <w:t>Figure 16</w:t>
      </w:r>
    </w:p>
    <w:p>
      <w:pPr>
        <w:pStyle w:val="FigureCaption"/>
        <w:rPr/>
      </w:pPr>
      <w:r>
        <w:rPr/>
        <w:drawing>
          <wp:inline distT="0" distB="0" distL="0" distR="0">
            <wp:extent cx="6117590" cy="4568825"/>
            <wp:effectExtent l="0" t="0" r="0" b="0"/>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28"/>
                    <a:stretch>
                      <a:fillRect/>
                    </a:stretch>
                  </pic:blipFill>
                  <pic:spPr bwMode="auto">
                    <a:xfrm>
                      <a:off x="0" y="0"/>
                      <a:ext cx="6117590" cy="4568825"/>
                    </a:xfrm>
                    <a:prstGeom prst="rect">
                      <a:avLst/>
                    </a:prstGeom>
                    <a:noFill/>
                  </pic:spPr>
                </pic:pic>
              </a:graphicData>
            </a:graphic>
          </wp:inline>
        </w:drawing>
      </w:r>
    </w:p>
    <w:p>
      <w:pPr>
        <w:pStyle w:val="FigureCaption"/>
        <w:rPr/>
      </w:pPr>
      <w:r>
        <w:rPr/>
      </w:r>
      <w:r>
        <w:br w:type="page"/>
      </w:r>
    </w:p>
    <w:p>
      <w:pPr>
        <w:pStyle w:val="Heading2"/>
        <w:rPr/>
      </w:pPr>
      <w:bookmarkStart w:id="53" w:name="__RefHeading___Toc2694_1236825145"/>
      <w:bookmarkEnd w:id="53"/>
      <w:r>
        <w:rPr/>
        <w:t>Figure 17</w:t>
      </w:r>
    </w:p>
    <w:p>
      <w:pPr>
        <w:pStyle w:val="FigureCaption"/>
        <w:rPr/>
      </w:pPr>
      <w:r>
        <w:rPr/>
        <w:drawing>
          <wp:inline distT="0" distB="0" distL="0" distR="0">
            <wp:extent cx="6120130" cy="6939280"/>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29"/>
                    <a:stretch>
                      <a:fillRect/>
                    </a:stretch>
                  </pic:blipFill>
                  <pic:spPr bwMode="auto">
                    <a:xfrm>
                      <a:off x="0" y="0"/>
                      <a:ext cx="6120130" cy="6939280"/>
                    </a:xfrm>
                    <a:prstGeom prst="rect">
                      <a:avLst/>
                    </a:prstGeom>
                    <a:noFill/>
                  </pic:spPr>
                </pic:pic>
              </a:graphicData>
            </a:graphic>
          </wp:inline>
        </w:drawing>
      </w:r>
    </w:p>
    <w:p>
      <w:pPr>
        <w:pStyle w:val="FigureCaption"/>
        <w:rPr/>
      </w:pPr>
      <w:r>
        <w:rPr/>
      </w:r>
      <w:r>
        <w:br w:type="page"/>
      </w:r>
    </w:p>
    <w:p>
      <w:pPr>
        <w:pStyle w:val="Heading2"/>
        <w:rPr/>
      </w:pPr>
      <w:bookmarkStart w:id="54" w:name="__RefHeading___Toc2696_1236825145"/>
      <w:bookmarkEnd w:id="54"/>
      <w:r>
        <w:rPr/>
        <w:t>Figure 18</w:t>
      </w:r>
    </w:p>
    <w:p>
      <w:pPr>
        <w:pStyle w:val="FigureCaption"/>
        <w:ind w:hanging="0" w:left="0"/>
        <w:rPr/>
      </w:pPr>
      <w:r>
        <w:rPr/>
        <w:drawing>
          <wp:inline distT="0" distB="0" distL="0" distR="0">
            <wp:extent cx="6118860" cy="7519035"/>
            <wp:effectExtent l="0" t="0" r="0" b="0"/>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30"/>
                    <a:stretch>
                      <a:fillRect/>
                    </a:stretch>
                  </pic:blipFill>
                  <pic:spPr bwMode="auto">
                    <a:xfrm>
                      <a:off x="0" y="0"/>
                      <a:ext cx="6118860" cy="7519035"/>
                    </a:xfrm>
                    <a:prstGeom prst="rect">
                      <a:avLst/>
                    </a:prstGeom>
                    <a:noFill/>
                  </pic:spPr>
                </pic:pic>
              </a:graphicData>
            </a:graphic>
          </wp:inline>
        </w:drawing>
      </w:r>
    </w:p>
    <w:p>
      <w:pPr>
        <w:pStyle w:val="FigureCaption"/>
        <w:ind w:hanging="0" w:left="0"/>
        <w:rPr/>
      </w:pPr>
      <w:r>
        <w:rPr/>
      </w:r>
      <w:r>
        <w:br w:type="page"/>
      </w:r>
    </w:p>
    <w:p>
      <w:pPr>
        <w:pStyle w:val="Heading2"/>
        <w:rPr/>
      </w:pPr>
      <w:bookmarkStart w:id="55" w:name="__RefHeading___Toc2698_1236825145"/>
      <w:bookmarkEnd w:id="55"/>
      <w:r>
        <w:rPr/>
        <w:t>Figure 19</w:t>
      </w:r>
    </w:p>
    <w:p>
      <w:pPr>
        <w:pStyle w:val="FigureCaption"/>
        <w:ind w:hanging="0" w:left="0"/>
        <w:rPr/>
      </w:pPr>
      <w:r>
        <w:rPr/>
        <w:drawing>
          <wp:inline distT="0" distB="0" distL="0" distR="0">
            <wp:extent cx="6135370" cy="6391910"/>
            <wp:effectExtent l="0" t="0" r="0" b="0"/>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31"/>
                    <a:stretch>
                      <a:fillRect/>
                    </a:stretch>
                  </pic:blipFill>
                  <pic:spPr bwMode="auto">
                    <a:xfrm>
                      <a:off x="0" y="0"/>
                      <a:ext cx="6135370" cy="6391910"/>
                    </a:xfrm>
                    <a:prstGeom prst="rect">
                      <a:avLst/>
                    </a:prstGeom>
                    <a:noFill/>
                  </pic:spPr>
                </pic:pic>
              </a:graphicData>
            </a:graphic>
          </wp:inline>
        </w:drawing>
      </w:r>
    </w:p>
    <w:p>
      <w:pPr>
        <w:pStyle w:val="FigureCaption"/>
        <w:ind w:hanging="0" w:left="0"/>
        <w:rPr/>
      </w:pPr>
      <w:r>
        <w:rPr/>
      </w:r>
      <w:r>
        <w:br w:type="page"/>
      </w:r>
    </w:p>
    <w:p>
      <w:pPr>
        <w:pStyle w:val="Heading1"/>
        <w:spacing w:before="0" w:after="142"/>
        <w:rPr/>
      </w:pPr>
      <w:bookmarkStart w:id="56" w:name="__RefHeading___Toc25858_1820571732"/>
      <w:bookmarkEnd w:id="56"/>
      <w:r>
        <w:rPr/>
        <w:t>Tables</w:t>
      </w:r>
    </w:p>
    <w:p>
      <w:pPr>
        <w:pStyle w:val="Heading2"/>
        <w:rPr/>
      </w:pPr>
      <w:bookmarkStart w:id="57" w:name="__RefHeading___Toc25860_1820571732"/>
      <w:bookmarkEnd w:id="57"/>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widowControl w:val="false"/>
              <w:suppressLineNumber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widowControl w:val="false"/>
              <w:suppressLineNumber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widowControl w:val="false"/>
              <w:suppressLineNumbers/>
              <w:spacing w:before="0" w:after="113"/>
              <w:rPr/>
            </w:pPr>
            <w:r>
              <w:rPr/>
              <w:t>1890</w:t>
            </w:r>
          </w:p>
        </w:tc>
        <w:tc>
          <w:tcPr>
            <w:tcW w:w="7431" w:type="dxa"/>
            <w:tcBorders/>
          </w:tcPr>
          <w:p>
            <w:pPr>
              <w:pStyle w:val="TableContents"/>
              <w:widowControl w:val="false"/>
              <w:suppressLineNumber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widowControl w:val="false"/>
              <w:suppressLineNumbers/>
              <w:spacing w:before="0" w:after="113"/>
              <w:rPr/>
            </w:pPr>
            <w:r>
              <w:rPr/>
              <w:t>Late August 1898</w:t>
            </w:r>
          </w:p>
        </w:tc>
        <w:tc>
          <w:tcPr>
            <w:tcW w:w="7431" w:type="dxa"/>
            <w:tcBorders/>
          </w:tcPr>
          <w:p>
            <w:pPr>
              <w:pStyle w:val="TableContents"/>
              <w:widowControl w:val="false"/>
              <w:suppressLineNumbers/>
              <w:spacing w:before="0" w:after="113"/>
              <w:rPr/>
            </w:pPr>
            <w:r>
              <w:rPr/>
              <w:t>Marsh sent George Wieland to collect the rest of the skeleton.</w:t>
            </w:r>
          </w:p>
        </w:tc>
      </w:tr>
      <w:tr>
        <w:trPr>
          <w:trHeight w:val="235" w:hRule="atLeast"/>
        </w:trPr>
        <w:tc>
          <w:tcPr>
            <w:tcW w:w="2207" w:type="dxa"/>
            <w:tcBorders/>
          </w:tcPr>
          <w:p>
            <w:pPr>
              <w:pStyle w:val="TableContents"/>
              <w:widowControl w:val="false"/>
              <w:suppressLineNumbers/>
              <w:spacing w:before="0" w:after="113"/>
              <w:rPr/>
            </w:pPr>
            <w:r>
              <w:rPr/>
              <w:t>1899</w:t>
            </w:r>
          </w:p>
        </w:tc>
        <w:tc>
          <w:tcPr>
            <w:tcW w:w="7431" w:type="dxa"/>
            <w:tcBorders/>
          </w:tcPr>
          <w:p>
            <w:pPr>
              <w:pStyle w:val="TableContents"/>
              <w:widowControl w:val="false"/>
              <w:suppressLineNumber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widowControl w:val="false"/>
              <w:suppressLineNumbers/>
              <w:spacing w:before="0" w:after="113"/>
              <w:rPr/>
            </w:pPr>
            <w:r>
              <w:rPr/>
              <w:t>1907</w:t>
            </w:r>
          </w:p>
        </w:tc>
        <w:tc>
          <w:tcPr>
            <w:tcW w:w="7431" w:type="dxa"/>
            <w:tcBorders/>
          </w:tcPr>
          <w:p>
            <w:pPr>
              <w:pStyle w:val="TableContents"/>
              <w:widowControl w:val="false"/>
              <w:suppressLineNumber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widowControl w:val="false"/>
              <w:suppressLineNumbers/>
              <w:spacing w:before="0" w:after="113"/>
              <w:rPr/>
            </w:pPr>
            <w:r>
              <w:rPr/>
              <w:t>Late 1916</w:t>
            </w:r>
          </w:p>
        </w:tc>
        <w:tc>
          <w:tcPr>
            <w:tcW w:w="7431" w:type="dxa"/>
            <w:tcBorders/>
          </w:tcPr>
          <w:p>
            <w:pPr>
              <w:pStyle w:val="TableContents"/>
              <w:widowControl w:val="false"/>
              <w:suppressLineNumber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widowControl w:val="false"/>
              <w:suppressLineNumbers/>
              <w:spacing w:before="0" w:after="113"/>
              <w:rPr/>
            </w:pPr>
            <w:r>
              <w:rPr/>
              <w:t>1917</w:t>
            </w:r>
          </w:p>
        </w:tc>
        <w:tc>
          <w:tcPr>
            <w:tcW w:w="7431" w:type="dxa"/>
            <w:tcBorders/>
          </w:tcPr>
          <w:p>
            <w:pPr>
              <w:pStyle w:val="TableContents"/>
              <w:widowControl w:val="false"/>
              <w:suppressLineNumbers/>
              <w:spacing w:before="0" w:after="113"/>
              <w:rPr/>
            </w:pPr>
            <w:r>
              <w:rPr/>
              <w:t>Lull’s published abstract very briefly described the type specimen.</w:t>
            </w:r>
          </w:p>
        </w:tc>
      </w:tr>
      <w:tr>
        <w:trPr>
          <w:trHeight w:val="235" w:hRule="atLeast"/>
        </w:trPr>
        <w:tc>
          <w:tcPr>
            <w:tcW w:w="2207" w:type="dxa"/>
            <w:tcBorders/>
          </w:tcPr>
          <w:p>
            <w:pPr>
              <w:pStyle w:val="TableContents"/>
              <w:widowControl w:val="false"/>
              <w:suppressLineNumbers/>
              <w:spacing w:before="0" w:after="113"/>
              <w:rPr/>
            </w:pPr>
            <w:r>
              <w:rPr/>
              <w:t>1919</w:t>
            </w:r>
          </w:p>
        </w:tc>
        <w:tc>
          <w:tcPr>
            <w:tcW w:w="7431" w:type="dxa"/>
            <w:tcBorders/>
          </w:tcPr>
          <w:p>
            <w:pPr>
              <w:pStyle w:val="TableContents"/>
              <w:widowControl w:val="false"/>
              <w:suppressLineNumbers/>
              <w:spacing w:before="0" w:after="113"/>
              <w:rPr/>
            </w:pPr>
            <w:r>
              <w:rPr/>
              <w:t>Lull’s detailed monographic description of the type specimen.</w:t>
            </w:r>
          </w:p>
        </w:tc>
      </w:tr>
      <w:tr>
        <w:trPr>
          <w:trHeight w:val="235" w:hRule="atLeast"/>
        </w:trPr>
        <w:tc>
          <w:tcPr>
            <w:tcW w:w="2207" w:type="dxa"/>
            <w:tcBorders/>
          </w:tcPr>
          <w:p>
            <w:pPr>
              <w:pStyle w:val="TableContents"/>
              <w:widowControl w:val="false"/>
              <w:suppressLineNumbers/>
              <w:spacing w:before="0" w:after="113"/>
              <w:rPr/>
            </w:pPr>
            <w:r>
              <w:rPr/>
              <w:t>1922</w:t>
            </w:r>
          </w:p>
        </w:tc>
        <w:tc>
          <w:tcPr>
            <w:tcW w:w="7431" w:type="dxa"/>
            <w:tcBorders/>
          </w:tcPr>
          <w:p>
            <w:pPr>
              <w:pStyle w:val="TableContents"/>
              <w:widowControl w:val="false"/>
              <w:suppressLineNumber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widowControl w:val="false"/>
              <w:suppressLineNumbers/>
              <w:spacing w:before="0" w:after="113"/>
              <w:rPr/>
            </w:pPr>
            <w:r>
              <w:rPr/>
              <w:t>1922–1923</w:t>
            </w:r>
          </w:p>
        </w:tc>
        <w:tc>
          <w:tcPr>
            <w:tcW w:w="7431" w:type="dxa"/>
            <w:tcBorders/>
          </w:tcPr>
          <w:p>
            <w:pPr>
              <w:pStyle w:val="TableContents"/>
              <w:widowControl w:val="false"/>
              <w:suppressLineNumber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widowControl w:val="false"/>
              <w:suppressLineNumbers/>
              <w:spacing w:before="0" w:after="113"/>
              <w:rPr/>
            </w:pPr>
            <w:r>
              <w:rPr/>
              <w:t>1923</w:t>
            </w:r>
          </w:p>
        </w:tc>
        <w:tc>
          <w:tcPr>
            <w:tcW w:w="7431" w:type="dxa"/>
            <w:tcBorders/>
          </w:tcPr>
          <w:p>
            <w:pPr>
              <w:pStyle w:val="TableContents"/>
              <w:widowControl w:val="false"/>
              <w:suppressLineNumbers/>
              <w:spacing w:before="0" w:after="113"/>
              <w:rPr/>
            </w:pPr>
            <w:r>
              <w:rPr/>
              <w:t xml:space="preserve">The neck of #340 was sent to the USNM to provide material for a </w:t>
            </w:r>
            <w:r>
              <w:rPr>
                <w:i/>
                <w:iCs/>
              </w:rPr>
              <w:t>Diplodocus</w:t>
            </w:r>
            <w:r>
              <w:rPr/>
              <w:t xml:space="preserve"> skeletal mount based on the other diplodocine #355 (USNM 10865).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widowControl w:val="false"/>
              <w:suppressLineNumbers/>
              <w:spacing w:before="0" w:after="113"/>
              <w:rPr/>
            </w:pPr>
            <w:r>
              <w:rPr/>
              <w:t>1929</w:t>
            </w:r>
          </w:p>
        </w:tc>
        <w:tc>
          <w:tcPr>
            <w:tcW w:w="7431" w:type="dxa"/>
            <w:tcBorders/>
          </w:tcPr>
          <w:p>
            <w:pPr>
              <w:pStyle w:val="TableContents"/>
              <w:widowControl w:val="false"/>
              <w:suppressLineNumber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widowControl w:val="false"/>
              <w:suppressLineNumbers/>
              <w:spacing w:before="0" w:after="113"/>
              <w:rPr/>
            </w:pPr>
            <w:r>
              <w:rPr/>
              <w:t>1931</w:t>
            </w:r>
          </w:p>
        </w:tc>
        <w:tc>
          <w:tcPr>
            <w:tcW w:w="7431" w:type="dxa"/>
            <w:tcBorders/>
          </w:tcPr>
          <w:p>
            <w:pPr>
              <w:pStyle w:val="TableContents"/>
              <w:widowControl w:val="false"/>
              <w:suppressLineNumber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widowControl w:val="false"/>
              <w:suppressLineNumbers/>
              <w:spacing w:before="0" w:after="113"/>
              <w:rPr/>
            </w:pPr>
            <w:r>
              <w:rPr/>
              <w:t>9 February 1933</w:t>
            </w:r>
          </w:p>
        </w:tc>
        <w:tc>
          <w:tcPr>
            <w:tcW w:w="7431" w:type="dxa"/>
            <w:tcBorders/>
          </w:tcPr>
          <w:p>
            <w:pPr>
              <w:pStyle w:val="TableContents"/>
              <w:widowControl w:val="false"/>
              <w:suppressLineNumber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widowControl w:val="false"/>
              <w:suppressLineNumbers/>
              <w:spacing w:before="0" w:after="113"/>
              <w:rPr/>
            </w:pPr>
            <w:r>
              <w:rPr/>
              <w:t>17 April 1939</w:t>
            </w:r>
          </w:p>
        </w:tc>
        <w:tc>
          <w:tcPr>
            <w:tcW w:w="7431" w:type="dxa"/>
            <w:tcBorders/>
          </w:tcPr>
          <w:p>
            <w:pPr>
              <w:pStyle w:val="TableContents"/>
              <w:widowControl w:val="false"/>
              <w:suppressLineNumbers/>
              <w:spacing w:before="0" w:after="113"/>
              <w:rPr/>
            </w:pPr>
            <w:r>
              <w:rPr/>
              <w:t>The presacral vertebrae, scapulocoracoid and humerus of AMNH 6341 were exhibited in the Hall of Early Dinosaurs.</w:t>
            </w:r>
          </w:p>
        </w:tc>
      </w:tr>
      <w:tr>
        <w:trPr>
          <w:trHeight w:val="246" w:hRule="atLeast"/>
        </w:trPr>
        <w:tc>
          <w:tcPr>
            <w:tcW w:w="2207" w:type="dxa"/>
            <w:tcBorders/>
          </w:tcPr>
          <w:p>
            <w:pPr>
              <w:pStyle w:val="TableContents"/>
              <w:widowControl w:val="false"/>
              <w:suppressLineNumbers/>
              <w:spacing w:before="0" w:after="113"/>
              <w:rPr/>
            </w:pPr>
            <w:r>
              <w:rPr/>
              <w:t>Early 1950s</w:t>
            </w:r>
          </w:p>
        </w:tc>
        <w:tc>
          <w:tcPr>
            <w:tcW w:w="7431" w:type="dxa"/>
            <w:tcBorders/>
          </w:tcPr>
          <w:p>
            <w:pPr>
              <w:pStyle w:val="TableContents"/>
              <w:widowControl w:val="false"/>
              <w:suppressLineNumber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widowControl w:val="false"/>
              <w:suppressLineNumbers/>
              <w:spacing w:before="0" w:after="113"/>
              <w:rPr/>
            </w:pPr>
            <w:r>
              <w:rPr/>
              <w:t>1952</w:t>
            </w:r>
          </w:p>
        </w:tc>
        <w:tc>
          <w:tcPr>
            <w:tcW w:w="7431" w:type="dxa"/>
            <w:tcBorders/>
          </w:tcPr>
          <w:p>
            <w:pPr>
              <w:pStyle w:val="TableContents"/>
              <w:widowControl w:val="false"/>
              <w:suppressLineNumber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widowControl w:val="false"/>
              <w:suppressLineNumbers/>
              <w:spacing w:before="0" w:after="113"/>
              <w:rPr/>
            </w:pPr>
            <w:r>
              <w:rPr/>
              <w:t>8 June, 1957</w:t>
            </w:r>
          </w:p>
        </w:tc>
        <w:tc>
          <w:tcPr>
            <w:tcW w:w="7431" w:type="dxa"/>
            <w:tcBorders/>
          </w:tcPr>
          <w:p>
            <w:pPr>
              <w:pStyle w:val="TableContents"/>
              <w:widowControl w:val="false"/>
              <w:suppressLineNumber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widowControl w:val="false"/>
              <w:suppressLineNumbers/>
              <w:spacing w:before="0" w:after="113"/>
              <w:rPr/>
            </w:pPr>
            <w:r>
              <w:rPr/>
              <w:t>1970</w:t>
            </w:r>
          </w:p>
        </w:tc>
        <w:tc>
          <w:tcPr>
            <w:tcW w:w="7431" w:type="dxa"/>
            <w:tcBorders/>
          </w:tcPr>
          <w:p>
            <w:pPr>
              <w:pStyle w:val="TableContents"/>
              <w:widowControl w:val="false"/>
              <w:suppressLineNumber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widowControl w:val="false"/>
              <w:suppressLineNumbers/>
              <w:spacing w:before="0" w:after="113"/>
              <w:rPr/>
            </w:pPr>
            <w:r>
              <w:rPr/>
              <w:t>1977</w:t>
            </w:r>
          </w:p>
        </w:tc>
        <w:tc>
          <w:tcPr>
            <w:tcW w:w="7431" w:type="dxa"/>
            <w:tcBorders/>
          </w:tcPr>
          <w:p>
            <w:pPr>
              <w:pStyle w:val="TableContents"/>
              <w:widowControl w:val="false"/>
              <w:suppressLineNumbers/>
              <w:spacing w:before="0" w:after="113"/>
              <w:rPr/>
            </w:pPr>
            <w:r>
              <w:rPr/>
              <w:t>Peter May began working with skeletal mounts at the Royal Ontario Museum.</w:t>
            </w:r>
          </w:p>
        </w:tc>
      </w:tr>
      <w:tr>
        <w:trPr>
          <w:trHeight w:val="246" w:hRule="atLeast"/>
        </w:trPr>
        <w:tc>
          <w:tcPr>
            <w:tcW w:w="2207" w:type="dxa"/>
            <w:tcBorders/>
          </w:tcPr>
          <w:p>
            <w:pPr>
              <w:pStyle w:val="TableContents"/>
              <w:widowControl w:val="false"/>
              <w:suppressLineNumbers/>
              <w:spacing w:before="0" w:after="113"/>
              <w:rPr/>
            </w:pPr>
            <w:r>
              <w:rPr/>
              <w:t>1978</w:t>
            </w:r>
          </w:p>
        </w:tc>
        <w:tc>
          <w:tcPr>
            <w:tcW w:w="7431" w:type="dxa"/>
            <w:tcBorders/>
          </w:tcPr>
          <w:p>
            <w:pPr>
              <w:pStyle w:val="TableContents"/>
              <w:widowControl w:val="false"/>
              <w:suppressLineNumber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widowControl w:val="false"/>
              <w:suppressLineNumbers/>
              <w:spacing w:before="0" w:after="113"/>
              <w:rPr/>
            </w:pPr>
            <w:r>
              <w:rPr/>
              <w:t>1986</w:t>
            </w:r>
          </w:p>
        </w:tc>
        <w:tc>
          <w:tcPr>
            <w:tcW w:w="7431" w:type="dxa"/>
            <w:tcBorders/>
          </w:tcPr>
          <w:p>
            <w:pPr>
              <w:pStyle w:val="TableContents"/>
              <w:widowControl w:val="false"/>
              <w:suppressLineNumbers/>
              <w:spacing w:before="0" w:after="113"/>
              <w:rPr/>
            </w:pPr>
            <w:r>
              <w:rPr/>
              <w:t>The AMNH began planning an extensive renovation of its fossil halls.</w:t>
            </w:r>
          </w:p>
        </w:tc>
      </w:tr>
      <w:tr>
        <w:trPr>
          <w:trHeight w:val="246" w:hRule="atLeast"/>
        </w:trPr>
        <w:tc>
          <w:tcPr>
            <w:tcW w:w="2207" w:type="dxa"/>
            <w:tcBorders/>
          </w:tcPr>
          <w:p>
            <w:pPr>
              <w:pStyle w:val="TableContents"/>
              <w:widowControl w:val="false"/>
              <w:suppressLineNumbers/>
              <w:spacing w:before="0" w:after="113"/>
              <w:rPr/>
            </w:pPr>
            <w:r>
              <w:rPr/>
              <w:t>1989</w:t>
            </w:r>
          </w:p>
        </w:tc>
        <w:tc>
          <w:tcPr>
            <w:tcW w:w="7431" w:type="dxa"/>
            <w:tcBorders/>
          </w:tcPr>
          <w:p>
            <w:pPr>
              <w:pStyle w:val="TableContents"/>
              <w:widowControl w:val="false"/>
              <w:suppressLineNumber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w:t>
            </w:r>
          </w:p>
        </w:tc>
      </w:tr>
      <w:tr>
        <w:trPr>
          <w:trHeight w:val="246" w:hRule="atLeast"/>
        </w:trPr>
        <w:tc>
          <w:tcPr>
            <w:tcW w:w="2207" w:type="dxa"/>
            <w:tcBorders/>
          </w:tcPr>
          <w:p>
            <w:pPr>
              <w:pStyle w:val="TableContents"/>
              <w:widowControl w:val="false"/>
              <w:suppressLineNumbers/>
              <w:spacing w:before="0" w:after="113"/>
              <w:rPr/>
            </w:pPr>
            <w:r>
              <w:rPr/>
              <w:t>1990</w:t>
            </w:r>
          </w:p>
        </w:tc>
        <w:tc>
          <w:tcPr>
            <w:tcW w:w="7431" w:type="dxa"/>
            <w:tcBorders/>
          </w:tcPr>
          <w:p>
            <w:pPr>
              <w:pStyle w:val="TableContents"/>
              <w:widowControl w:val="false"/>
              <w:suppressLineNumbers/>
              <w:spacing w:before="0" w:after="113"/>
              <w:rPr/>
            </w:pPr>
            <w:r>
              <w:rPr/>
              <w:t>Peter May went full time with his company Research Casting International (RCI).</w:t>
            </w:r>
          </w:p>
        </w:tc>
      </w:tr>
      <w:tr>
        <w:trPr>
          <w:trHeight w:val="246" w:hRule="atLeast"/>
        </w:trPr>
        <w:tc>
          <w:tcPr>
            <w:tcW w:w="2207" w:type="dxa"/>
            <w:tcBorders/>
          </w:tcPr>
          <w:p>
            <w:pPr>
              <w:pStyle w:val="TableContents"/>
              <w:widowControl w:val="false"/>
              <w:suppressLineNumbers/>
              <w:spacing w:before="0" w:after="113"/>
              <w:rPr/>
            </w:pPr>
            <w:r>
              <w:rPr/>
              <w:t>28 March 1990</w:t>
            </w:r>
          </w:p>
        </w:tc>
        <w:tc>
          <w:tcPr>
            <w:tcW w:w="7431" w:type="dxa"/>
            <w:tcBorders/>
          </w:tcPr>
          <w:p>
            <w:pPr>
              <w:pStyle w:val="TableContents"/>
              <w:widowControl w:val="false"/>
              <w:suppressLineNumbers/>
              <w:spacing w:before="0" w:after="113"/>
              <w:rPr/>
            </w:pPr>
            <w:r>
              <w:rPr/>
              <w:t xml:space="preserve">A formal agreement was made between AMNH and RCI for the project to mount a cast of </w:t>
            </w:r>
            <w:r>
              <w:rPr>
                <w:i/>
                <w:iCs/>
              </w:rPr>
              <w:t>Barosaurus</w:t>
            </w:r>
            <w:r>
              <w:rPr/>
              <w:t xml:space="preserve"> AMNH 6341 along with a juvenile </w:t>
            </w:r>
            <w:r>
              <w:rPr>
                <w:i/>
                <w:iCs/>
              </w:rPr>
              <w:t>Barosaurus</w:t>
            </w:r>
            <w:r>
              <w:rPr/>
              <w:t xml:space="preserve"> and an </w:t>
            </w:r>
            <w:r>
              <w:rPr>
                <w:i/>
                <w:iCs/>
              </w:rPr>
              <w:t>Allosaurus</w:t>
            </w:r>
            <w:r>
              <w:rPr/>
              <w:t>.</w:t>
            </w:r>
          </w:p>
        </w:tc>
      </w:tr>
      <w:tr>
        <w:trPr>
          <w:trHeight w:val="246" w:hRule="atLeast"/>
        </w:trPr>
        <w:tc>
          <w:tcPr>
            <w:tcW w:w="2207" w:type="dxa"/>
            <w:tcBorders/>
          </w:tcPr>
          <w:p>
            <w:pPr>
              <w:pStyle w:val="TableContents"/>
              <w:widowControl w:val="false"/>
              <w:suppressLineNumbers/>
              <w:spacing w:before="0" w:after="113"/>
              <w:rPr/>
            </w:pPr>
            <w:r>
              <w:rPr/>
              <w:t>Fall 1990</w:t>
            </w:r>
          </w:p>
        </w:tc>
        <w:tc>
          <w:tcPr>
            <w:tcW w:w="7431" w:type="dxa"/>
            <w:tcBorders/>
          </w:tcPr>
          <w:p>
            <w:pPr>
              <w:pStyle w:val="TableContents"/>
              <w:widowControl w:val="false"/>
              <w:suppressLineNumber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widowControl w:val="false"/>
              <w:suppressLineNumbers/>
              <w:spacing w:before="0" w:after="113"/>
              <w:rPr/>
            </w:pPr>
            <w:r>
              <w:rPr/>
              <w:t>Late 1990/early 1991</w:t>
            </w:r>
          </w:p>
        </w:tc>
        <w:tc>
          <w:tcPr>
            <w:tcW w:w="7431" w:type="dxa"/>
            <w:tcBorders/>
          </w:tcPr>
          <w:p>
            <w:pPr>
              <w:pStyle w:val="TableContents"/>
              <w:widowControl w:val="false"/>
              <w:suppressLineNumber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widowControl w:val="false"/>
              <w:suppressLineNumbers/>
              <w:spacing w:before="0" w:after="113"/>
              <w:rPr/>
            </w:pPr>
            <w:r>
              <w:rPr/>
              <w:t>Spring 1991</w:t>
            </w:r>
          </w:p>
        </w:tc>
        <w:tc>
          <w:tcPr>
            <w:tcW w:w="7431" w:type="dxa"/>
            <w:tcBorders/>
          </w:tcPr>
          <w:p>
            <w:pPr>
              <w:pStyle w:val="TableContents"/>
              <w:widowControl w:val="false"/>
              <w:suppressLineNumber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widowControl w:val="false"/>
              <w:suppressLineNumbers/>
              <w:spacing w:before="0" w:after="113"/>
              <w:rPr/>
            </w:pPr>
            <w:r>
              <w:rPr/>
              <w:t>Summer 1991</w:t>
            </w:r>
          </w:p>
        </w:tc>
        <w:tc>
          <w:tcPr>
            <w:tcW w:w="7431" w:type="dxa"/>
            <w:tcBorders/>
          </w:tcPr>
          <w:p>
            <w:pPr>
              <w:pStyle w:val="TableContents"/>
              <w:widowControl w:val="false"/>
              <w:suppressLineNumber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widowControl w:val="false"/>
              <w:suppressLineNumbers/>
              <w:spacing w:before="0" w:after="113"/>
              <w:rPr/>
            </w:pPr>
            <w:r>
              <w:rPr/>
              <w:t>November 1991</w:t>
            </w:r>
          </w:p>
        </w:tc>
        <w:tc>
          <w:tcPr>
            <w:tcW w:w="7431" w:type="dxa"/>
            <w:tcBorders/>
          </w:tcPr>
          <w:p>
            <w:pPr>
              <w:pStyle w:val="TableContents"/>
              <w:widowControl w:val="false"/>
              <w:suppressLineNumber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widowControl w:val="false"/>
              <w:suppressLineNumbers/>
              <w:spacing w:before="0" w:after="113"/>
              <w:rPr/>
            </w:pPr>
            <w:r>
              <w:rPr/>
              <w:t>29 November 1991</w:t>
            </w:r>
          </w:p>
        </w:tc>
        <w:tc>
          <w:tcPr>
            <w:tcW w:w="7431" w:type="dxa"/>
            <w:tcBorders/>
          </w:tcPr>
          <w:p>
            <w:pPr>
              <w:pStyle w:val="TableContents"/>
              <w:widowControl w:val="false"/>
              <w:suppressLineNumber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widowControl w:val="false"/>
              <w:suppressLineNumbers/>
              <w:spacing w:before="0" w:after="113"/>
              <w:rPr/>
            </w:pPr>
            <w:r>
              <w:rPr/>
              <w:t>3 December 1991</w:t>
            </w:r>
          </w:p>
        </w:tc>
        <w:tc>
          <w:tcPr>
            <w:tcW w:w="7431" w:type="dxa"/>
            <w:tcBorders/>
          </w:tcPr>
          <w:p>
            <w:pPr>
              <w:pStyle w:val="TableContents"/>
              <w:widowControl w:val="false"/>
              <w:suppressLineNumber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widowControl w:val="false"/>
              <w:suppressLineNumbers/>
              <w:spacing w:before="0" w:after="113"/>
              <w:rPr/>
            </w:pPr>
            <w:r>
              <w:rPr/>
              <w:t>4 December 1991</w:t>
            </w:r>
          </w:p>
        </w:tc>
        <w:tc>
          <w:tcPr>
            <w:tcW w:w="7431" w:type="dxa"/>
            <w:tcBorders/>
          </w:tcPr>
          <w:p>
            <w:pPr>
              <w:pStyle w:val="TableContents"/>
              <w:widowControl w:val="false"/>
              <w:suppressLineNumbers/>
              <w:spacing w:before="0" w:after="113"/>
              <w:rPr/>
            </w:pPr>
            <w:r>
              <w:rPr/>
              <w:t>The exhibit was opened to the public.</w:t>
            </w:r>
          </w:p>
        </w:tc>
      </w:tr>
    </w:tbl>
    <w:p>
      <w:pPr>
        <w:pStyle w:val="BodyText"/>
        <w:spacing w:lineRule="auto" w:line="276" w:before="0" w:after="140"/>
        <w:rPr/>
      </w:pPr>
      <w:r>
        <w:rPr/>
      </w:r>
    </w:p>
    <w:sectPr>
      <w:headerReference w:type="default" r:id="rId32"/>
      <w:type w:val="nextPage"/>
      <w:pgSz w:w="11906" w:h="16838"/>
      <w:pgMar w:left="1134" w:right="1134" w:gutter="0" w:header="1134" w:top="1692" w:footer="0" w:bottom="1134"/>
      <w:lnNumType w:countBy="1" w:restart="continuous" w:distance="283"/>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Gill Sans">
    <w:charset w:val="01"/>
    <w:family w:val="roman"/>
    <w:pitch w:val="variable"/>
  </w:font>
  <w:font w:name="Symbol">
    <w:charset w:val="01"/>
    <w:family w:val="auto"/>
    <w:pitch w:val="variable"/>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ab/>
      <w:t xml:space="preserve">AMNH’s Mounted </w:t>
    </w:r>
    <w:r>
      <w:rPr>
        <w:i/>
        <w:iCs/>
      </w:rPr>
      <w:t>Barosaurus</w:t>
    </w:r>
    <w:r>
      <w:rPr/>
      <w:tab/>
      <w:t>p</w:t>
    </w:r>
    <w:r>
      <w:rPr/>
      <w:fldChar w:fldCharType="begin"/>
    </w:r>
    <w:r>
      <w:rPr/>
      <w:instrText xml:space="preserve"> PAGE </w:instrText>
    </w:r>
    <w:r>
      <w:rPr/>
      <w:fldChar w:fldCharType="separate"/>
    </w:r>
    <w:r>
      <w:rPr/>
      <w:t>80</w:t>
    </w:r>
    <w:r>
      <w:rPr/>
      <w:fldChar w:fldCharType="end"/>
    </w:r>
    <w:r>
      <w:rPr/>
      <w:t>/</w:t>
    </w:r>
    <w:r>
      <w:rPr/>
      <w:fldChar w:fldCharType="begin"/>
    </w:r>
    <w:r>
      <w:rPr/>
      <w:instrText xml:space="preserve"> NUMPAGES </w:instrText>
    </w:r>
    <w:r>
      <w:rPr/>
      <w:fldChar w:fldCharType="separate"/>
    </w:r>
    <w:r>
      <w:rPr/>
      <w:t>80</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3">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4">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7">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8">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doNotBreakWrappedTables/>
    <w:compatSetting w:name="compatibilityMode" w:uri="http://schemas.microsoft.com/office/word" w:val="12"/>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480" w:before="0" w:after="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numPr>
        <w:ilvl w:val="0"/>
        <w:numId w:val="0"/>
      </w:numPr>
      <w:spacing w:before="567" w:after="142"/>
      <w:outlineLvl w:val="0"/>
    </w:pPr>
    <w:rPr>
      <w:bCs/>
      <w:sz w:val="32"/>
      <w:szCs w:val="36"/>
    </w:rPr>
  </w:style>
  <w:style w:type="paragraph" w:styleId="Heading2">
    <w:name w:val="heading 2"/>
    <w:basedOn w:val="Heading"/>
    <w:next w:val="BodyText"/>
    <w:qFormat/>
    <w:pPr>
      <w:numPr>
        <w:ilvl w:val="0"/>
        <w:numId w:val="0"/>
      </w:numPr>
      <w:spacing w:before="198" w:after="119"/>
      <w:outlineLvl w:val="1"/>
    </w:pPr>
    <w:rPr>
      <w:rFonts w:eastAsia="Songti SC"/>
      <w:bCs/>
      <w:sz w:val="26"/>
      <w:szCs w:val="26"/>
    </w:rPr>
  </w:style>
  <w:style w:type="paragraph" w:styleId="Heading3">
    <w:name w:val="heading 3"/>
    <w:basedOn w:val="Heading"/>
    <w:next w:val="BodyText"/>
    <w:qFormat/>
    <w:pPr>
      <w:numPr>
        <w:ilvl w:val="2"/>
        <w:numId w:val="6"/>
      </w:numPr>
      <w:spacing w:before="142" w:after="142"/>
      <w:outlineLvl w:val="2"/>
    </w:pPr>
    <w:rPr>
      <w:bCs/>
      <w:sz w:val="20"/>
      <w:szCs w:val="20"/>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Songti SC"/>
      <w:bCs/>
      <w:sz w:val="24"/>
      <w:szCs w:val="24"/>
    </w:rPr>
  </w:style>
  <w:style w:type="character" w:styleId="DefaultParagraphFont">
    <w:name w:val="Default Paragraph Font"/>
    <w:qFormat/>
    <w:rPr/>
  </w:style>
  <w:style w:type="character" w:styleId="Hyperlink">
    <w:name w:val="Hyperlink"/>
    <w:rPr>
      <w:color w:val="000080"/>
      <w:u w:val="single"/>
    </w:rPr>
  </w:style>
  <w:style w:type="character" w:styleId="FollowedHyperlink">
    <w:name w:val="FollowedHyperlink"/>
    <w:rPr>
      <w:color w:val="800000"/>
      <w:u w:val="single"/>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character" w:styleId="CommentReference">
    <w:name w:val="annotation reference"/>
    <w:basedOn w:val="DefaultParagraphFont"/>
    <w:qFormat/>
    <w:rPr>
      <w:sz w:val="16"/>
      <w:szCs w:val="16"/>
    </w:rPr>
  </w:style>
  <w:style w:type="character" w:styleId="CommentTextChar">
    <w:name w:val="Comment Text Char"/>
    <w:basedOn w:val="DefaultParagraphFont"/>
    <w:link w:val="CommentText"/>
    <w:qFormat/>
    <w:rPr>
      <w:rFonts w:ascii="Baskerville" w:hAnsi="Baskerville" w:cs="Mangal"/>
      <w:szCs w:val="18"/>
    </w:rPr>
  </w:style>
  <w:style w:type="character" w:styleId="CommentSubjectChar">
    <w:name w:val="Comment Subject Char"/>
    <w:basedOn w:val="CommentTextChar"/>
    <w:link w:val="annotationsubject"/>
    <w:qFormat/>
    <w:rPr>
      <w:rFonts w:ascii="Baskerville" w:hAnsi="Baskerville" w:cs="Mangal"/>
      <w:b/>
      <w:bCs/>
      <w:szCs w:val="18"/>
    </w:rPr>
  </w:style>
  <w:style w:type="paragraph" w:styleId="Heading">
    <w:name w:val="Heading"/>
    <w:basedOn w:val="Normal"/>
    <w:next w:val="BodyText"/>
    <w:qFormat/>
    <w:pPr>
      <w:keepNext w:val="true"/>
      <w:spacing w:before="240" w:after="120"/>
    </w:pPr>
    <w:rPr>
      <w:rFonts w:ascii="Gill Sans" w:hAnsi="Gill Sans" w:eastAsia="PingFang SC"/>
      <w:b/>
      <w:sz w:val="28"/>
      <w:szCs w:val="28"/>
    </w:rPr>
  </w:style>
  <w:style w:type="paragraph" w:styleId="BodyText">
    <w:name w:val="Body Text"/>
    <w:basedOn w:val="Normal"/>
    <w:pPr>
      <w:spacing w:lineRule="auto" w:line="480"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name w:val="Index"/>
    <w:basedOn w:val="Normal"/>
    <w:qFormat/>
    <w:pPr>
      <w:suppressLineNumbers/>
    </w:pPr>
    <w:rPr/>
  </w:style>
  <w:style w:type="paragraph" w:styleId="Title">
    <w:name w:val="Title"/>
    <w:basedOn w:val="Heading"/>
    <w:next w:val="BodyText"/>
    <w:qFormat/>
    <w:pPr>
      <w:spacing w:before="238" w:after="119"/>
    </w:pPr>
    <w:rPr>
      <w:bCs/>
      <w:sz w:val="38"/>
      <w:szCs w:val="56"/>
    </w:rPr>
  </w:style>
  <w:style w:type="paragraph" w:styleId="Author">
    <w:name w:val="Author"/>
    <w:basedOn w:val="BodyText"/>
    <w:qFormat/>
    <w:pPr>
      <w:spacing w:before="0" w:after="142"/>
      <w:ind w:hanging="283" w:left="283"/>
    </w:pPr>
    <w:rPr>
      <w:i/>
    </w:rPr>
  </w:style>
  <w:style w:type="paragraph" w:styleId="BlockQuotationuser">
    <w:name w:val="Block Quotation (user)"/>
    <w:basedOn w:val="Normal"/>
    <w:qFormat/>
    <w:pPr>
      <w:spacing w:lineRule="auto" w:line="480" w:before="0" w:after="283"/>
      <w:ind w:left="567" w:right="567"/>
    </w:pPr>
    <w:rPr/>
  </w:style>
  <w:style w:type="paragraph" w:styleId="Abstract">
    <w:name w:val="Abstract"/>
    <w:basedOn w:val="BodyText"/>
    <w:qFormat/>
    <w:pPr>
      <w:spacing w:before="0" w:after="142"/>
      <w:ind w:left="567" w:right="567"/>
    </w:pPr>
    <w:rPr>
      <w:i/>
      <w:iCs/>
    </w:rPr>
  </w:style>
  <w:style w:type="paragraph" w:styleId="toaheading">
    <w:name w:val="toa heading"/>
    <w:basedOn w:val="Heading"/>
    <w:qFormat/>
    <w:pPr>
      <w:pageBreakBefore/>
      <w:suppressLineNumbers/>
    </w:pPr>
    <w:rPr>
      <w:bCs/>
      <w:sz w:val="32"/>
      <w:szCs w:val="32"/>
    </w:rPr>
  </w:style>
  <w:style w:type="paragraph" w:styleId="TOC1">
    <w:name w:val="toc 1"/>
    <w:basedOn w:val="Index"/>
    <w:pPr>
      <w:tabs>
        <w:tab w:val="clear" w:pos="720"/>
        <w:tab w:val="right" w:pos="9638" w:leader="dot"/>
      </w:tabs>
    </w:pPr>
    <w:rPr/>
  </w:style>
  <w:style w:type="paragraph" w:styleId="Reference">
    <w:name w:val="Reference"/>
    <w:basedOn w:val="BodyText"/>
    <w:qFormat/>
    <w:pPr>
      <w:spacing w:before="0" w:after="142"/>
      <w:ind w:hanging="283" w:left="283"/>
    </w:pPr>
    <w:rPr/>
  </w:style>
  <w:style w:type="paragraph" w:styleId="TOC2">
    <w:name w:val="toc 2"/>
    <w:basedOn w:val="Index"/>
    <w:pPr>
      <w:tabs>
        <w:tab w:val="clear" w:pos="720"/>
        <w:tab w:val="right" w:pos="9355" w:leader="dot"/>
      </w:tabs>
      <w:ind w:left="283"/>
    </w:pPr>
    <w:rPr/>
  </w:style>
  <w:style w:type="paragraph" w:styleId="FigureCaption">
    <w:name w:val="Figure Caption"/>
    <w:basedOn w:val="BodyText"/>
    <w:qFormat/>
    <w:pPr>
      <w:spacing w:before="0" w:after="142"/>
      <w:ind w:hanging="283" w:left="283"/>
    </w:pPr>
    <w:rPr/>
  </w:style>
  <w:style w:type="paragraph" w:styleId="TOC3">
    <w:name w:val="toc 3"/>
    <w:basedOn w:val="Index"/>
    <w:pPr>
      <w:tabs>
        <w:tab w:val="clear" w:pos="720"/>
        <w:tab w:val="right" w:pos="9072" w:leader="dot"/>
      </w:tabs>
      <w:ind w:left="566"/>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rPr>
      <w:b/>
      <w:bCs/>
    </w:rPr>
  </w:style>
  <w:style w:type="paragraph" w:styleId="Header">
    <w:name w:val="header"/>
    <w:basedOn w:val="HeaderandFooter"/>
    <w:pPr>
      <w:suppressLineNumbers/>
    </w:pPr>
    <w:rPr>
      <w:smallCaps/>
    </w:rPr>
  </w:style>
  <w:style w:type="paragraph" w:styleId="CommentText">
    <w:name w:val="annotation text"/>
    <w:basedOn w:val="Normal"/>
    <w:link w:val="CommentTextChar"/>
    <w:pPr/>
    <w:rPr>
      <w:rFonts w:cs="Mangal"/>
      <w:sz w:val="20"/>
      <w:szCs w:val="18"/>
    </w:rPr>
  </w:style>
  <w:style w:type="paragraph" w:styleId="annotationsubject">
    <w:name w:val="annotation subject"/>
    <w:basedOn w:val="CommentText"/>
    <w:next w:val="CommentText"/>
    <w:link w:val="CommentSubjectChar"/>
    <w:qFormat/>
    <w:pPr/>
    <w:rPr>
      <w:b/>
      <w:bCs/>
    </w:rPr>
  </w:style>
  <w:style w:type="paragraph" w:styleId="Revision">
    <w:name w:val="Revision"/>
    <w:qFormat/>
    <w:pPr>
      <w:widowControl/>
      <w:suppressAutoHyphens w:val="false"/>
      <w:kinsoku w:val="true"/>
      <w:overflowPunct w:val="true"/>
      <w:autoSpaceDE w:val="true"/>
      <w:bidi w:val="0"/>
      <w:spacing w:before="0" w:after="0"/>
      <w:jc w:val="left"/>
    </w:pPr>
    <w:rPr>
      <w:rFonts w:ascii="Baskerville" w:hAnsi="Baskerville" w:eastAsia="Songti SC" w:cs="Mangal"/>
      <w:color w:val="auto"/>
      <w:kern w:val="2"/>
      <w:sz w:val="24"/>
      <w:szCs w:val="21"/>
      <w:lang w:val="en-GB" w:eastAsia="zh-CN" w:bidi="hi-IN"/>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rebrickable.com/mocs/MOC-154998/Ambrosino/21320-barosaurus-skeleton/" TargetMode="External"/><Relationship Id="rId3" Type="http://schemas.openxmlformats.org/officeDocument/2006/relationships/hyperlink" Target="https://babel.hathitrust.org/cgi/pt?id=coo.31924080776994" TargetMode="External"/><Relationship Id="rId4" Type="http://schemas.openxmlformats.org/officeDocument/2006/relationships/hyperlink" Target="https://archiveswest.orbiscascade.org/ark:80444/xv14910" TargetMode="External"/><Relationship Id="rId5" Type="http://schemas.openxmlformats.org/officeDocument/2006/relationships/hyperlink" Target="https://doi.org/10.2475/ajs.s3-39.229.81" TargetMode="External"/><Relationship Id="rId6" Type="http://schemas.openxmlformats.org/officeDocument/2006/relationships/hyperlink" Target="http://hdl.handle.net/2246/6497" TargetMode="External"/><Relationship Id="rId7" Type="http://schemas.openxmlformats.org/officeDocument/2006/relationships/hyperlink" Target="https://doi.org/10.1130/GSAB-30-379" TargetMode="External"/><Relationship Id="rId8" Type="http://schemas.openxmlformats.org/officeDocument/2006/relationships/hyperlink" Target="https://doi.org/10.1127/pala/284/2008/69" TargetMode="External"/><Relationship Id="rId9" Type="http://schemas.openxmlformats.org/officeDocument/2006/relationships/hyperlink" Target="https://dinotoyblog.com/" TargetMode="External"/><Relationship Id="rId10" Type="http://schemas.openxmlformats.org/officeDocument/2006/relationships/hyperlink" Target="https://github.com/miketaylor/palaeo-superbaro" TargetMode="External"/><Relationship Id="rId11" Type="http://schemas.openxmlformats.org/officeDocument/2006/relationships/hyperlink" Target="https://doi.org/10.7717/peerj.857" TargetMode="External"/><Relationship Id="rId12" Type="http://schemas.openxmlformats.org/officeDocument/2006/relationships/hyperlink" Target="https://naturalhistory.si.edu/sites/default/files/media/translated_publications/Young%26amp%3BZhao_72.pdf" TargetMode="External"/><Relationship Id="rId13" Type="http://schemas.openxmlformats.org/officeDocument/2006/relationships/image" Target="media/image1.jpeg"/><Relationship Id="rId14" Type="http://schemas.openxmlformats.org/officeDocument/2006/relationships/image" Target="media/image2.jpeg"/><Relationship Id="rId15" Type="http://schemas.openxmlformats.org/officeDocument/2006/relationships/image" Target="media/image3.jpeg"/><Relationship Id="rId16" Type="http://schemas.openxmlformats.org/officeDocument/2006/relationships/image" Target="media/image4.jpeg"/><Relationship Id="rId17" Type="http://schemas.openxmlformats.org/officeDocument/2006/relationships/image" Target="media/image5.jpeg"/><Relationship Id="rId18" Type="http://schemas.openxmlformats.org/officeDocument/2006/relationships/image" Target="media/image6.jpeg"/><Relationship Id="rId19" Type="http://schemas.openxmlformats.org/officeDocument/2006/relationships/image" Target="media/image7.jpeg"/><Relationship Id="rId20" Type="http://schemas.openxmlformats.org/officeDocument/2006/relationships/image" Target="media/image8.jpeg"/><Relationship Id="rId21" Type="http://schemas.openxmlformats.org/officeDocument/2006/relationships/image" Target="media/image9.jpeg"/><Relationship Id="rId22" Type="http://schemas.openxmlformats.org/officeDocument/2006/relationships/image" Target="media/image10.jpeg"/><Relationship Id="rId23" Type="http://schemas.openxmlformats.org/officeDocument/2006/relationships/image" Target="media/image11.jpeg"/><Relationship Id="rId24" Type="http://schemas.openxmlformats.org/officeDocument/2006/relationships/image" Target="media/image12.jpeg"/><Relationship Id="rId25" Type="http://schemas.openxmlformats.org/officeDocument/2006/relationships/image" Target="media/image13.jpeg"/><Relationship Id="rId26" Type="http://schemas.openxmlformats.org/officeDocument/2006/relationships/image" Target="media/image14.jpeg"/><Relationship Id="rId27" Type="http://schemas.openxmlformats.org/officeDocument/2006/relationships/image" Target="media/image15.jpeg"/><Relationship Id="rId28" Type="http://schemas.openxmlformats.org/officeDocument/2006/relationships/image" Target="media/image16.jpeg"/><Relationship Id="rId29" Type="http://schemas.openxmlformats.org/officeDocument/2006/relationships/image" Target="media/image17.jpeg"/><Relationship Id="rId30" Type="http://schemas.openxmlformats.org/officeDocument/2006/relationships/image" Target="media/image18.jpeg"/><Relationship Id="rId31" Type="http://schemas.openxmlformats.org/officeDocument/2006/relationships/image" Target="media/image19.jpeg"/><Relationship Id="rId32" Type="http://schemas.openxmlformats.org/officeDocument/2006/relationships/header" Target="header1.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737</TotalTime>
  <Application>LibreOffice/26.2.0.3$MacOSX_AARCH64 LibreOffice_project/afbbd0df0edb6d40b450b0337ac646b0913a760c</Application>
  <AppVersion>15.0000</AppVersion>
  <Pages>80</Pages>
  <Words>17782</Words>
  <Characters>93402</Characters>
  <CharactersWithSpaces>110675</CharactersWithSpaces>
  <Paragraphs>449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2026-07-30T15:50:00Z</dcterms:created>
  <dc:creator>Mike Taylor</dc:creator>
  <dc:description/>
  <dc:language>en-GB</dc:language>
  <cp:lastModifiedBy>Mike Taylor</cp:lastModifiedBy>
  <dcterms:modified xsi:type="dcterms:W3CDTF">2026-08-21T00:39:09Z</dcterms:modified>
  <cp:revision>57</cp:revision>
  <dc:subject/>
  <dc:title/>
</cp:coreProperties>
</file>

<file path=docProps/custom.xml><?xml version="1.0" encoding="utf-8"?>
<Properties xmlns="http://schemas.openxmlformats.org/officeDocument/2006/custom-properties" xmlns:vt="http://schemas.openxmlformats.org/officeDocument/2006/docPropsVTypes"/>
</file>