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i w:val="false"/>
          <w:iCs w:val="false"/>
        </w:rPr>
        <w:t xml:space="preserve"> in the American Museum of Natural History</w:t>
      </w:r>
    </w:p>
    <w:p>
      <w:pPr>
        <w:pStyle w:val="Author"/>
        <w:rPr/>
      </w:pPr>
      <w:r>
        <w:rPr/>
      </w:r>
    </w:p>
    <w:p>
      <w:pPr>
        <w:pStyle w:val="Author"/>
        <w:rPr/>
      </w:pPr>
      <w:r>
        <w:rPr>
          <w:b/>
          <w:bCs/>
          <w:i w:val="false"/>
          <w:iCs w:val="false"/>
        </w:rPr>
        <w:t>Michael P. Taylor.</w:t>
      </w:r>
      <w:r>
        <w:rPr>
          <w:i w:val="false"/>
          <w:iCs w:val="false"/>
        </w:rPr>
        <w:t xml:space="preserve"> Department of Earth Sciences, University of Bristol, Bristol BS8 1RJ, UK. </w:t>
      </w:r>
      <w:hyperlink r:id="rId2">
        <w:r>
          <w:rPr>
            <w:rStyle w:val="Hyperlink"/>
            <w:i w:val="false"/>
            <w:iCs w:val="false"/>
          </w:rPr>
          <w:t>dino@miketaylor.org.uk</w:t>
        </w:r>
      </w:hyperlink>
      <w:r>
        <w:rPr>
          <w:i w:val="false"/>
          <w:iCs w:val="false"/>
        </w:rPr>
        <w:t xml:space="preserve"> (corresponding author)</w:t>
      </w:r>
    </w:p>
    <w:p>
      <w:pPr>
        <w:pStyle w:val="Author"/>
        <w:rPr/>
      </w:pPr>
      <w:r>
        <w:rPr>
          <w:b/>
          <w:bCs/>
          <w:i w:val="false"/>
          <w:iCs w:val="false"/>
        </w:rPr>
        <w:t>Peter May.</w:t>
      </w:r>
      <w:r>
        <w:rPr>
          <w:i w:val="false"/>
          <w:iCs w:val="false"/>
        </w:rPr>
        <w:t xml:space="preserve"> Research Casting International, 15 Dufferin Ave, Trenton, Ontaria K8V 5C8, Canada. </w:t>
      </w:r>
      <w:hyperlink r:id="rId3">
        <w:r>
          <w:rPr>
            <w:rStyle w:val="Hyperlink"/>
            <w:i w:val="false"/>
            <w:iCs w:val="false"/>
          </w:rPr>
          <w:t>pmay@rescast.com</w:t>
        </w:r>
      </w:hyperlink>
    </w:p>
    <w:p>
      <w:pPr>
        <w:pStyle w:val="Author"/>
        <w:rPr/>
      </w:pPr>
      <w:r>
        <w:rPr>
          <w:b/>
          <w:bCs/>
          <w:i w:val="false"/>
          <w:iCs w:val="false"/>
        </w:rPr>
        <w:t>Lowell Dingus.</w:t>
      </w:r>
      <w:r>
        <w:rPr>
          <w:i w:val="false"/>
          <w:iCs w:val="false"/>
        </w:rPr>
        <w:t xml:space="preserve"> Division of Paleontology, American Museum of Natural History, New York, New York, USA. </w:t>
      </w:r>
      <w:hyperlink r:id="rId4">
        <w:r>
          <w:rPr>
            <w:rStyle w:val="Hyperlink"/>
            <w:i w:val="false"/>
            <w:iCs w:val="false"/>
          </w:rPr>
          <w:t>dinglowell@gmail.com</w:t>
        </w:r>
      </w:hyperlink>
    </w:p>
    <w:p>
      <w:pPr>
        <w:pStyle w:val="Author"/>
        <w:rPr/>
      </w:pPr>
      <w:r>
        <w:rPr>
          <w:b/>
          <w:bCs/>
          <w:i w:val="false"/>
          <w:iCs w:val="false"/>
        </w:rPr>
        <w:t>Eugene S. Gaffney.</w:t>
      </w:r>
      <w:r>
        <w:rPr>
          <w:b w:val="false"/>
          <w:bCs w:val="false"/>
          <w:i w:val="false"/>
          <w:iCs w:val="false"/>
        </w:rPr>
        <w:t xml:space="preserve"> </w:t>
      </w:r>
      <w:bookmarkStart w:id="0" w:name="__DdeLink__2703_3823776798"/>
      <w:r>
        <w:rPr>
          <w:b w:val="false"/>
          <w:bCs w:val="false"/>
          <w:i w:val="false"/>
          <w:iCs w:val="false"/>
        </w:rPr>
        <w:t xml:space="preserve">Division of Paleontology, American Museum of Natural History, New York, New York, USA. </w:t>
      </w:r>
      <w:hyperlink r:id="rId5">
        <w:r>
          <w:rPr>
            <w:rStyle w:val="Hyperlink"/>
            <w:b w:val="false"/>
            <w:bCs w:val="false"/>
            <w:i w:val="false"/>
            <w:iCs w:val="false"/>
          </w:rPr>
          <w:t>genegaffney373@comcast.net</w:t>
        </w:r>
      </w:hyperlink>
      <w:bookmarkEnd w:id="0"/>
    </w:p>
    <w:p>
      <w:pPr>
        <w:pStyle w:val="Author"/>
        <w:rPr/>
      </w:pPr>
      <w:r>
        <w:rPr>
          <w:b/>
          <w:bCs/>
          <w:i w:val="false"/>
          <w:iCs w:val="false"/>
        </w:rPr>
        <w:t xml:space="preserve">Mark A. Norell. </w:t>
      </w:r>
      <w:r>
        <w:rPr>
          <w:b w:val="false"/>
          <w:bCs w:val="false"/>
          <w:i w:val="false"/>
          <w:iCs w:val="false"/>
        </w:rPr>
        <w:t>Division of Paleontology, American Museum of Natural History, New York, New York, USA.</w:t>
      </w:r>
    </w:p>
    <w:p>
      <w:pPr>
        <w:pStyle w:val="Author"/>
        <w:rPr/>
      </w:pPr>
      <w:r>
        <w:rPr>
          <w:b/>
          <w:bCs/>
          <w:i w:val="false"/>
          <w:iCs w:val="false"/>
        </w:rPr>
        <w:t>John S. McIntosh</w:t>
      </w:r>
      <w:r>
        <w:rPr>
          <w:rFonts w:eastAsia="Baskerville" w:cs="Baskerville"/>
          <w:b/>
          <w:bCs/>
          <w:i w:val="false"/>
          <w:iCs w:val="false"/>
        </w:rPr>
        <w:t>†.</w:t>
      </w:r>
      <w:r>
        <w:rPr>
          <w:i w:val="false"/>
          <w:iCs w:val="false"/>
        </w:rPr>
        <w:t xml:space="preserve"> Foss Professor of Physics, emeritus, Wesleyan University, Middletown, Connecticut, USA (deceased, December 13, 2015).</w:t>
      </w:r>
    </w:p>
    <w:p>
      <w:pPr>
        <w:pStyle w:val="Author"/>
        <w:rPr>
          <w:i w:val="false"/>
          <w:iCs w:val="false"/>
        </w:rPr>
      </w:pPr>
      <w:r>
        <w:rPr>
          <w:i w:val="false"/>
          <w:iCs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pPr>
      <w:r>
        <w:rPr>
          <w:i w:val="false"/>
          <w:iCs w:val="false"/>
        </w:rPr>
        <w:t>XXX to follow. Make sure that the purpose of the mount is clearly stated.</w:t>
      </w:r>
    </w:p>
    <w:p>
      <w:pPr>
        <w:pStyle w:val="Abstract"/>
        <w:rPr/>
      </w:pPr>
      <w:r>
        <w:rPr>
          <w:b/>
          <w:bCs/>
          <w:i w:val="false"/>
          <w:iCs w:val="false"/>
        </w:rPr>
        <w:t>Keywords:</w:t>
      </w:r>
      <w:r>
        <w:rPr>
          <w:i w:val="false"/>
          <w:iCs w:val="false"/>
        </w:rPr>
        <w:t xml:space="preserve"> </w:t>
      </w:r>
      <w:r>
        <w:rPr>
          <w:i/>
          <w:iCs/>
        </w:rPr>
        <w:t>Barosaurus</w:t>
      </w:r>
      <w:r>
        <w:rPr>
          <w:i w:val="false"/>
          <w:iCs w:val="false"/>
        </w:rPr>
        <w:t>, sauropod, neck, rearing, skeletal mount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3784_1986291683">
            <w:r>
              <w:rPr>
                <w:rStyle w:val="IndexLink"/>
              </w:rPr>
              <w:t>Introduction</w:t>
            </w:r>
            <w:r>
              <w:rPr>
                <w:rStyle w:val="IndexLink"/>
              </w:rPr>
              <w:tab/>
              <w:t>2</w:t>
            </w:r>
          </w:hyperlink>
        </w:p>
        <w:p>
          <w:pPr>
            <w:pStyle w:val="TOC2"/>
            <w:tabs>
              <w:tab w:val="clear" w:pos="9355"/>
              <w:tab w:val="right" w:pos="9637" w:leader="dot"/>
            </w:tabs>
            <w:rPr/>
          </w:pPr>
          <w:hyperlink w:anchor="__RefHeading___Toc3323_2187837281">
            <w:r>
              <w:rPr>
                <w:rStyle w:val="IndexLink"/>
              </w:rPr>
              <w:t>Anatomical nomenclature</w:t>
              <w:tab/>
              <w:t>3</w:t>
            </w:r>
          </w:hyperlink>
        </w:p>
        <w:p>
          <w:pPr>
            <w:pStyle w:val="TOC2"/>
            <w:tabs>
              <w:tab w:val="clear" w:pos="9355"/>
              <w:tab w:val="right" w:pos="9637" w:leader="dot"/>
            </w:tabs>
            <w:rPr/>
          </w:pPr>
          <w:hyperlink w:anchor="__RefHeading___Toc5349_68767826">
            <w:r>
              <w:rPr>
                <w:rStyle w:val="IndexLink"/>
              </w:rPr>
              <w:t>Institutional abbreviations</w:t>
              <w:tab/>
              <w:t>3</w:t>
            </w:r>
          </w:hyperlink>
        </w:p>
        <w:p>
          <w:pPr>
            <w:pStyle w:val="TOC1"/>
            <w:tabs>
              <w:tab w:val="clear" w:pos="9638"/>
              <w:tab w:val="right" w:pos="9637" w:leader="dot"/>
            </w:tabs>
            <w:rPr/>
          </w:pPr>
          <w:hyperlink w:anchor="__RefHeading___Toc4316_68767826">
            <w:r>
              <w:rPr>
                <w:rStyle w:val="IndexLink"/>
              </w:rPr>
              <w:t>Historical background</w:t>
              <w:tab/>
              <w:t>3</w:t>
            </w:r>
          </w:hyperlink>
        </w:p>
        <w:p>
          <w:pPr>
            <w:pStyle w:val="TOC2"/>
            <w:tabs>
              <w:tab w:val="clear" w:pos="9355"/>
              <w:tab w:val="right" w:pos="9637" w:leader="dot"/>
            </w:tabs>
            <w:rPr/>
          </w:pPr>
          <w:hyperlink w:anchor="__RefHeading___Toc12350_68767826">
            <w:r>
              <w:rPr>
                <w:rStyle w:val="IndexLink"/>
              </w:rPr>
              <w:t xml:space="preserve">Early discoveries of </w:t>
            </w:r>
            <w:r>
              <w:rPr>
                <w:rStyle w:val="IndexLink"/>
                <w:i/>
                <w:iCs/>
              </w:rPr>
              <w:t>Barosaurus</w:t>
            </w:r>
            <w:r>
              <w:rPr>
                <w:rStyle w:val="IndexLink"/>
              </w:rPr>
              <w:tab/>
              <w:t>3</w:t>
            </w:r>
          </w:hyperlink>
        </w:p>
        <w:p>
          <w:pPr>
            <w:pStyle w:val="TOC2"/>
            <w:tabs>
              <w:tab w:val="clear" w:pos="9355"/>
              <w:tab w:val="right" w:pos="9637" w:leader="dot"/>
            </w:tabs>
            <w:rPr/>
          </w:pPr>
          <w:hyperlink w:anchor="__RefHeading___Toc12352_68767826">
            <w:r>
              <w:rPr>
                <w:rStyle w:val="IndexLink"/>
              </w:rPr>
              <w:t xml:space="preserve">The AMNH specimen of </w:t>
            </w:r>
            <w:r>
              <w:rPr>
                <w:rStyle w:val="IndexLink"/>
                <w:i/>
                <w:iCs/>
              </w:rPr>
              <w:t>Barosaurus</w:t>
            </w:r>
            <w:r>
              <w:rPr>
                <w:rStyle w:val="IndexLink"/>
              </w:rPr>
              <w:tab/>
              <w:t>4</w:t>
            </w:r>
          </w:hyperlink>
        </w:p>
        <w:p>
          <w:pPr>
            <w:pStyle w:val="TOC1"/>
            <w:tabs>
              <w:tab w:val="clear" w:pos="9638"/>
              <w:tab w:val="right" w:pos="9637" w:leader="dot"/>
            </w:tabs>
            <w:rPr/>
          </w:pPr>
          <w:hyperlink w:anchor="__RefHeading___Toc5351_68767826">
            <w:r>
              <w:rPr>
                <w:rStyle w:val="IndexLink"/>
              </w:rPr>
              <w:t xml:space="preserve">The AMNH mounted </w:t>
            </w:r>
            <w:r>
              <w:rPr>
                <w:rStyle w:val="IndexLink"/>
                <w:i/>
                <w:iCs/>
              </w:rPr>
              <w:t>Barosaurus</w:t>
            </w:r>
            <w:r>
              <w:rPr>
                <w:rStyle w:val="IndexLink"/>
              </w:rPr>
              <w:tab/>
              <w:t>5</w:t>
            </w:r>
          </w:hyperlink>
        </w:p>
        <w:p>
          <w:pPr>
            <w:pStyle w:val="TOC2"/>
            <w:tabs>
              <w:tab w:val="clear" w:pos="9355"/>
              <w:tab w:val="right" w:pos="9637" w:leader="dot"/>
            </w:tabs>
            <w:rPr/>
          </w:pPr>
          <w:hyperlink w:anchor="__RefHeading___Toc5354_68767826">
            <w:r>
              <w:rPr>
                <w:rStyle w:val="IndexLink"/>
              </w:rPr>
              <w:t>The conception of the mount</w:t>
              <w:tab/>
              <w:t>5</w:t>
            </w:r>
          </w:hyperlink>
        </w:p>
        <w:p>
          <w:pPr>
            <w:pStyle w:val="TOC2"/>
            <w:tabs>
              <w:tab w:val="clear" w:pos="9355"/>
              <w:tab w:val="right" w:pos="9637" w:leader="dot"/>
            </w:tabs>
            <w:rPr/>
          </w:pPr>
          <w:hyperlink w:anchor="__RefHeading___Toc1099_1709072779">
            <w:r>
              <w:rPr>
                <w:rStyle w:val="IndexLink"/>
                <w:i w:val="false"/>
                <w:iCs w:val="false"/>
              </w:rPr>
              <w:t>The purpose of the mount</w:t>
            </w:r>
            <w:r>
              <w:rPr>
                <w:rStyle w:val="IndexLink"/>
              </w:rPr>
              <w:tab/>
              <w:t>7</w:t>
            </w:r>
          </w:hyperlink>
        </w:p>
        <w:p>
          <w:pPr>
            <w:pStyle w:val="TOC2"/>
            <w:tabs>
              <w:tab w:val="clear" w:pos="9355"/>
              <w:tab w:val="right" w:pos="9637" w:leader="dot"/>
            </w:tabs>
            <w:rPr/>
          </w:pPr>
          <w:hyperlink w:anchor="__RefHeading___Toc18297_68767826">
            <w:r>
              <w:rPr>
                <w:rStyle w:val="IndexLink"/>
              </w:rPr>
              <w:t>The creation of the mount</w:t>
              <w:tab/>
              <w:t>7</w:t>
            </w:r>
          </w:hyperlink>
        </w:p>
        <w:p>
          <w:pPr>
            <w:pStyle w:val="TOC2"/>
            <w:tabs>
              <w:tab w:val="clear" w:pos="9355"/>
              <w:tab w:val="right" w:pos="9637" w:leader="dot"/>
            </w:tabs>
            <w:rPr/>
          </w:pPr>
          <w:hyperlink w:anchor="__RefHeading___Toc5632_2187837281">
            <w:r>
              <w:rPr>
                <w:rStyle w:val="IndexLink"/>
              </w:rPr>
              <w:t>Photography of the mount</w:t>
              <w:tab/>
              <w:t>10</w:t>
            </w:r>
          </w:hyperlink>
        </w:p>
        <w:p>
          <w:pPr>
            <w:pStyle w:val="TOC2"/>
            <w:tabs>
              <w:tab w:val="clear" w:pos="9355"/>
              <w:tab w:val="right" w:pos="9637" w:leader="dot"/>
            </w:tabs>
            <w:rPr/>
          </w:pPr>
          <w:hyperlink w:anchor="__RefHeading___Toc5356_68767826">
            <w:r>
              <w:rPr>
                <w:rStyle w:val="IndexLink"/>
              </w:rPr>
              <w:t>The composition of the mount</w:t>
              <w:tab/>
              <w:t>10</w:t>
            </w:r>
          </w:hyperlink>
        </w:p>
        <w:p>
          <w:pPr>
            <w:pStyle w:val="TOC3"/>
            <w:tabs>
              <w:tab w:val="clear" w:pos="9072"/>
              <w:tab w:val="right" w:pos="9637" w:leader="dot"/>
            </w:tabs>
            <w:rPr/>
          </w:pPr>
          <w:hyperlink w:anchor="__RefHeading___Toc16585_68767826">
            <w:r>
              <w:rPr>
                <w:rStyle w:val="IndexLink"/>
              </w:rPr>
              <w:t>Overview</w:t>
              <w:tab/>
              <w:t>10</w:t>
            </w:r>
          </w:hyperlink>
        </w:p>
        <w:p>
          <w:pPr>
            <w:pStyle w:val="TOC3"/>
            <w:tabs>
              <w:tab w:val="clear" w:pos="9072"/>
              <w:tab w:val="right" w:pos="9637" w:leader="dot"/>
            </w:tabs>
            <w:rPr/>
          </w:pPr>
          <w:hyperlink w:anchor="__RefHeading___Toc4995_537823704">
            <w:r>
              <w:rPr>
                <w:rStyle w:val="IndexLink"/>
                <w:i/>
                <w:iCs/>
              </w:rPr>
              <w:t>Barosaurus</w:t>
            </w:r>
            <w:r>
              <w:rPr>
                <w:rStyle w:val="IndexLink"/>
              </w:rPr>
              <w:t xml:space="preserve"> material in the mount</w:t>
              <w:tab/>
              <w:t>10</w:t>
            </w:r>
          </w:hyperlink>
        </w:p>
        <w:p>
          <w:pPr>
            <w:pStyle w:val="TOC3"/>
            <w:tabs>
              <w:tab w:val="clear" w:pos="9072"/>
              <w:tab w:val="right" w:pos="9637" w:leader="dot"/>
            </w:tabs>
            <w:rPr/>
          </w:pPr>
          <w:hyperlink w:anchor="__RefHeading___Toc16587_68767826">
            <w:r>
              <w:rPr>
                <w:rStyle w:val="IndexLink"/>
              </w:rPr>
              <w:t>Skull</w:t>
              <w:tab/>
              <w:t>12</w:t>
            </w:r>
          </w:hyperlink>
        </w:p>
        <w:p>
          <w:pPr>
            <w:pStyle w:val="TOC3"/>
            <w:tabs>
              <w:tab w:val="clear" w:pos="9072"/>
              <w:tab w:val="right" w:pos="9637" w:leader="dot"/>
            </w:tabs>
            <w:rPr/>
          </w:pPr>
          <w:hyperlink w:anchor="__RefHeading___Toc16589_68767826">
            <w:r>
              <w:rPr>
                <w:rStyle w:val="IndexLink"/>
              </w:rPr>
              <w:t>Neck</w:t>
              <w:tab/>
              <w:t>12</w:t>
            </w:r>
          </w:hyperlink>
        </w:p>
        <w:p>
          <w:pPr>
            <w:pStyle w:val="TOC3"/>
            <w:tabs>
              <w:tab w:val="clear" w:pos="9072"/>
              <w:tab w:val="right" w:pos="9637" w:leader="dot"/>
            </w:tabs>
            <w:rPr/>
          </w:pPr>
          <w:hyperlink w:anchor="__RefHeading___Toc2466_2187837281">
            <w:r>
              <w:rPr>
                <w:rStyle w:val="IndexLink"/>
              </w:rPr>
              <w:t>Torso, sacrum and tail</w:t>
              <w:tab/>
              <w:t>13</w:t>
            </w:r>
          </w:hyperlink>
        </w:p>
        <w:p>
          <w:pPr>
            <w:pStyle w:val="TOC3"/>
            <w:tabs>
              <w:tab w:val="clear" w:pos="9072"/>
              <w:tab w:val="right" w:pos="9637" w:leader="dot"/>
            </w:tabs>
            <w:rPr/>
          </w:pPr>
          <w:hyperlink w:anchor="__RefHeading___Toc2470_2187837281">
            <w:r>
              <w:rPr>
                <w:rStyle w:val="IndexLink"/>
              </w:rPr>
              <w:t>Forelimbs and girdles</w:t>
              <w:tab/>
              <w:t>13</w:t>
            </w:r>
          </w:hyperlink>
        </w:p>
        <w:p>
          <w:pPr>
            <w:pStyle w:val="TOC3"/>
            <w:tabs>
              <w:tab w:val="clear" w:pos="9072"/>
              <w:tab w:val="right" w:pos="9637" w:leader="dot"/>
            </w:tabs>
            <w:rPr/>
          </w:pPr>
          <w:hyperlink w:anchor="__RefHeading___Toc2472_2187837281">
            <w:r>
              <w:rPr>
                <w:rStyle w:val="IndexLink"/>
              </w:rPr>
              <w:t>Hindlimbs and girdles</w:t>
              <w:tab/>
              <w:t>13</w:t>
            </w:r>
          </w:hyperlink>
        </w:p>
        <w:p>
          <w:pPr>
            <w:pStyle w:val="TOC1"/>
            <w:tabs>
              <w:tab w:val="clear" w:pos="9638"/>
              <w:tab w:val="right" w:pos="9637" w:leader="dot"/>
            </w:tabs>
            <w:rPr/>
          </w:pPr>
          <w:hyperlink w:anchor="__RefHeading___Toc3401_68767826">
            <w:r>
              <w:rPr>
                <w:rStyle w:val="IndexLink"/>
              </w:rPr>
              <w:t>Discussion</w:t>
              <w:tab/>
              <w:t>14</w:t>
            </w:r>
          </w:hyperlink>
        </w:p>
        <w:p>
          <w:pPr>
            <w:pStyle w:val="TOC2"/>
            <w:tabs>
              <w:tab w:val="clear" w:pos="9355"/>
              <w:tab w:val="right" w:pos="9637" w:leader="dot"/>
            </w:tabs>
            <w:rPr/>
          </w:pPr>
          <w:hyperlink w:anchor="__RefHeading___Toc2476_2187837281">
            <w:r>
              <w:rPr>
                <w:rStyle w:val="IndexLink"/>
              </w:rPr>
              <w:t>Rearing pose</w:t>
              <w:tab/>
              <w:t>14</w:t>
            </w:r>
          </w:hyperlink>
        </w:p>
        <w:p>
          <w:pPr>
            <w:pStyle w:val="TOC2"/>
            <w:tabs>
              <w:tab w:val="clear" w:pos="9355"/>
              <w:tab w:val="right" w:pos="9637" w:leader="dot"/>
            </w:tabs>
            <w:rPr/>
          </w:pPr>
          <w:hyperlink w:anchor="__RefHeading___Toc3786_1986291683">
            <w:r>
              <w:rPr>
                <w:rStyle w:val="IndexLink"/>
              </w:rPr>
              <w:t>A short history of a rearing sauropods</w:t>
              <w:tab/>
              <w:t>15</w:t>
            </w:r>
          </w:hyperlink>
        </w:p>
        <w:p>
          <w:pPr>
            <w:pStyle w:val="TOC2"/>
            <w:tabs>
              <w:tab w:val="clear" w:pos="9355"/>
              <w:tab w:val="right" w:pos="9637" w:leader="dot"/>
            </w:tabs>
            <w:rPr/>
          </w:pPr>
          <w:hyperlink w:anchor="__RefHeading___Toc11689_675290491">
            <w:r>
              <w:rPr>
                <w:rStyle w:val="IndexLink"/>
              </w:rPr>
              <w:t>Cultural impact</w:t>
              <w:tab/>
              <w:t>17</w:t>
            </w:r>
          </w:hyperlink>
        </w:p>
        <w:p>
          <w:pPr>
            <w:pStyle w:val="TOC2"/>
            <w:tabs>
              <w:tab w:val="clear" w:pos="9355"/>
              <w:tab w:val="right" w:pos="9637" w:leader="dot"/>
            </w:tabs>
            <w:rPr/>
          </w:pPr>
          <w:hyperlink w:anchor="__RefHeading___Toc21934_68767826">
            <w:r>
              <w:rPr>
                <w:rStyle w:val="IndexLink"/>
              </w:rPr>
              <w:t>Size of the AMNH 6341 animal</w:t>
              <w:tab/>
              <w:t>17</w:t>
            </w:r>
          </w:hyperlink>
        </w:p>
        <w:p>
          <w:pPr>
            <w:pStyle w:val="TOC1"/>
            <w:tabs>
              <w:tab w:val="clear" w:pos="9638"/>
              <w:tab w:val="right" w:pos="9637" w:leader="dot"/>
            </w:tabs>
            <w:rPr/>
          </w:pPr>
          <w:hyperlink w:anchor="__RefHeading___Toc3403_68767826">
            <w:r>
              <w:rPr>
                <w:rStyle w:val="IndexLink"/>
              </w:rPr>
              <w:t>Acknowledgements</w:t>
              <w:tab/>
              <w:t>18</w:t>
            </w:r>
          </w:hyperlink>
        </w:p>
        <w:p>
          <w:pPr>
            <w:pStyle w:val="TOC1"/>
            <w:tabs>
              <w:tab w:val="clear" w:pos="9638"/>
              <w:tab w:val="right" w:pos="9637" w:leader="dot"/>
            </w:tabs>
            <w:rPr/>
          </w:pPr>
          <w:hyperlink w:anchor="__RefHeading___Toc3405_68767826">
            <w:r>
              <w:rPr>
                <w:rStyle w:val="IndexLink"/>
              </w:rPr>
              <w:t>References</w:t>
              <w:tab/>
              <w:t>18</w:t>
            </w:r>
          </w:hyperlink>
        </w:p>
        <w:p>
          <w:pPr>
            <w:pStyle w:val="TOC1"/>
            <w:tabs>
              <w:tab w:val="clear" w:pos="9638"/>
              <w:tab w:val="right" w:pos="9637" w:leader="dot"/>
            </w:tabs>
            <w:rPr/>
          </w:pPr>
          <w:hyperlink w:anchor="__RefHeading___Toc3407_68767826">
            <w:r>
              <w:rPr>
                <w:rStyle w:val="IndexLink"/>
              </w:rPr>
              <w:t>Figure Captions</w:t>
              <w:tab/>
              <w:t>22</w:t>
            </w:r>
          </w:hyperlink>
          <w:r>
            <w:rPr>
              <w:rStyle w:val="IndexLink"/>
            </w:rPr>
            <w:fldChar w:fldCharType="end"/>
          </w:r>
        </w:p>
      </w:sdtContent>
    </w:sdt>
    <w:p>
      <w:pPr>
        <w:pStyle w:val="BodyText"/>
        <w:spacing w:lineRule="auto" w:line="276" w:before="0" w:after="140"/>
        <w:rPr>
          <w:i/>
          <w:iCs/>
        </w:rPr>
      </w:pPr>
      <w:r>
        <w:rPr>
          <w:i/>
          <w:iCs/>
        </w:rPr>
      </w:r>
    </w:p>
    <w:p>
      <w:pPr>
        <w:pStyle w:val="Heading1"/>
        <w:rPr/>
      </w:pPr>
      <w:bookmarkStart w:id="1" w:name="__RefHeading___Toc3784_1986291683"/>
      <w:bookmarkEnd w:id="1"/>
      <w:r>
        <w:rPr/>
        <w:t>Introduction</w:t>
      </w:r>
    </w:p>
    <w:p>
      <w:pPr>
        <w:pStyle w:val="BodyText"/>
        <w:spacing w:lineRule="auto" w:line="276" w:before="0" w:after="140"/>
        <w:rPr/>
      </w:pPr>
      <w:r>
        <w:rPr>
          <w:i/>
          <w:iCs/>
        </w:rPr>
        <w:t>Barosaurus</w:t>
      </w:r>
      <w:r>
        <w:rPr/>
        <w:t xml:space="preserve"> is a diplodocid sauropod from the Late Jurassic of North America, found in the extensive Morrison Formation of the western states.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A).</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and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scaling was calculated and how the pose was decided on, and summarize the controversy generated by the mount.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rFonts w:eastAsia="Songti SC" w:cs="Arial Unicode MS"/>
          <w:color w:val="auto"/>
          <w:kern w:val="2"/>
          <w:sz w:val="24"/>
          <w:szCs w:val="24"/>
          <w:lang w:val="en-GB" w:eastAsia="zh-CN" w:bidi="hi-IN"/>
        </w:rPr>
        <w:t xml:space="preserve">We follow McIntosh’s (2005) interpretation of the presacral vertebrae of </w:t>
      </w:r>
      <w:r>
        <w:rPr>
          <w:rFonts w:eastAsia="Songti SC" w:cs="Arial Unicode MS"/>
          <w:i/>
          <w:iCs/>
          <w:color w:val="auto"/>
          <w:kern w:val="2"/>
          <w:sz w:val="24"/>
          <w:szCs w:val="24"/>
          <w:lang w:val="en-GB" w:eastAsia="zh-CN" w:bidi="hi-IN"/>
        </w:rPr>
        <w:t>Barosaurus</w:t>
      </w:r>
      <w:r>
        <w:rPr>
          <w:rFonts w:eastAsia="Songti SC" w:cs="Arial Unicode MS"/>
          <w:color w:val="auto"/>
          <w:kern w:val="2"/>
          <w:sz w:val="24"/>
          <w:szCs w:val="24"/>
          <w:lang w:val="en-GB" w:eastAsia="zh-CN" w:bidi="hi-IN"/>
        </w:rPr>
        <w:t xml:space="preserve"> consisting of 16 cervicals and nine dorsals, rather then 15 and 10 as in </w:t>
      </w:r>
      <w:r>
        <w:rPr>
          <w:rFonts w:eastAsia="Songti SC" w:cs="Arial Unicode MS"/>
          <w:i/>
          <w:iCs/>
          <w:color w:val="auto"/>
          <w:kern w:val="2"/>
          <w:sz w:val="24"/>
          <w:szCs w:val="24"/>
          <w:lang w:val="en-GB" w:eastAsia="zh-CN" w:bidi="hi-IN"/>
        </w:rPr>
        <w:t>Diplodocus</w:t>
      </w:r>
      <w:r>
        <w:rPr>
          <w:rFonts w:eastAsia="Songti SC" w:cs="Arial Unicode MS"/>
          <w:color w:val="auto"/>
          <w:kern w:val="2"/>
          <w:sz w:val="24"/>
          <w:szCs w:val="24"/>
          <w:lang w:val="en-GB" w:eastAsia="zh-CN" w:bidi="hi-IN"/>
        </w:rPr>
        <w:t>.</w:t>
      </w:r>
    </w:p>
    <w:p>
      <w:pPr>
        <w:pStyle w:val="Heading2"/>
        <w:rPr/>
      </w:pPr>
      <w:bookmarkStart w:id="3" w:name="__RefHeading___Toc5349_68767826"/>
      <w:bookmarkEnd w:id="3"/>
      <w:r>
        <w:rPr/>
        <w:t>Institutional abbreviations</w:t>
      </w:r>
    </w:p>
    <w:p>
      <w:pPr>
        <w:pStyle w:val="BodyText"/>
        <w:numPr>
          <w:ilvl w:val="0"/>
          <w:numId w:val="4"/>
        </w:numPr>
        <w:ind w:hanging="360" w:left="720" w:right="0"/>
        <w:rPr/>
      </w:pPr>
      <w:r>
        <w:rPr/>
        <w:t>AMNH — American Museum of Natural History, New York, New York, USA.</w:t>
      </w:r>
    </w:p>
    <w:p>
      <w:pPr>
        <w:pStyle w:val="BodyText"/>
        <w:numPr>
          <w:ilvl w:val="0"/>
          <w:numId w:val="4"/>
        </w:numPr>
        <w:ind w:hanging="360" w:left="720" w:right="0"/>
        <w:rPr/>
      </w:pPr>
      <w:r>
        <w:rPr/>
        <w:t>CM — Carnegie Museum of Natural History, Pittsburgh, Pennsylvania, USA.</w:t>
      </w:r>
    </w:p>
    <w:p>
      <w:pPr>
        <w:pStyle w:val="BodyText"/>
        <w:numPr>
          <w:ilvl w:val="0"/>
          <w:numId w:val="4"/>
        </w:numPr>
        <w:ind w:hanging="360" w:left="720" w:right="0"/>
        <w:rPr/>
      </w:pPr>
      <w:r>
        <w:rPr/>
        <w:t>HMNS — Houston Museum of Nature and Science, Houston, Texas, USA.</w:t>
      </w:r>
    </w:p>
    <w:p>
      <w:pPr>
        <w:pStyle w:val="BodyText"/>
        <w:numPr>
          <w:ilvl w:val="0"/>
          <w:numId w:val="4"/>
        </w:numPr>
        <w:ind w:hanging="360" w:left="720" w:right="0"/>
        <w:rPr/>
      </w:pPr>
      <w:r>
        <w:rPr/>
        <w:t>MfN — Museum für Naturkunde Berlin, Berlin, Germany; specimen numbers for fossil reptiles take the form MB.R.</w:t>
      </w:r>
      <w:r>
        <w:rPr>
          <w:i/>
          <w:iCs/>
        </w:rPr>
        <w:t>nnnn</w:t>
      </w:r>
      <w:r>
        <w:rPr/>
        <w:t>.</w:t>
      </w:r>
    </w:p>
    <w:p>
      <w:pPr>
        <w:pStyle w:val="BodyText"/>
        <w:numPr>
          <w:ilvl w:val="0"/>
          <w:numId w:val="4"/>
        </w:numPr>
        <w:ind w:hanging="360" w:left="720" w:right="0"/>
        <w:rPr/>
      </w:pPr>
      <w:r>
        <w:rPr/>
        <w:t>USNM – United States National Museum, Washington, D.C., USA.</w:t>
      </w:r>
    </w:p>
    <w:p>
      <w:pPr>
        <w:pStyle w:val="BodyText"/>
        <w:numPr>
          <w:ilvl w:val="0"/>
          <w:numId w:val="4"/>
        </w:numPr>
        <w:ind w:hanging="360" w:left="720" w:right="0"/>
        <w:rPr/>
      </w:pPr>
      <w:r>
        <w:rPr/>
        <w:t>YPM — Yale Peabody Museum, New Haven, Connecticut, USA.</w:t>
      </w:r>
    </w:p>
    <w:p>
      <w:pPr>
        <w:pStyle w:val="Heading1"/>
        <w:numPr>
          <w:ilvl w:val="0"/>
          <w:numId w:val="2"/>
        </w:numPr>
        <w:ind w:hanging="0" w:left="0" w:right="0"/>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of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when excavated,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It would subsequently be mounted in the Carnegie Museum in 1913, and described in detail by Gilmore (1936).]</w:t>
      </w:r>
    </w:p>
    <w:p>
      <w:pPr>
        <w:pStyle w:val="BodyText"/>
        <w:rPr/>
      </w:pPr>
      <w:r>
        <w:rPr/>
        <w:t>As Douglass and his colleagues excavation, it quickly became apparent that there were many more dinosaurs in the rock. Excavating these fossils now became Douglass’s full-time job (Figure Q). The Carnegie Quarry, as it was named, would become one of the most fruitful in palaeontological history. The Museum funded the excavations for 13 years, shipping 700,000 lb of material to Pittsburgh (Gilmore 1936:170) —  318 tonnes.</w:t>
      </w:r>
    </w:p>
    <w:p>
      <w:pPr>
        <w:pStyle w:val="BodyText"/>
        <w:rPr/>
      </w:pPr>
      <w:r>
        <w:rPr/>
        <w:t xml:space="preserve">By 1922 the Museum had more fossils from this locality than it could use. Douglas Stewart, Holland’s successor as Director of the Carnegie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Smithsonian to excavate (Stewart 1922a).</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1922b).]</w:t>
      </w:r>
    </w:p>
    <w:p>
      <w:pPr>
        <w:pStyle w:val="BodyText"/>
        <w:rPr/>
      </w:pPr>
      <w:r>
        <w:rPr/>
        <w:t xml:space="preserve">On 11 November, Merrill wrote to Earl Douglass requesting technical and logistical information and Douglass replied on 22 November (Douglass 1922b) with a long and helpful letter explaining how two sauropod skeletons, both thought to be </w:t>
      </w:r>
      <w:r>
        <w:rPr>
          <w:i/>
          <w:iCs/>
        </w:rPr>
        <w:t>Diplodocus</w:t>
      </w:r>
      <w:r>
        <w:rPr/>
        <w:t xml:space="preserve">, were positioned — #355 and #340, the former lying partly above the latter (Figure P); and stating that blocks containing most of the neck of #340 had been taken out of the quarry. </w:t>
      </w:r>
    </w:p>
    <w:p>
      <w:pPr>
        <w:pStyle w:val="BodyText"/>
        <w:rPr/>
      </w:pPr>
      <w:r>
        <w:rPr/>
        <w:t xml:space="preserve">By the end of the 1922 season, “all but two skeletons — those of </w:t>
      </w:r>
      <w:r>
        <w:rPr>
          <w:i/>
          <w:iCs/>
        </w:rPr>
        <w:t>Diplodocus</w:t>
      </w:r>
      <w:r>
        <w:rPr/>
        <w:t xml:space="preserve"> — were removed” (Douglass 1923). Douglass listed 10 skeletons that had been partly or completely taken out during the year. Among those listed was “No. 340 — </w:t>
      </w:r>
      <w:r>
        <w:rPr>
          <w:i/>
          <w:iCs/>
        </w:rPr>
        <w:t>Diplodocus</w:t>
      </w:r>
      <w:r>
        <w:rPr/>
        <w:t>. Apparently nearly complete skeleton but only neck taken out. The remainder still in the ledge” (Douglass 1922c). Work by the Carnegie crew finished on 1 January 1923 (Osborn 1923).</w:t>
      </w:r>
    </w:p>
    <w:p>
      <w:pPr>
        <w:pStyle w:val="BodyText"/>
        <w:rPr/>
      </w:pPr>
      <w:r>
        <w:rPr/>
        <w:t>Charles W. Gilmore arrived at the quarry on 14 May 1923 to work it for the USNM and was shown around by Douglass, who was about to leave for Colorado (Gilmore 1923</w:t>
      </w:r>
      <w:r>
        <w:rPr/>
        <w:t>b</w:t>
      </w:r>
      <w:r>
        <w:rPr/>
        <w:t xml:space="preserve">). Gilmore inherited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Douglass handed over to Gilmore four large blocks and several smaller ones containing much of the neck of #340, which had been extracted from the quarry as noted above but not prepared out. It was Gilmore’s intention to extract #355 (the most complete of the two) for the USNM, then secure the parts of #340 necessary to complete the skeleton (Gilmore 1923</w:t>
      </w:r>
      <w:r>
        <w:rPr/>
        <w:t>b</w:t>
      </w:r>
      <w:r>
        <w:rPr/>
        <w:t xml:space="preserve">). (#355 was subsequently accessioned as USNM 10865 and mounted in Washington D.C, where it remains in the public gallery to this day; missing elements were supplied as plaster casts by the Carnegie Museum). </w:t>
      </w:r>
    </w:p>
    <w:p>
      <w:pPr>
        <w:pStyle w:val="BodyText"/>
        <w:rPr/>
      </w:pPr>
      <w:r>
        <w:rPr/>
        <w:t>On 8 August 1923, Gilmore wrote briefly to Ravenel to say that work in the quarry was complete and the extracted blocks would be shipped to the USNM soon after 19 August (Gilmore 1923a), and send a more comprehensive report in 30 August (Gilmore 1923b). In 1924, all excavation at the quarry ended.</w:t>
      </w:r>
    </w:p>
    <w:p>
      <w:pPr>
        <w:pStyle w:val="BodyText"/>
        <w:rPr/>
      </w:pPr>
      <w:r>
        <w:rPr/>
        <w:t>USNM’s only interest in #340 was apparently in using elements of the skeleton to complete #355 for a gallery mount (Gilmore 1923b:1), so only the cervical</w:t>
      </w:r>
      <w:r>
        <w:rPr/>
        <w:t>s</w:t>
      </w:r>
      <w:r>
        <w:rPr/>
        <w:t xml:space="preserve">, three anterior dorsals, </w:t>
      </w:r>
      <w:r>
        <w:rPr/>
        <w:t xml:space="preserve">right </w:t>
      </w:r>
      <w:r>
        <w:rPr/>
        <w:t>scapul</w:t>
      </w:r>
      <w:r>
        <w:rPr/>
        <w:t xml:space="preserve">a, </w:t>
      </w:r>
      <w:r>
        <w:rPr/>
        <w:t xml:space="preserve">humerus </w:t>
      </w:r>
      <w:r>
        <w:rPr/>
        <w:t xml:space="preserve">and radius </w:t>
      </w:r>
      <w:r>
        <w:rPr/>
        <w:t xml:space="preserve">were sent there (Gilmore 1923b:3). Another block belonging to this specimen was shipped to the Carnegie Museum with the intention that it would be turned over to the USNM once bones of another individual were extracted from it. (Gilmore 1923b:1). This block probably contained the “nine or ten vertebrae” of the tail </w:t>
      </w:r>
      <w:r>
        <w:rPr/>
        <w:t xml:space="preserve">later </w:t>
      </w:r>
      <w:r>
        <w:rPr/>
        <w:t>mentioned by Brown (1929) as being part of this specimen.</w:t>
      </w:r>
    </w:p>
    <w:p>
      <w:pPr>
        <w:pStyle w:val="BodyText"/>
        <w:rPr/>
      </w:pPr>
      <w:r>
        <w:rPr/>
        <w:t>XXXXX segue into next bit. Reconcile McIntosh 2005 with Gilmore 1923b and Brown 1929 quoted in Dingus 1996.</w:t>
      </w:r>
    </w:p>
    <w:p>
      <w:pPr>
        <w:pStyle w:val="BodyText"/>
        <w:rPr/>
      </w:pPr>
      <w:r>
        <w:rPr/>
        <w:t xml:space="preserve">The other, designated #340 and thought at that time also to be </w:t>
      </w:r>
      <w:r>
        <w:rPr>
          <w:i/>
          <w:iCs/>
        </w:rPr>
        <w:t>Diplodocus,</w:t>
      </w:r>
      <w:r>
        <w:rPr/>
        <w:t xml:space="preserve"> was destined to go with Douglass to the University of Utah, though to further complicate matters nine or ten caudal vertebrae were sent to the Carnegie Museum. However, when it became clear that the USNM </w:t>
      </w:r>
      <w:r>
        <w:rPr>
          <w:i/>
          <w:iCs/>
        </w:rPr>
        <w:t>Diplodocus</w:t>
      </w:r>
      <w:r>
        <w:rPr/>
        <w:t xml:space="preserve"> lacked a neck, it was arranged to supplement this material with the neck, anterior dorsals and scapulocoracoid and humerus from the University of Utah specimen. This left the skeleton now spread across three institutions in Salt Lake City, Pittsburgh, and Washington, D.C. It is perhaps for this reason that, although the rest of this specimen was excavated, sent to the University of Utah and prepared, it was never mounted. Meanwhile, the neck that had been sent to Washington, D.C. proved when prepared not to belong to </w:t>
      </w:r>
      <w:r>
        <w:rPr>
          <w:i/>
          <w:iCs/>
        </w:rPr>
        <w:t>Diplodocus</w:t>
      </w:r>
      <w:r>
        <w:rPr/>
        <w:t xml:space="preserve"> after all but to </w:t>
      </w:r>
      <w:r>
        <w:rPr>
          <w:i/>
          <w:iCs/>
        </w:rPr>
        <w:t>Barosaurus</w:t>
      </w:r>
      <w:r>
        <w:rPr/>
        <w:t xml:space="preserve"> (Gilmore 1932:4). It was therefore not used after all in the mount of USNM 10865, which was instead completed with casts of the Carnegie </w:t>
      </w:r>
      <w:r>
        <w:rPr>
          <w:i/>
          <w:iCs/>
        </w:rPr>
        <w:t>Diplodocus</w:t>
      </w:r>
      <w:r>
        <w:rPr/>
        <w:t xml:space="preserve"> CM 84 and unveiled in 1932 (Gilmore 1932).</w:t>
      </w:r>
    </w:p>
    <w:p>
      <w:pPr>
        <w:pStyle w:val="BodyText"/>
        <w:rPr/>
      </w:pPr>
      <w:r>
        <w:rPr/>
        <w:t xml:space="preserve">In 1929, Barnum Brown, acting for the American Museum of Natural History, visited most of the nation’s major natural history museums to assess their collections. He realised that the neck, anterior torso, scapulocoracoid and humerus at the USNM, and the tail segment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the University of Utah made a cash-plus-fossils deal in which they were paid $2,500 cash plus the equivalent value in fossil mammal specimens (Brown 1929). The reunited skeleton was given the specimen number AMNH 6341. (See Norell et al. 1991:36–38, Dingus 1996:21–22, McIntosh 2005:42–43).</w:t>
      </w:r>
    </w:p>
    <w:p>
      <w:pPr>
        <w:pStyle w:val="BodyText"/>
        <w:rPr/>
      </w:pPr>
      <w:r>
        <w:rPr/>
        <w:t>XXX though contrast with Brown’s 1929 material list with that of Gilmore (1923b:3).</w:t>
      </w:r>
    </w:p>
    <w:p>
      <w:pPr>
        <w:pStyle w:val="BodyText"/>
        <w:rPr/>
      </w:pPr>
      <w:r>
        <w:rPr/>
        <w:t>XXX “The skull and two or three of the anterior cervicals of no. 340 had been detached and were not in place” — Douglass 1922b:3.</w:t>
      </w:r>
    </w:p>
    <w:p>
      <w:pPr>
        <w:pStyle w:val="BodyText"/>
        <w:rPr/>
      </w:pPr>
      <w:r>
        <w:rPr/>
        <w:t>XXX “13 cervical vertebrae” reported in #340 — Gilmore 1923b:3.</w:t>
      </w:r>
    </w:p>
    <w:p>
      <w:pPr>
        <w:pStyle w:val="BodyText"/>
        <w:rPr/>
      </w:pPr>
      <w:r>
        <w:rPr/>
        <w:t xml:space="preserve">There is some evidence that the last ten cervical vertebrae (C7–16) were preserved in the specimen as first excavated: Brown (1929) says that the material then at the USNM included “the last ten cervical vertebrae with ribs”, and the quarry map of Gilmore (1932:figure 1) shows nine dorsals and ten cervicals belonging to the </w:t>
      </w:r>
      <w:r>
        <w:rPr>
          <w:i/>
          <w:iCs/>
        </w:rPr>
        <w:t>Barosaurus</w:t>
      </w:r>
      <w:r>
        <w:rPr/>
        <w:t xml:space="preserve"> skeleton. If this is correct, though, the most anterior of these (C7) seems to have been lost or destroyed, as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contemporary photographs (Figure D.B) show the anteriormost cervical vertebra on display, and it is recognizable as the C8 that is the anteriormost currently preserved vertebra.</w:t>
      </w:r>
    </w:p>
    <w:p>
      <w:pPr>
        <w:pStyle w:val="Heading1"/>
        <w:numPr>
          <w:ilvl w:val="0"/>
          <w:numId w:val="2"/>
        </w:numPr>
        <w:ind w:hanging="0" w:left="0" w:right="0"/>
        <w:rPr/>
      </w:pPr>
      <w:bookmarkStart w:id="7" w:name="__RefHeading___Toc5351_68767826"/>
      <w:bookmarkEnd w:id="7"/>
      <w:r>
        <w:rPr/>
        <w:t xml:space="preserve">The AMNH mounted </w:t>
      </w:r>
      <w:r>
        <w:rPr>
          <w:i/>
          <w:iCs/>
        </w:rPr>
        <w:t>Barosaurus</w:t>
      </w:r>
    </w:p>
    <w:p>
      <w:pPr>
        <w:pStyle w:val="Heading2"/>
        <w:rPr/>
      </w:pPr>
      <w:bookmarkStart w:id="8" w:name="__RefHeading___Toc5354_68767826"/>
      <w:bookmarkEnd w:id="8"/>
      <w:r>
        <w:rPr/>
        <w:t>The conception of the mount</w:t>
      </w:r>
    </w:p>
    <w:p>
      <w:pPr>
        <w:pStyle w:val="BodyText"/>
        <w:rPr/>
      </w:pPr>
      <w:r>
        <w:rPr/>
        <w:t xml:space="preserve">The three parts of AMNH 6341 had been reunited from their layovers in the USNM, Utah University and Carnegie Museum by 1930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u w:val="none"/>
        </w:rPr>
        <w:t>Apatosaurus</w:t>
      </w:r>
      <w:r>
        <w:rPr/>
        <w:t xml:space="preserve"> in the Hall of Early Dinosaurs on 17 April 1939 (Figure D, Figure G).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w:t>
      </w:r>
      <w:r>
        <w:rPr>
          <w:i w:val="false"/>
          <w:iCs w:val="false"/>
        </w:rPr>
        <w:t>, with its impressive, barrel-vaulted ceiling.</w:t>
      </w:r>
      <w:r>
        <w:rPr/>
        <w:t xml:space="preserve">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non-neglected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u w:val="none"/>
        </w:rPr>
        <w:t>Allosaurus</w:t>
      </w:r>
      <w:r>
        <w:rPr/>
        <w:t xml:space="preserve">. As the carnivore attacks, one </w:t>
      </w:r>
      <w:r>
        <w:rPr>
          <w:i/>
          <w:iCs/>
        </w:rPr>
        <w:t>Diplodocus</w:t>
      </w:r>
      <w:r>
        <w:rPr/>
        <w:t xml:space="preserve"> provides cover for its retreating allies by facing down the pack in a rearing threat display. This initial version of the painting was reproduced in Bird (1985:59), but Paul became dissatisfied with it and painted over parts of the original in 1983 and 1985 to produce the better known final version (Figure E)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told Gaffney that the museum had one of the best known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i w:val="false"/>
          <w:iCs w:val="false"/>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9" w:name="__RefHeading___Toc1099_1709072779"/>
      <w:bookmarkEnd w:id="9"/>
      <w:r>
        <w:rPr>
          <w:i w:val="false"/>
          <w:iCs w:val="false"/>
        </w:rPr>
        <w:t>The purpose of the mount</w:t>
      </w:r>
    </w:p>
    <w:p>
      <w:pPr>
        <w:pStyle w:val="BodyText"/>
        <w:rPr/>
      </w:pPr>
      <w:r>
        <w:rPr>
          <w:i w:val="false"/>
          <w:iCs w:val="false"/>
        </w:rPr>
        <w:t xml:space="preserve">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these long-extinct icons of evolution, and what can’t we know based on the limited kinds of data preserved in their fossils? The exhibition label for the mount clearly stated this conundrum in a section entitled </w:t>
      </w:r>
      <w:r>
        <w:rPr>
          <w:rFonts w:eastAsia="Songti SC" w:cs="Arial Unicode MS"/>
          <w:i w:val="false"/>
          <w:iCs w:val="false"/>
          <w:color w:val="auto"/>
          <w:kern w:val="2"/>
          <w:sz w:val="24"/>
          <w:szCs w:val="24"/>
          <w:lang w:val="en-GB" w:eastAsia="zh-CN" w:bidi="hi-IN"/>
        </w:rPr>
        <w:t>“</w:t>
      </w:r>
      <w:r>
        <w:rPr>
          <w:i w:val="false"/>
          <w:iCs w:val="false"/>
        </w:rPr>
        <w:t>Did this really happen?</w:t>
      </w:r>
      <w:r>
        <w:rPr>
          <w:rFonts w:eastAsia="Songti SC" w:cs="Arial Unicode MS"/>
          <w:i w:val="false"/>
          <w:iCs w:val="false"/>
          <w:color w:val="auto"/>
          <w:kern w:val="2"/>
          <w:sz w:val="24"/>
          <w:szCs w:val="24"/>
          <w:lang w:val="en-GB" w:eastAsia="zh-CN" w:bidi="hi-IN"/>
        </w:rPr>
        <w:t>” (Figure I)</w:t>
      </w:r>
      <w:r>
        <w:rPr>
          <w:i w:val="false"/>
          <w:iCs w:val="false"/>
        </w:rPr>
        <w:t>:</w:t>
      </w:r>
    </w:p>
    <w:p>
      <w:pPr>
        <w:pStyle w:val="BlockQuotationuser"/>
        <w:rPr/>
      </w:pPr>
      <w:r>
        <w:rPr>
          <w:i w:val="false"/>
          <w:iCs w:val="false"/>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i w:val="false"/>
          <w:iCs w:val="false"/>
        </w:rPr>
        <w:t xml:space="preserve">) or on their two hind legs (like </w:t>
      </w:r>
      <w:r>
        <w:rPr>
          <w:i/>
          <w:iCs/>
        </w:rPr>
        <w:t>Allosaurus</w:t>
      </w:r>
      <w:r>
        <w:rPr>
          <w:i w:val="false"/>
          <w:iCs w:val="false"/>
        </w:rPr>
        <w:t xml:space="preserve">). They do not tell us, however, if </w:t>
      </w:r>
      <w:r>
        <w:rPr>
          <w:i/>
          <w:iCs/>
        </w:rPr>
        <w:t>Barosaurus</w:t>
      </w:r>
      <w:r>
        <w:rPr>
          <w:i w:val="false"/>
          <w:iCs w:val="false"/>
        </w:rPr>
        <w:t xml:space="preserve"> could rear up or if </w:t>
      </w:r>
      <w:r>
        <w:rPr>
          <w:i/>
          <w:iCs/>
        </w:rPr>
        <w:t>Allosaurus</w:t>
      </w:r>
      <w:r>
        <w:rPr>
          <w:i w:val="false"/>
          <w:iCs w:val="false"/>
        </w:rPr>
        <w:t xml:space="preserve"> hunted alone or in groups.</w:t>
      </w:r>
    </w:p>
    <w:p>
      <w:pPr>
        <w:pStyle w:val="Heading2"/>
        <w:rPr/>
      </w:pPr>
      <w:bookmarkStart w:id="10" w:name="__RefHeading___Toc18297_68767826"/>
      <w:bookmarkEnd w:id="10"/>
      <w:r>
        <w:rPr/>
        <w:t>The creation of the mount</w:t>
      </w:r>
    </w:p>
    <w:p>
      <w:pPr>
        <w:pStyle w:val="BodyText"/>
        <w:rPr/>
      </w:pPr>
      <w:r>
        <w:rPr/>
        <w:t>At the time of the casting-and-mounting project, it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w:t>
      </w:r>
    </w:p>
    <w:p>
      <w:pPr>
        <w:pStyle w:val="BodyText"/>
        <w:rPr/>
      </w:pPr>
      <w:r>
        <w:rPr/>
        <w:t xml:space="preserve">Early in the process, a prototype model was made at around 1/16 full size to allow the scene to be created and manipulated at a workable scale (Figure H). This was created by a model-maker at </w:t>
      </w:r>
      <w:r>
        <w:rPr>
          <w:i w:val="false"/>
          <w:iCs w:val="false"/>
        </w:rPr>
        <w:t>Maxilla and Mandible</w:t>
      </w:r>
      <w:r>
        <w:rPr/>
        <w:t>,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casts.</w:t>
      </w:r>
    </w:p>
    <w:p>
      <w:pPr>
        <w:pStyle w:val="BodyText"/>
        <w:rPr/>
      </w:pPr>
      <w:r>
        <w:rPr/>
        <w:t xml:space="preserve">The bones of AMNH 6341, the </w:t>
      </w:r>
      <w:r>
        <w:rPr>
          <w:i/>
          <w:iCs/>
        </w:rPr>
        <w:t>Barosaurus</w:t>
      </w:r>
      <w:r>
        <w:rPr/>
        <w:t xml:space="preserve"> specimen that was to provide most of the mount, were not in the best condition by 1990. The presacral vertebrae had been in collections for the best part of 40 years, since Colbert’s early-1950s renovation; the rest of the bones had been there for 60 years,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(RCI), an organization specializing in mounting prehistoric animals that had then only recently been established. Founder Peter May had started working with fossil mounts at the Royal Ontario Museum, beginning in 1977, where he learned the techniques from paleontology technician Gordon Gyrmov and former WW2 Luftwaffe test pilot Rudy Zimmermann. He rose to became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w:t>
      </w:r>
    </w:p>
    <w:p>
      <w:pPr>
        <w:pStyle w:val="BodyText"/>
        <w:rPr/>
      </w:pPr>
      <w:r>
        <w:rPr/>
        <w:t xml:space="preserve">In the fall 1990, the RCI crew took the repaired and cleaned </w:t>
      </w:r>
      <w:r>
        <w:rPr>
          <w:i/>
          <w:iCs/>
        </w:rPr>
        <w:t>Barosaurus</w:t>
      </w:r>
      <w:r>
        <w:rPr/>
        <w:t xml:space="preserve"> fossils in a semi-truck from New York to Toronto, where they remained for the best part of a year. There, the bones were duplicated. First, they were coated with latex, which was then cured to form rubber molds (Figure M). The bones were then cast, first with a layer of gel coat inside the molds, and then in various materials. As noted by </w:t>
      </w:r>
      <w:r>
        <w:rPr>
          <w:shd w:fill="auto" w:val="clear"/>
        </w:rPr>
        <w:t>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material. (These fragile projections are rarely preserved intact.) The missing parts of the skeleton were mostly replaced by elements cast from the Carnegie </w:t>
      </w:r>
      <w:r>
        <w:rPr>
          <w:i/>
          <w:iCs/>
        </w:rPr>
        <w:t>Diplodocus</w:t>
      </w:r>
      <w:r>
        <w:rPr/>
        <w:t xml:space="preserve">, though some were fabricated in Toronto. Records do not show exactly which </w:t>
      </w:r>
      <w:r>
        <w:rPr>
          <w:shd w:fill="auto" w:val="clear"/>
        </w:rPr>
        <w:t>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K).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 t (Figure N). Also present were photographers including National Geographic’s Louie Psihoyos, a television crew, at least one observer from another museum, and a crowd of local workers on their lunch-breaks.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u w:val="none"/>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the completed exhibit was transported to New York in sections for mounting (Figure O).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L).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C10 and C11 in Figure A and in other contemporary photos such as those of Dingus (1996:26) and Lindsay (1992:18–20). It was soon corrected, however, in a near-disastrous but ultimately successful late-night operation (Dingus 1996:28), and the line of the neck is smooth and elegant in the mount as it is today.</w:t>
      </w:r>
    </w:p>
    <w:p>
      <w:pPr>
        <w:pStyle w:val="BodyText"/>
        <w:rPr/>
      </w:pPr>
      <w:r>
        <w:rPr/>
        <w:t>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u w:val="none"/>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BodyText"/>
        <w:rPr/>
      </w:pPr>
      <w:r>
        <w:rPr/>
        <w:t xml:space="preserve">One of us (Dingus) recalls that the total budget for the mounting project was $250,000. Another of us (May) feels that, including the </w:t>
      </w:r>
      <w:r>
        <w:rPr>
          <w:i/>
          <w:iCs/>
        </w:rPr>
        <w:t>Allosaurus</w:t>
      </w:r>
      <w:r>
        <w:rPr/>
        <w:t xml:space="preserve">, the baby </w:t>
      </w:r>
      <w:r>
        <w:rPr>
          <w:i/>
          <w:iCs/>
        </w:rPr>
        <w:t>Barosaurus</w:t>
      </w:r>
      <w:r>
        <w:rPr/>
        <w:t xml:space="preserve"> and the mounting of the original fossil neck and skull of the baby diplodocine AMNH 7530, $250,000 seems a little light. We have not been able to locate official records to resolve this question.</w:t>
      </w:r>
    </w:p>
    <w:p>
      <w:pPr>
        <w:pStyle w:val="Heading2"/>
        <w:rPr/>
      </w:pPr>
      <w:bookmarkStart w:id="11" w:name="__RefHeading___Toc5632_2187837281"/>
      <w:bookmarkEnd w:id="11"/>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user"/>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2" w:name="__RefHeading___Toc5356_68767826"/>
      <w:bookmarkEnd w:id="12"/>
      <w:r>
        <w:rPr/>
        <w:t>The composition of the mount</w:t>
      </w:r>
    </w:p>
    <w:p>
      <w:pPr>
        <w:pStyle w:val="Heading3"/>
        <w:numPr>
          <w:ilvl w:val="2"/>
          <w:numId w:val="5"/>
        </w:numPr>
        <w:ind w:hanging="0" w:left="0" w:right="0"/>
        <w:rPr/>
      </w:pPr>
      <w:bookmarkStart w:id="13" w:name="__RefHeading___Toc16585_68767826"/>
      <w:bookmarkEnd w:id="13"/>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did not specify which elements were included in that missing fifth,  and it has not been possible to recover this information from the McIntosh archives. Norell el al. (1991) also seems to be in error regarding numerous elements being modeled from scratch. A certain amount of detective work is therefore required. To summarise: a complete list of the elements of AMNH 6341 itself can be assembled from the published works and notes of McIntosh; Peter May recalls that with some exceptions discussed below, the missing bones were filled in with casts taken from molds made from the Utah Field House’s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rPr/>
      </w:pPr>
      <w:bookmarkStart w:id="14" w:name="__RefHeading___Toc4995_537823704"/>
      <w:bookmarkEnd w:id="14"/>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and with observations of materials on exhibition in the past and present, it is possible to arrive at a complete list of material as follows:</w:t>
      </w:r>
    </w:p>
    <w:p>
      <w:pPr>
        <w:pStyle w:val="BodyText"/>
        <w:numPr>
          <w:ilvl w:val="0"/>
          <w:numId w:val="8"/>
        </w:numPr>
        <w:ind w:hanging="360" w:left="720" w:right="0"/>
        <w:rPr/>
      </w:pPr>
      <w:r>
        <w:rPr/>
        <w:t>the posterior part of the neck (cervicals 8–16)</w:t>
      </w:r>
    </w:p>
    <w:p>
      <w:pPr>
        <w:pStyle w:val="BodyText"/>
        <w:numPr>
          <w:ilvl w:val="0"/>
          <w:numId w:val="8"/>
        </w:numPr>
        <w:ind w:hanging="360" w:left="720" w:right="0"/>
        <w:rPr/>
      </w:pPr>
      <w:r>
        <w:rPr/>
        <w:t>all nine dorsal vertebrae (dorsals 1–9)</w:t>
      </w:r>
    </w:p>
    <w:p>
      <w:pPr>
        <w:pStyle w:val="BodyText"/>
        <w:numPr>
          <w:ilvl w:val="0"/>
          <w:numId w:val="8"/>
        </w:numPr>
        <w:ind w:hanging="360" w:left="720" w:right="0"/>
        <w:rPr/>
      </w:pPr>
      <w:r>
        <w:rPr/>
        <w:t>the complete sacrum (sacral vertebrae 1–5)</w:t>
      </w:r>
    </w:p>
    <w:p>
      <w:pPr>
        <w:pStyle w:val="BodyText"/>
        <w:numPr>
          <w:ilvl w:val="0"/>
          <w:numId w:val="8"/>
        </w:numPr>
        <w:ind w:hanging="360" w:left="720" w:right="0"/>
        <w:rPr/>
      </w:pPr>
      <w:r>
        <w:rPr/>
        <w:t>the anterior part of the tail (caudals 1–29)</w:t>
      </w:r>
    </w:p>
    <w:p>
      <w:pPr>
        <w:pStyle w:val="BodyText"/>
        <w:numPr>
          <w:ilvl w:val="0"/>
          <w:numId w:val="8"/>
        </w:numPr>
        <w:ind w:hanging="360" w:left="720" w:right="0"/>
        <w:rPr/>
      </w:pPr>
      <w:bookmarkStart w:id="15" w:name="__DdeLink__31298_802501007"/>
      <w:r>
        <w:rPr/>
        <w:t>six partial ribs, of which one is the first or possibly second on the left side, and another is probably its counterpart</w:t>
      </w:r>
      <w:bookmarkEnd w:id="15"/>
    </w:p>
    <w:p>
      <w:pPr>
        <w:pStyle w:val="BodyText"/>
        <w:numPr>
          <w:ilvl w:val="0"/>
          <w:numId w:val="8"/>
        </w:numPr>
        <w:ind w:hanging="360" w:left="720" w:right="0"/>
        <w:rPr/>
      </w:pPr>
      <w:r>
        <w:rPr/>
        <w:t>a single chevron, from further back than Ca13 and likely in the region Ca22–Ca28.</w:t>
      </w:r>
    </w:p>
    <w:p>
      <w:pPr>
        <w:pStyle w:val="BodyText"/>
        <w:numPr>
          <w:ilvl w:val="0"/>
          <w:numId w:val="8"/>
        </w:numPr>
        <w:ind w:hanging="360" w:left="720" w:right="0"/>
        <w:rPr/>
      </w:pPr>
      <w:r>
        <w:rPr/>
        <w:t>right (not left as in McIntosh 2005:43) scapulocoracoid, fully fused together; distal end of left scapula; left coracoid</w:t>
      </w:r>
    </w:p>
    <w:p>
      <w:pPr>
        <w:pStyle w:val="BodyText"/>
        <w:numPr>
          <w:ilvl w:val="0"/>
          <w:numId w:val="8"/>
        </w:numPr>
        <w:ind w:hanging="360" w:left="720" w:right="0"/>
        <w:rPr/>
      </w:pPr>
      <w:r>
        <w:rPr/>
        <w:t>right (not left as in McIntosh 2005:43) humerus</w:t>
      </w:r>
    </w:p>
    <w:p>
      <w:pPr>
        <w:pStyle w:val="BodyText"/>
        <w:numPr>
          <w:ilvl w:val="0"/>
          <w:numId w:val="8"/>
        </w:numPr>
        <w:ind w:hanging="360" w:left="720" w:right="0"/>
        <w:rPr/>
      </w:pPr>
      <w:r>
        <w:rPr/>
        <w:t>right ilium complete except small part of the upper border; acetabular portion and “distal ends” of left ilium</w:t>
      </w:r>
    </w:p>
    <w:p>
      <w:pPr>
        <w:pStyle w:val="BodyText"/>
        <w:numPr>
          <w:ilvl w:val="0"/>
          <w:numId w:val="8"/>
        </w:numPr>
        <w:ind w:hanging="360" w:left="720" w:right="0"/>
        <w:rPr/>
      </w:pPr>
      <w:r>
        <w:rPr/>
        <w:t>both pubes and ischia complete except parts of the proximal ends of both pubes and the right ischium</w:t>
      </w:r>
    </w:p>
    <w:p>
      <w:pPr>
        <w:pStyle w:val="BodyText"/>
        <w:numPr>
          <w:ilvl w:val="0"/>
          <w:numId w:val="8"/>
        </w:numPr>
        <w:ind w:hanging="360" w:left="720" w:right="0"/>
        <w:rPr/>
      </w:pPr>
      <w:r>
        <w:rPr/>
        <w:t>complete right hindlimb (femur, tibia, fibula, astragalus)</w:t>
      </w:r>
    </w:p>
    <w:p>
      <w:pPr>
        <w:pStyle w:val="BodyText"/>
        <w:numPr>
          <w:ilvl w:val="0"/>
          <w:numId w:val="8"/>
        </w:numPr>
        <w:ind w:hanging="360" w:left="720" w:right="0"/>
        <w:rPr/>
      </w:pPr>
      <w:r>
        <w:rPr/>
        <w:t>elements of the right pes: metatarsals I, II and V, phalanges I-I and V-I, two 2nd phalanges, one ungual</w:t>
      </w:r>
    </w:p>
    <w:p>
      <w:pPr>
        <w:pStyle w:val="BodyText"/>
        <w:numPr>
          <w:ilvl w:val="0"/>
          <w:numId w:val="8"/>
        </w:numPr>
        <w:ind w:hanging="360" w:left="720" w:right="0"/>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B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G).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D.B)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rPr/>
      </w:pPr>
      <w:r>
        <w:rPr/>
        <w:t>Non-Barosaurus material in the mount</w:t>
      </w:r>
    </w:p>
    <w:p>
      <w:pPr>
        <w:pStyle w:val="BodyText"/>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at its new building. These new molds were then used to create several additional </w:t>
      </w:r>
      <w:r>
        <w:rPr>
          <w:i/>
          <w:iCs/>
          <w:u w:val="none"/>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t xml:space="preserve">Jack McIntosh, Lowell Dingus and Gene Gaffney all visited RCI multiple times during the modelling process </w:t>
      </w:r>
      <w:r>
        <w:rPr>
          <w:lang w:val="en-US"/>
        </w:rPr>
        <w:t>to provide guidance and monitor progress.</w:t>
      </w:r>
    </w:p>
    <w:p>
      <w:pPr>
        <w:pStyle w:val="BodyText"/>
        <w:rPr/>
      </w:pPr>
      <w:r>
        <w:rPr>
          <w:lang w:val="en-US"/>
        </w:rPr>
        <w:t>With this in mind, we will now consider the source of specific elements of the cast.</w:t>
      </w:r>
    </w:p>
    <w:p>
      <w:pPr>
        <w:pStyle w:val="Heading3"/>
        <w:numPr>
          <w:ilvl w:val="2"/>
          <w:numId w:val="6"/>
        </w:numPr>
        <w:ind w:hanging="0" w:left="0" w:right="0"/>
        <w:rPr/>
      </w:pPr>
      <w:bookmarkStart w:id="16" w:name="__RefHeading___Toc16587_68767826"/>
      <w:bookmarkEnd w:id="16"/>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u w:val="none"/>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C.A–B).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C.C).</w:t>
      </w:r>
    </w:p>
    <w:p>
      <w:pPr>
        <w:pStyle w:val="Heading3"/>
        <w:numPr>
          <w:ilvl w:val="2"/>
          <w:numId w:val="7"/>
        </w:numPr>
        <w:ind w:hanging="0" w:left="0" w:right="0"/>
        <w:rPr/>
      </w:pPr>
      <w:bookmarkStart w:id="17" w:name="__RefHeading___Toc16589_68767826"/>
      <w:bookmarkEnd w:id="17"/>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 tenth cervical vertebra (C7), at present it preserves the last nine cervical vertebrae. These are therefore considered to be C8–C16.</w:t>
      </w:r>
    </w:p>
    <w:p>
      <w:pPr>
        <w:pStyle w:val="BodyText"/>
        <w:rPr/>
      </w:pPr>
      <w:r>
        <w:rPr/>
        <w:t xml:space="preserve">The anterior part of neck of the mount was completed using seven casts of anterior vertebrae from the Carnegie </w:t>
      </w:r>
      <w:r>
        <w:rPr>
          <w:i/>
          <w:iCs/>
        </w:rPr>
        <w:t>Diplodocus</w:t>
      </w:r>
      <w:r>
        <w:rPr/>
        <w:t xml:space="preserve">, but the anteriormost seven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w:t>
      </w:r>
      <w:r>
        <w:rPr>
          <w:i/>
          <w:iCs/>
        </w:rPr>
        <w:t>Diplodocus</w:t>
      </w:r>
      <w:r>
        <w:rPr/>
        <w:t xml:space="preserve"> cervicals was used to obtain a smooth transition: one of us (May) believes they were probably cervicals 10 (595 mm), 8 (512 mm), 6 (442 mm) and 4–1, and the relative sizes of the vertebrae corroborate this identification.</w:t>
      </w:r>
    </w:p>
    <w:p>
      <w:pPr>
        <w:pStyle w:val="BodyText"/>
        <w:rPr/>
      </w:pPr>
      <w:r>
        <w:rPr/>
        <w:t>CM 84, the specimen that forms most of the Carnegie mount, includes C2–7, but not the atlas (C1). As discussed by Taylor et al. (2025:71–72), it is not clear which specimen supplied the atlas in the Carnegie mount, and it seems most likely that this element was a sculpture not based on any specific fossil specimen.</w:t>
      </w:r>
    </w:p>
    <w:p>
      <w:pPr>
        <w:pStyle w:val="BodyText"/>
        <w:rPr/>
      </w:pPr>
      <w:r>
        <w:rPr/>
        <w:t xml:space="preserve">As noted above, the absent cervical ribs of some of the </w:t>
      </w:r>
      <w:r>
        <w:rPr>
          <w:i/>
          <w:iCs/>
        </w:rPr>
        <w:t>Barosaurus</w:t>
      </w:r>
      <w:r>
        <w:rPr/>
        <w:t xml:space="preserve"> cervical casts were either supplied from the Carnegie </w:t>
      </w:r>
      <w:r>
        <w:rPr>
          <w:i/>
          <w:iCs/>
        </w:rPr>
        <w:t>Diplodocus</w:t>
      </w:r>
      <w:r>
        <w:rPr/>
        <w:t xml:space="preserve"> or possibly sculpted.</w:t>
      </w:r>
    </w:p>
    <w:p>
      <w:pPr>
        <w:pStyle w:val="Heading3"/>
        <w:numPr>
          <w:ilvl w:val="2"/>
          <w:numId w:val="1"/>
        </w:numPr>
        <w:ind w:hanging="0" w:left="0" w:right="0"/>
        <w:rPr/>
      </w:pPr>
      <w:bookmarkStart w:id="18" w:name="__RefHeading___Toc2466_2187837281"/>
      <w:bookmarkEnd w:id="18"/>
      <w:r>
        <w:rPr/>
        <w:t>Torso, sacrum and tail</w:t>
      </w:r>
    </w:p>
    <w:p>
      <w:pPr>
        <w:pStyle w:val="BodyText"/>
        <w:rPr/>
      </w:pPr>
      <w:r>
        <w:rPr/>
        <w:t>The complete dorsal sequence (of nine vertebrae) and complete sacrum (of five vertebra) are present in AMNH 6341. However, McIntosh’s (2005:43) account says that only “six ribs and fragments” were included from a total of 18 (two per dorsal vertebra), and as noted above the identification of these ribs is uncertain.</w:t>
      </w:r>
    </w:p>
    <w:p>
      <w:pPr>
        <w:pStyle w:val="BodyText"/>
        <w:rPr/>
      </w:pPr>
      <w:r>
        <w:rPr/>
        <w:t>AMNH 6341 includes the first 29 caudals (or perhaps caudals 1–20 and 22–30, see above) but only one chevron.</w:t>
      </w:r>
    </w:p>
    <w:p>
      <w:pPr>
        <w:pStyle w:val="Heading3"/>
        <w:numPr>
          <w:ilvl w:val="2"/>
          <w:numId w:val="1"/>
        </w:numPr>
        <w:ind w:hanging="0" w:left="0" w:right="0"/>
        <w:rPr/>
      </w:pPr>
      <w:bookmarkStart w:id="19" w:name="__RefHeading___Toc2470_2187837281"/>
      <w:bookmarkEnd w:id="19"/>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rPr/>
      </w:pPr>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And the </w:t>
      </w:r>
      <w:r>
        <w:rPr>
          <w:i/>
          <w:iCs/>
        </w:rPr>
        <w:t>Barosaurus</w:t>
      </w:r>
      <w:r>
        <w:rPr/>
        <w:t xml:space="preserve"> cast probably used second-generation casts of these sculptures.</w:t>
      </w:r>
    </w:p>
    <w:p>
      <w:pPr>
        <w:pStyle w:val="Heading1"/>
        <w:numPr>
          <w:ilvl w:val="0"/>
          <w:numId w:val="3"/>
        </w:numPr>
        <w:ind w:hanging="0" w:left="0" w:right="0"/>
        <w:rPr/>
      </w:pPr>
      <w:bookmarkStart w:id="20" w:name="__RefHeading___Toc3401_68767826"/>
      <w:bookmarkEnd w:id="20"/>
      <w:r>
        <w:rPr/>
        <w:t>Discussion</w:t>
      </w:r>
    </w:p>
    <w:p>
      <w:pPr>
        <w:pStyle w:val="Heading2"/>
        <w:rPr/>
      </w:pPr>
      <w:bookmarkStart w:id="21" w:name="__RefHeading___Toc2476_2187837281"/>
      <w:bookmarkEnd w:id="21"/>
      <w:r>
        <w:rPr/>
        <w:t>Rearing pose</w:t>
      </w:r>
    </w:p>
    <w:p>
      <w:pPr>
        <w:pStyle w:val="BodyText"/>
        <w:rPr/>
      </w:pPr>
      <w:r>
        <w:rPr/>
        <w:t xml:space="preserve">As noted above, 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F),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u w:val="none"/>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XXX discuss the possibility of arterial peristalsis.</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skeleton’s critics were encouraging the public to think about the controversy for themselves.</w:t>
      </w:r>
    </w:p>
    <w:p>
      <w:pPr>
        <w:pStyle w:val="Heading2"/>
        <w:rPr/>
      </w:pPr>
      <w:bookmarkStart w:id="22" w:name="__RefHeading___Toc3786_1986291683"/>
      <w:bookmarkEnd w:id="22"/>
      <w:r>
        <w:rPr/>
        <w:t>A short history of rearing sauropods</w:t>
      </w:r>
    </w:p>
    <w:p>
      <w:pPr>
        <w:pStyle w:val="BodyText"/>
        <w:rPr/>
      </w:pPr>
      <w:r>
        <w:rPr/>
        <w:t xml:space="preserve">The notion of rearing sauropods has a long heritage. The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i w:val="false"/>
          <w:iCs w:val="false"/>
        </w:rPr>
        <w:t xml:space="preserve">” (= </w:t>
      </w:r>
      <w:r>
        <w:rPr>
          <w:i/>
          <w:iCs/>
        </w:rPr>
        <w:t>Neuquensaurus</w:t>
      </w:r>
      <w:r>
        <w:rPr>
          <w:i w:val="false"/>
          <w:iCs w:val="false"/>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1971c, 1978). In his widely read popular-science book </w:t>
      </w:r>
      <w:r>
        <w:rPr>
          <w:i/>
          <w:iCs/>
        </w:rPr>
        <w:t>The Dinosaur Heresies</w:t>
      </w:r>
      <w:r>
        <w:rPr/>
        <w:t xml:space="preserve">, Bakker (1986:190–192) reiterated and expanded his own argument that diplodocids, including </w:t>
      </w:r>
      <w:r>
        <w:rPr>
          <w:i/>
          <w:iCs/>
          <w:u w:val="none"/>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painting influential painting </w:t>
      </w:r>
      <w:r>
        <w:rPr>
          <w:i/>
          <w:iCs/>
        </w:rPr>
        <w:t>Ambush at Como Creek</w:t>
      </w:r>
      <w:r>
        <w:rPr/>
        <w:t xml:space="preserve"> (see above), argued the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i w:val="false"/>
          <w:iCs w:val="false"/>
        </w:rPr>
        <w:t xml:space="preserve"> (considered by McIntosh et al. (1996) to be a species of </w:t>
      </w:r>
      <w:r>
        <w:rPr>
          <w:i/>
          <w:iCs/>
        </w:rPr>
        <w:t>Camarasaurus</w:t>
      </w:r>
      <w:r>
        <w:rPr>
          <w:i w:val="false"/>
          <w:iCs w:val="false"/>
        </w:rPr>
        <w:t xml:space="preserve"> but regarded as its own genus by Tschopp et al. 2014). Jensen (1988</w:t>
      </w:r>
      <w:r>
        <w:rPr/>
        <w:t xml:space="preserve">:124–128)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suprapostal plates in the sacral vertebrae, and 20-degree forward rotation of the ilia relative to the sacrum. While some of these features do not seem directly related to rearing and others are likely age-related, the rotation of the ilium remains unique and difficult to interpret at anything other than a bipedalism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fully justified.</w:t>
      </w:r>
    </w:p>
    <w:p>
      <w:pPr>
        <w:pStyle w:val="Heading2"/>
        <w:rPr/>
      </w:pPr>
      <w:bookmarkStart w:id="23" w:name="__RefHeading___Toc11689_675290491"/>
      <w:bookmarkEnd w:id="23"/>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w:t>
      </w:r>
      <w:r>
        <w:rPr>
          <w:i/>
          <w:iCs/>
        </w:rPr>
        <w:t>Prehistoric Planet</w:t>
      </w:r>
      <w:r>
        <w:rPr/>
        <w:t xml:space="preserve"> (2022). Episode 2 (</w:t>
      </w:r>
      <w:r>
        <w:rPr>
          <w:i/>
          <w:iCs/>
        </w:rPr>
        <w:t>Deserts</w:t>
      </w:r>
      <w:r>
        <w:rPr/>
        <w:t xml:space="preserve">) included a lengthy scene beginning at four minutes, in which </w:t>
      </w:r>
      <w:r>
        <w:rPr>
          <w:i/>
          <w:iCs/>
        </w:rPr>
        <w:t>Dreadnaughtus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(Smith, 2024, pers. comm.), including 50 versions of </w:t>
      </w:r>
      <w:r>
        <w:rPr>
          <w:i/>
          <w:iCs/>
        </w:rPr>
        <w:t>Brachiosaurus</w:t>
      </w:r>
      <w:r>
        <w:rPr/>
        <w:t xml:space="preserve">, 38 of </w:t>
      </w:r>
      <w:r>
        <w:rPr>
          <w:i/>
          <w:iCs/>
        </w:rPr>
        <w:t>Apatosaurus</w:t>
      </w:r>
      <w:r>
        <w:rPr/>
        <w:t xml:space="preserve">, 22 of </w:t>
      </w:r>
      <w:r>
        <w:rPr>
          <w:i/>
          <w:iCs/>
        </w:rPr>
        <w:t>Diplodocus</w:t>
      </w:r>
      <w:r>
        <w:rPr>
          <w:i w:val="false"/>
          <w:iCs w:val="false"/>
        </w:rPr>
        <w:t xml:space="preserve"> and nine of </w:t>
      </w:r>
      <w:r>
        <w:rPr>
          <w:i/>
          <w:iCs/>
        </w:rPr>
        <w:t>Camarasaurus</w:t>
      </w:r>
      <w:r>
        <w:rPr>
          <w:i w:val="false"/>
          <w:iCs w:val="false"/>
        </w:rPr>
        <w:t xml:space="preserve"> — but not a single </w:t>
      </w:r>
      <w:r>
        <w:rPr>
          <w:i/>
          <w:iCs/>
        </w:rPr>
        <w:t>Barosaurus</w:t>
      </w:r>
      <w:r>
        <w:rPr>
          <w:i w:val="false"/>
          <w:iCs w:val="false"/>
        </w:rPr>
        <w:t xml:space="preserve"> toy. The only </w:t>
      </w:r>
      <w:r>
        <w:rPr>
          <w:i/>
          <w:iCs/>
        </w:rPr>
        <w:t>Barosaurus</w:t>
      </w:r>
      <w:r>
        <w:rPr>
          <w:i w:val="false"/>
          <w:iCs w:val="false"/>
        </w:rPr>
        <w:t xml:space="preserve"> “toys”  on the market at the time of writing seem to be large museum-quality maquettes costing $500 or more. A </w:t>
      </w:r>
      <w:r>
        <w:rPr/>
        <w:t xml:space="preserve">Lego model of the rearing AMNH </w:t>
      </w:r>
      <w:r>
        <w:rPr>
          <w:i/>
          <w:iCs/>
        </w:rPr>
        <w:t>Barosaurus</w:t>
      </w:r>
      <w:r>
        <w:rPr/>
        <w:t xml:space="preserve"> has been created by Ambrosino (a pseudonym) and its instructions made freely available (Ambrosino 2023; Figure J).</w:t>
      </w:r>
    </w:p>
    <w:p>
      <w:pPr>
        <w:pStyle w:val="Heading2"/>
        <w:rPr/>
      </w:pPr>
      <w:bookmarkStart w:id="24" w:name="__RefHeading___Toc21934_68767826"/>
      <w:bookmarkEnd w:id="24"/>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ind w:hanging="0" w:left="0" w:right="0"/>
        <w:rPr/>
      </w:pPr>
      <w:bookmarkStart w:id="25" w:name="__RefHeading___Toc3403_68767826"/>
      <w:bookmarkEnd w:id="25"/>
      <w:r>
        <w:rPr/>
        <w:t>Acknowledgements</w:t>
      </w:r>
    </w:p>
    <w:p>
      <w:pPr>
        <w:pStyle w:val="BodyText"/>
        <w:rPr/>
      </w:pPr>
      <w:r>
        <w:rPr/>
        <w:t xml:space="preserve">We are grateful to Scott Hartman (University of Wisconsin-Madison) for allowing us to use his </w:t>
      </w:r>
      <w:r>
        <w:rPr>
          <w:i/>
          <w:iCs/>
        </w:rPr>
        <w:t>Barosaurus lentus</w:t>
      </w:r>
      <w:r>
        <w:rPr/>
        <w:t xml:space="preserve"> skeletal reconstruction, to Gregory S. Paul for permission to reproduce his artwork </w:t>
      </w:r>
      <w:r>
        <w:rPr>
          <w:i/>
          <w:iCs/>
        </w:rPr>
        <w:t>Ambush at Como Creek</w:t>
      </w:r>
      <w:r>
        <w:rPr/>
        <w:t xml:space="preserve">, to John Gurche for permission to reproduce his life restoration of the rearing </w:t>
      </w:r>
      <w:r>
        <w:rPr>
          <w:i/>
          <w:iCs/>
        </w:rPr>
        <w:t>Barosaurus</w:t>
      </w:r>
      <w:r>
        <w:rPr/>
        <w:t xml:space="preserve">, and to Ambrosino for permission to use a photograph of his Lego </w:t>
      </w:r>
      <w:r>
        <w:rPr>
          <w:i/>
          <w:iCs/>
        </w:rPr>
        <w:t>Barosaurus</w:t>
      </w:r>
      <w:r>
        <w:rPr/>
        <w:t xml:space="preserve"> model (Figure J). Jarrod Davis created the high-quality image of Paul’s </w:t>
      </w:r>
      <w:r>
        <w:rPr>
          <w:i/>
          <w:iCs/>
        </w:rPr>
        <w:t>Ambush</w:t>
      </w:r>
      <w:r>
        <w:rPr/>
        <w:t xml:space="preserve"> painting by combining several scans created by Mathew J. Wedel; we thank them both. Gregory S. Paul also allowed us to quote personal communications. Carl Mehling (AMNH) searched collections for the missing C7 and allowed us to cite a personal communication. Mai Reitmeyer (Department of Library Services, AMNH) helped us to obtain historical photographs. Amelia Zietlow (Richard Gilder Graduate School at the AMNH) provided helpful photographs and information about the present public exhibits (Figure I). We thank Ray Wilhite (Auburn University College of Veterinary Medicine) and Brooks Britt and Rod Scheetz (both Brigham Young University) for help in accessing the archived notebooks of John S. McIntosh. Lynton Gardiner allowed us to cite a personal communication. Mick Ellison (AMNH) kindly photographed for us both the 1939 public gallery exhibit panel (Figure G) and the prototype model (Figure H), having had the model repaired. Photography of the model was courtesy of the AMNH Main Archives. Melissa Posen, Dingus’s administrative assistant on the </w:t>
      </w:r>
      <w:r>
        <w:rPr>
          <w:i/>
          <w:iCs/>
        </w:rPr>
        <w:t>Barosaurus</w:t>
      </w:r>
      <w:r>
        <w:rPr/>
        <w:t xml:space="preserve"> project, took most of the photographs of the initial assembly in Toronto.</w:t>
      </w:r>
    </w:p>
    <w:p>
      <w:pPr>
        <w:pStyle w:val="BodyText"/>
        <w:rPr/>
      </w:pPr>
      <w:r>
        <w:rPr/>
        <w:t>XXX Acknowledge archives people at AMNH and contact at USNM</w:t>
      </w:r>
    </w:p>
    <w:p>
      <w:pPr>
        <w:pStyle w:val="Heading1"/>
        <w:numPr>
          <w:ilvl w:val="0"/>
          <w:numId w:val="3"/>
        </w:numPr>
        <w:ind w:hanging="0" w:left="0" w:right="0"/>
        <w:rPr/>
      </w:pPr>
      <w:bookmarkStart w:id="26" w:name="__RefHeading___Toc3405_68767826"/>
      <w:bookmarkEnd w:id="26"/>
      <w:r>
        <w:rPr/>
        <w:t>References</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w:t>
      </w:r>
      <w:r>
        <w:rPr/>
        <w:t xml:space="preserve">Reproduced on </w:t>
      </w:r>
      <w:r>
        <w:rPr/>
        <w:t xml:space="preserve">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1922a. Telegram to George P. Merrill estimating cost and time to extract two Diplodocus skeletons from the Dinosaur National Monument quarry. 10 November 1922 or shortly before.</w:t>
      </w:r>
    </w:p>
    <w:p>
      <w:pPr>
        <w:pStyle w:val="Reference"/>
        <w:rPr/>
      </w:pPr>
      <w:r>
        <w:rPr/>
        <w:t>Douglass, Earl. 1922b. Letter to George P. Merrill expanding on cost and time to extract two Diplodocus skeletons from the Dinosaur National Monument quarry. 22 November 1922.</w:t>
      </w:r>
    </w:p>
    <w:p>
      <w:pPr>
        <w:pStyle w:val="Reference"/>
        <w:rPr/>
      </w:pPr>
      <w:r>
        <w:rPr/>
        <w:t>Douglass, Earl, 1923. Report of Work Done by the Carnegie Museum at the Dinosaur National Monument in Uinta County, Utah, under the Supervision of Earl Dougless, in the year 1922. 24 March 1923. 2 pages.</w:t>
      </w:r>
    </w:p>
    <w:p>
      <w:pPr>
        <w:pStyle w:val="Reference"/>
        <w:rPr/>
      </w:pPr>
      <w:r>
        <w:rPr/>
        <w:t>Gilmore, Charles w. 1923a. Handwritten letter to William de C. Ravenel briefly summarising the outcome of the field season at the Dinosaur National Monument quarry. 8 August 1923.</w:t>
      </w:r>
    </w:p>
    <w:p>
      <w:pPr>
        <w:pStyle w:val="Reference"/>
        <w:rPr/>
      </w:pPr>
      <w:r>
        <w:rPr/>
        <w:t>Gilmore, Charles W. 1923</w:t>
      </w:r>
      <w:r>
        <w:rPr/>
        <w:t>b</w:t>
      </w:r>
      <w:r>
        <w:rPr/>
        <w:t>.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27" w:name="__DdeLink__2788_55120580"/>
      <w:r>
        <w:rPr>
          <w:i/>
          <w:iCs/>
        </w:rPr>
        <w:t>Proceedings of the United States National Museum</w:t>
      </w:r>
      <w:bookmarkEnd w:id="27"/>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Holland, William J. 1924. The skull of </w:t>
      </w:r>
      <w:r>
        <w:rPr>
          <w:i/>
          <w:iCs/>
        </w:rPr>
        <w:t>Diplodocus</w:t>
      </w:r>
      <w:r>
        <w:rPr/>
        <w:t xml:space="preserve">. </w:t>
      </w:r>
      <w:r>
        <w:rPr>
          <w:i/>
          <w:iCs/>
        </w:rPr>
        <w:t>Memoirs of the Carnegie Museum</w:t>
      </w:r>
      <w:r>
        <w:rPr/>
        <w:t xml:space="preserve"> </w:t>
      </w:r>
      <w:r>
        <w:rPr>
          <w:b/>
          <w:bCs/>
        </w:rPr>
        <w:t>9(3)</w:t>
      </w:r>
      <w:r>
        <w:rPr/>
        <w:t>:379–403.</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i w:val="false"/>
          <w:iCs w:val="false"/>
        </w:rPr>
        <w:t xml:space="preserve"> </w:t>
      </w:r>
      <w:r>
        <w:rPr>
          <w:b/>
          <w:bCs/>
          <w:i w:val="false"/>
          <w:iCs w:val="false"/>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:81–86. doi:10.2475/ajs.s3-39.229.81</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Merrill, George P. 1922. Letter to William de C. Ravenel on the Carnegie Museum's readiness to release the Dinosaur National Monument quarry. 6 November 1922.</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28" w:name="__DdeLink__16582_68767826"/>
      <w:r>
        <w:rPr/>
        <w:t>Nieuwland</w:t>
      </w:r>
      <w:bookmarkEnd w:id="28"/>
      <w:r>
        <w:rPr/>
        <w:t xml:space="preserve">, Ilja. 2019. </w:t>
      </w:r>
      <w:r>
        <w:rPr>
          <w:i/>
          <w:iCs/>
        </w:rPr>
        <w:t xml:space="preserve">American dinosaur abroad: a cultural history of Carnegie’s plaster </w:t>
      </w:r>
      <w:r>
        <w:rPr>
          <w:i w:val="false"/>
          <w:iCs w:val="false"/>
        </w:rPr>
        <w:t>Diplodocus</w:t>
      </w:r>
      <w:r>
        <w:rPr/>
        <w:t>.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9">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 xml:space="preserve">Osborn, Henry Fairfield,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 xml:space="preserve">:247-387 and plates LX–LXXXV. </w:t>
      </w:r>
      <w:hyperlink r:id="rId10">
        <w:r>
          <w:rPr>
            <w:rStyle w:val="Hyperlink"/>
          </w:rPr>
          <w:t>doi:10.1130/GSAB-30-379</w:t>
        </w:r>
      </w:hyperlink>
    </w:p>
    <w:p>
      <w:pPr>
        <w:pStyle w:val="Reference"/>
        <w:rPr/>
      </w:pPr>
      <w:r>
        <w:rPr/>
        <w:t>Osborne, Henry F. 1923. Letter to Charles D. Walcott with vague but ominous contents. 14 April 1923.</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Smith, Adam S. (with contributions from 20 other authors). 2007. Dinosaur Toy Blog. </w:t>
      </w:r>
      <w:hyperlink r:id="rId11">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2">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i w:val="false"/>
          <w:iCs w:val="false"/>
        </w:rPr>
        <w:t xml:space="preserve">. </w:t>
      </w:r>
      <w:r>
        <w:rPr>
          <w:i/>
          <w:iCs/>
        </w:rPr>
        <w:t>Annals of the Carnegie Museum</w:t>
      </w:r>
      <w:r>
        <w:rPr>
          <w:i w:val="false"/>
          <w:iCs w:val="false"/>
        </w:rPr>
        <w:t xml:space="preserve"> </w:t>
      </w:r>
      <w:r>
        <w:rPr>
          <w:b/>
          <w:bCs/>
          <w:i w:val="false"/>
          <w:iCs w:val="false"/>
        </w:rPr>
        <w:t>91(1)</w:t>
      </w:r>
      <w:r>
        <w:rPr>
          <w:i w:val="false"/>
          <w:iCs w:val="false"/>
        </w:rPr>
        <w:t>:55–91. doi:10.2992/007.091.0104</w:t>
      </w:r>
    </w:p>
    <w:p>
      <w:pPr>
        <w:pStyle w:val="Reference"/>
        <w:rPr/>
      </w:pPr>
      <w:r>
        <w:rPr/>
        <w:t xml:space="preserve">Preprint doi:10.5281/zenodo.13732377 — available at </w:t>
      </w:r>
      <w:hyperlink r:id="rId13">
        <w:r>
          <w:rPr>
            <w:rStyle w:val="Hyperlink"/>
          </w:rPr>
          <w:t>https://zenodo.org/records/13732378</w:t>
        </w:r>
      </w:hyperlink>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4">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Heading1"/>
        <w:numPr>
          <w:ilvl w:val="0"/>
          <w:numId w:val="3"/>
        </w:numPr>
        <w:ind w:hanging="0" w:left="0" w:right="0"/>
        <w:rPr/>
      </w:pPr>
      <w:bookmarkStart w:id="29" w:name="__RefHeading___Toc3407_68767826"/>
      <w:bookmarkEnd w:id="29"/>
      <w:r>
        <w:rPr/>
        <w:t>Figure Captions</w:t>
      </w:r>
    </w:p>
    <w:p>
      <w:pPr>
        <w:pStyle w:val="FigureCaption"/>
        <w:rPr/>
      </w:pPr>
      <w:r>
        <w:rPr>
          <w:b/>
          <w:bCs/>
        </w:rPr>
        <w:t>Figure A.</w:t>
      </w:r>
      <w:r>
        <w:rPr>
          <w:b w:val="false"/>
          <w:bCs w:val="false"/>
        </w:rPr>
        <w:t xml:space="preserve"> The mounted skeleton of </w:t>
      </w:r>
      <w:r>
        <w:rPr>
          <w:b w:val="false"/>
          <w:bCs w:val="false"/>
          <w:i/>
          <w:iCs/>
        </w:rPr>
        <w:t>Barosaurus lentus</w:t>
      </w:r>
      <w:r>
        <w:rPr>
          <w:b w:val="false"/>
          <w:bCs w:val="false"/>
        </w:rPr>
        <w:t xml:space="preserve"> AMNH 6341 in the Theodore Roosevelt Rotunda of the American Museum of Natural History, New York, as it appeared after the initial mounting and before repairs to the middle of the neck.</w:t>
      </w:r>
    </w:p>
    <w:p>
      <w:pPr>
        <w:pStyle w:val="FigureCaption"/>
        <w:rPr/>
      </w:pPr>
      <w:r>
        <w:rPr>
          <w:b/>
          <w:bCs/>
        </w:rPr>
        <w:t>Figure B.</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C.</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spacing w:before="0" w:after="142"/>
        <w:rPr/>
      </w:pPr>
      <w:r>
        <w:rPr>
          <w:b/>
          <w:bCs/>
        </w:rPr>
        <w:t>Figure D</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(1991)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spacing w:before="0" w:after="142"/>
        <w:rPr/>
      </w:pPr>
      <w:r>
        <w:rPr>
          <w:b/>
          <w:bCs/>
        </w:rPr>
        <w:t>Figure E.</w:t>
      </w:r>
      <w:r>
        <w:rPr/>
        <w:t xml:space="preserve"> </w:t>
      </w:r>
      <w:r>
        <w:rPr>
          <w:i/>
          <w:iCs/>
        </w:rPr>
        <w:t>Ambush at Como Creek</w:t>
      </w:r>
      <w:r>
        <w:rPr/>
        <w:t xml:space="preserve">, painted by Gregory S. Paul in the late 1970s or early 1980s. In this revised version,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spacing w:before="0" w:after="142"/>
        <w:rPr/>
      </w:pPr>
      <w:r>
        <w:rPr>
          <w:b/>
          <w:bCs/>
        </w:rPr>
        <w:t>Figure F.</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spacing w:before="0" w:after="142"/>
        <w:rPr/>
      </w:pPr>
      <w:r>
        <w:rPr>
          <w:b/>
          <w:bCs/>
        </w:rPr>
        <w:t>Figure G.</w:t>
      </w:r>
      <w:r>
        <w:rPr/>
        <w:t xml:space="preserve"> Public gallery exhibit panel for AMNH 6341, prepared around 1939 to accompany the vertebral sequence, scapulocoracoid and humerus depicted in Figure D. Photographed by Mick Ellison, AMNH. Original caption reads:</w:t>
      </w:r>
    </w:p>
    <w:p>
      <w:pPr>
        <w:pStyle w:val="BlockQuotationuser"/>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widowControl/>
        <w:suppressAutoHyphens w:val="true"/>
        <w:overflowPunct w:val="true"/>
        <w:bidi w:val="0"/>
        <w:spacing w:lineRule="auto" w:line="276" w:before="0" w:after="142"/>
        <w:ind w:hanging="0" w:left="283" w:right="0"/>
        <w:jc w:val="left"/>
        <w:rPr/>
      </w:pPr>
      <w:r>
        <w:rPr/>
        <w:t xml:space="preserve">The representation of which bones are included in the specimen is a good match for our modern reconstruction (Figure B),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(1905:251–252) when omitting the dorsosacral. This was likely done to correctly depict the total number of preserved presacrals as 18.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bidi w:val="0"/>
        <w:spacing w:before="0" w:after="142"/>
        <w:jc w:val="left"/>
        <w:rPr/>
      </w:pPr>
      <w:r>
        <w:rPr>
          <w:b/>
          <w:bCs/>
        </w:rPr>
        <w:t>Figure H.</w:t>
      </w:r>
      <w:r>
        <w:rPr/>
        <w:t xml:space="preserve"> Prototype model of the proposed display. This model is three feet (91 cm) tall from the bottom of the base to the top of the rearing </w:t>
      </w:r>
      <w:r>
        <w:rPr>
          <w:i/>
          <w:iCs/>
        </w:rPr>
        <w:t>Barosaurus</w:t>
      </w:r>
      <w:r>
        <w:rPr/>
        <w:t>, and the base is 44 inches (112 cm) long.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bidi w:val="0"/>
        <w:spacing w:before="0" w:after="142"/>
        <w:jc w:val="left"/>
        <w:rPr/>
      </w:pPr>
      <w:r>
        <w:rPr>
          <w:b/>
          <w:bCs/>
        </w:rPr>
        <w:t>Figure I.</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bidi w:val="0"/>
        <w:spacing w:before="0" w:after="142"/>
        <w:jc w:val="left"/>
        <w:rPr/>
      </w:pPr>
      <w:r>
        <w:rPr>
          <w:b/>
          <w:bCs/>
        </w:rPr>
        <w:t>Figure J.</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p>
    <w:p>
      <w:pPr>
        <w:pStyle w:val="FigureCaption"/>
        <w:bidi w:val="0"/>
        <w:spacing w:before="0" w:after="142"/>
        <w:jc w:val="left"/>
        <w:rPr/>
      </w:pPr>
      <w:r>
        <w:rPr>
          <w:b/>
          <w:bCs/>
        </w:rPr>
        <w:t>Figure K.</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That that the two missing cervical vertebra have been added, and that the posterior one is a different colour from the others. The ribs are a noticeably lighter colour than the rest of the skeleton, presumably because they had not been painted at this point.</w:t>
      </w:r>
    </w:p>
    <w:p>
      <w:pPr>
        <w:pStyle w:val="FigureCaption"/>
        <w:bidi w:val="0"/>
        <w:spacing w:before="0" w:after="142"/>
        <w:jc w:val="left"/>
        <w:rPr/>
      </w:pPr>
      <w:r>
        <w:rPr>
          <w:b/>
          <w:bCs/>
        </w:rPr>
        <w:t>Figure L.</w:t>
      </w:r>
      <w:r>
        <w:rPr/>
        <w:t xml:space="preserve"> Two views of the final mounting in the Roosevelt Memorial Hall of the American Museum of Natural History., both showing the use of two frighteningly unstable-looking cherry-picker crane. The RCI employee in the higher crane are moving the head-and-neck assembly into place, while the two in the lower crane attempt to fit it to the anterior torso.</w:t>
      </w:r>
    </w:p>
    <w:p>
      <w:pPr>
        <w:pStyle w:val="FigureCaption"/>
        <w:bidi w:val="0"/>
        <w:spacing w:before="0" w:after="142"/>
        <w:jc w:val="left"/>
        <w:rPr/>
      </w:pPr>
      <w:r>
        <w:rPr>
          <w:b/>
          <w:bCs/>
        </w:rPr>
        <w:t>Figure M.</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The separator on the mold wall allows the rubber latex for the next mold section to be applied without adhering to the first mold section, so that the mold sections will separate easily.</w:t>
      </w:r>
    </w:p>
    <w:p>
      <w:pPr>
        <w:pStyle w:val="FigureCaption"/>
        <w:bidi w:val="0"/>
        <w:spacing w:before="0" w:after="142"/>
        <w:jc w:val="left"/>
        <w:rPr/>
      </w:pPr>
      <w:r>
        <w:rPr>
          <w:b/>
          <w:bCs/>
        </w:rPr>
        <w:t>Figure N.</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Lowell Dingus and Mark Norell observe.</w:t>
      </w:r>
    </w:p>
    <w:p>
      <w:pPr>
        <w:pStyle w:val="FigureCaption"/>
        <w:bidi w:val="0"/>
        <w:spacing w:before="0" w:after="142"/>
        <w:jc w:val="left"/>
        <w:rPr/>
      </w:pPr>
      <w:r>
        <w:rPr>
          <w:b/>
          <w:bCs/>
        </w:rPr>
        <w:t>Figure O.</w:t>
      </w:r>
      <w:r>
        <w:rPr/>
        <w:t xml:space="preserve"> Elements of the cast </w:t>
      </w:r>
      <w:r>
        <w:rPr>
          <w:i/>
          <w:iCs/>
        </w:rPr>
        <w:t>Barosaurus</w:t>
      </w:r>
      <w:r>
        <w:rPr/>
        <w:t xml:space="preserve"> skeleton on the floor of the Roosevelt Memorial Hall of the American Museum of Natural History before mounting. Centrally, the skull and cervical vertebrae 2–16, all articulated in a single piece. By the wall to the left are two further vertebrae — probably anterior dorsals, although the presence of what looks like a cervical rib loop in the vertebra closest to the camera suggests possibly a spare copy of a posterior cervical. Between these and the neck is the distal (whiplash) portion of a tail: possibly that of the main </w:t>
      </w:r>
      <w:r>
        <w:rPr>
          <w:i/>
          <w:iCs/>
        </w:rPr>
        <w:t>Barosaurus</w:t>
      </w:r>
      <w:r>
        <w:rPr/>
        <w:t xml:space="preserve">, but more likely that of the juvenile based on the small size of the most proximal caudals. Between this and the neck is section that is probably the proximal part of the </w:t>
      </w:r>
      <w:r>
        <w:rPr>
          <w:i/>
          <w:iCs/>
        </w:rPr>
        <w:t>Allosaurus</w:t>
      </w:r>
      <w:r>
        <w:rPr/>
        <w:t xml:space="preserve"> tail. Finally, intruding on the image from the right is the distal part (whiplash) portion of the other </w:t>
      </w:r>
      <w:r>
        <w:rPr>
          <w:i/>
          <w:iCs/>
        </w:rPr>
        <w:t>Barosaurus</w:t>
      </w:r>
      <w:r>
        <w:rPr/>
        <w:t xml:space="preserve"> tail, probably that of the adult.</w:t>
      </w:r>
    </w:p>
    <w:p>
      <w:pPr>
        <w:pStyle w:val="FigureCaption"/>
        <w:bidi w:val="0"/>
        <w:spacing w:before="0" w:after="142"/>
        <w:jc w:val="left"/>
        <w:rPr/>
      </w:pPr>
      <w:r>
        <w:rPr>
          <w:b/>
          <w:bCs/>
        </w:rPr>
        <w:t>Figure P.</w:t>
      </w:r>
      <w:r>
        <w:rPr>
          <w:b w:val="false"/>
          <w:bCs w:val="false"/>
          <w:i w:val="false"/>
          <w:iCs w:val="false"/>
        </w:rPr>
        <w:t xml:space="preserve"> Carnegie Quarry map showing the relative positions of two iconic sauropod specimens: #355 (</w:t>
      </w:r>
      <w:r>
        <w:rPr>
          <w:b w:val="false"/>
          <w:bCs w:val="false"/>
          <w:i/>
          <w:iCs/>
        </w:rPr>
        <w:t>Diplodocus</w:t>
      </w:r>
      <w:r>
        <w:rPr>
          <w:b w:val="false"/>
          <w:bCs w:val="false"/>
          <w:i w:val="false"/>
          <w:iCs w:val="false"/>
        </w:rPr>
        <w:t>, right) and #340 (</w:t>
      </w:r>
      <w:r>
        <w:rPr>
          <w:b w:val="false"/>
          <w:bCs w:val="false"/>
          <w:i/>
          <w:iCs/>
        </w:rPr>
        <w:t>Barosaurus</w:t>
      </w:r>
      <w:r>
        <w:rPr>
          <w:b w:val="false"/>
          <w:bCs w:val="false"/>
          <w:i w:val="false"/>
          <w:iCs w:val="false"/>
        </w:rPr>
        <w:t xml:space="preserve">, left, highlighted in pink, initially thought to be be a second </w:t>
      </w:r>
      <w:r>
        <w:rPr>
          <w:b w:val="false"/>
          <w:bCs w:val="false"/>
          <w:i/>
          <w:iCs/>
        </w:rPr>
        <w:t>Diplodocus</w:t>
      </w:r>
      <w:r>
        <w:rPr>
          <w:b w:val="false"/>
          <w:bCs w:val="false"/>
          <w:i w:val="false"/>
          <w:iCs w:val="false"/>
        </w:rPr>
        <w:t xml:space="preserve">). Modified from Gilmore (1932:figure 1). The </w:t>
      </w:r>
      <w:r>
        <w:rPr>
          <w:b w:val="false"/>
          <w:bCs w:val="false"/>
          <w:i/>
          <w:iCs/>
        </w:rPr>
        <w:t>Diplodocus</w:t>
      </w:r>
      <w:r>
        <w:rPr>
          <w:b w:val="false"/>
          <w:bCs w:val="false"/>
          <w:i w:val="false"/>
          <w:iCs w:val="false"/>
        </w:rPr>
        <w:t xml:space="preserve"> specimen would become USNM 10865, and the </w:t>
      </w:r>
      <w:r>
        <w:rPr>
          <w:b w:val="false"/>
          <w:bCs w:val="false"/>
          <w:i/>
          <w:iCs/>
        </w:rPr>
        <w:t>Barosaurus</w:t>
      </w:r>
      <w:r>
        <w:rPr>
          <w:b w:val="false"/>
          <w:bCs w:val="false"/>
          <w:i w:val="false"/>
          <w:iCs w:val="false"/>
        </w:rPr>
        <w:t xml:space="preserve"> would become AMNH 6341.</w:t>
      </w:r>
    </w:p>
    <w:p>
      <w:pPr>
        <w:pStyle w:val="FigureCaption"/>
        <w:bidi w:val="0"/>
        <w:spacing w:before="0" w:after="142"/>
        <w:jc w:val="left"/>
        <w:rPr>
          <w:b w:val="false"/>
          <w:bCs w:val="false"/>
          <w:i w:val="false"/>
          <w:iCs w:val="false"/>
        </w:rPr>
      </w:pPr>
      <w:r>
        <w:rPr>
          <w:b/>
          <w:bCs/>
          <w:i w:val="false"/>
          <w:iCs w:val="false"/>
        </w:rPr>
        <w:t>Figure Q.</w:t>
      </w:r>
      <w:r>
        <w:rPr>
          <w:b w:val="false"/>
          <w:bCs w:val="false"/>
          <w:i w:val="false"/>
          <w:iCs w:val="false"/>
        </w:rPr>
        <w:t xml:space="preserve"> Earl Douglass, aged 60, at the Carnegie Quarry in August 1922. He is seen here standing in front of the left femur of </w:t>
      </w:r>
      <w:r>
        <w:rPr>
          <w:b w:val="false"/>
          <w:bCs w:val="false"/>
          <w:i/>
          <w:iCs/>
        </w:rPr>
        <w:t>Diplodocus</w:t>
      </w:r>
      <w:r>
        <w:rPr>
          <w:b w:val="false"/>
          <w:bCs w:val="false"/>
          <w:i w:val="false"/>
          <w:iCs w:val="false"/>
        </w:rPr>
        <w:t xml:space="preserve"> specimen #355, with the sacrum, partial left ilium last five dorsal vertebral centra and some ribs also in view (compare Figure P). The </w:t>
      </w:r>
      <w:r>
        <w:rPr>
          <w:b w:val="false"/>
          <w:bCs w:val="false"/>
          <w:i/>
          <w:iCs/>
        </w:rPr>
        <w:t>Diplodocus</w:t>
      </w:r>
      <w:r>
        <w:rPr>
          <w:b w:val="false"/>
          <w:bCs w:val="false"/>
          <w:i w:val="false"/>
          <w:iCs w:val="false"/>
        </w:rPr>
        <w:t xml:space="preserve"> is seen in ventral view with anterior to the top. Photograph uploaded to Wikimedia Commons by Ken Carpenter.</w:t>
      </w:r>
    </w:p>
    <w:p>
      <w:pPr>
        <w:pStyle w:val="FigureCaption"/>
        <w:bidi w:val="0"/>
        <w:spacing w:before="0" w:after="142"/>
        <w:jc w:val="left"/>
        <w:rPr>
          <w:b w:val="false"/>
          <w:bCs w:val="false"/>
          <w:i w:val="false"/>
          <w:iCs w:val="false"/>
        </w:rPr>
      </w:pPr>
      <w:r>
        <w:rPr>
          <w:b w:val="false"/>
          <w:bCs w:val="false"/>
          <w:i w:val="false"/>
          <w:iCs w:val="false"/>
        </w:rPr>
      </w:r>
    </w:p>
    <w:p>
      <w:pPr>
        <w:pStyle w:val="Heading1"/>
        <w:rPr/>
      </w:pPr>
      <w:r>
        <w:rPr/>
        <w:t>Tables</w:t>
      </w:r>
    </w:p>
    <w:p>
      <w:pPr>
        <w:pStyle w:val="Heading2"/>
        <w:rPr/>
      </w:pPr>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left"/>
        <w:tblInd w:w="0" w:type="dxa"/>
        <w:tblLayout w:type="fixed"/>
        <w:tblCellMar>
          <w:top w:w="0" w:type="dxa"/>
          <w:left w:w="0" w:type="dxa"/>
          <w:bottom w:w="0" w:type="dxa"/>
          <w:right w:w="0" w:type="dxa"/>
        </w:tblCellMar>
      </w:tblPr>
      <w:tblGrid>
        <w:gridCol w:w="2208"/>
        <w:gridCol w:w="7430"/>
      </w:tblGrid>
      <w:tr>
        <w:trPr>
          <w:tblHeader w:val="true"/>
        </w:trPr>
        <w:tc>
          <w:tcPr>
            <w:tcW w:w="2208" w:type="dxa"/>
            <w:tcBorders/>
          </w:tcPr>
          <w:p>
            <w:pPr>
              <w:pStyle w:val="TableHeading"/>
              <w:spacing w:before="0" w:after="113"/>
              <w:rPr/>
            </w:pPr>
            <w:r>
              <w:rPr/>
              <w:t>Date</w:t>
            </w:r>
          </w:p>
        </w:tc>
        <w:tc>
          <w:tcPr>
            <w:tcW w:w="7430" w:type="dxa"/>
            <w:tcBorders/>
          </w:tcPr>
          <w:p>
            <w:pPr>
              <w:pStyle w:val="TableHeading"/>
              <w:spacing w:before="0" w:after="113"/>
              <w:rPr/>
            </w:pPr>
            <w:r>
              <w:rPr/>
              <w:t>Event</w:t>
            </w:r>
          </w:p>
        </w:tc>
      </w:tr>
      <w:tr>
        <w:trPr>
          <w:trHeight w:val="235" w:hRule="atLeast"/>
        </w:trPr>
        <w:tc>
          <w:tcPr>
            <w:tcW w:w="2208" w:type="dxa"/>
            <w:tcBorders/>
          </w:tcPr>
          <w:p>
            <w:pPr>
              <w:pStyle w:val="TableContents"/>
              <w:spacing w:before="0" w:after="113"/>
              <w:rPr/>
            </w:pPr>
            <w:r>
              <w:rPr/>
              <w:t>1880s</w:t>
            </w:r>
          </w:p>
        </w:tc>
        <w:tc>
          <w:tcPr>
            <w:tcW w:w="7430"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8" w:type="dxa"/>
            <w:tcBorders/>
          </w:tcPr>
          <w:p>
            <w:pPr>
              <w:pStyle w:val="TableContents"/>
              <w:spacing w:before="0" w:after="113"/>
              <w:rPr/>
            </w:pPr>
            <w:r>
              <w:rPr/>
              <w:t>Summer 1889</w:t>
            </w:r>
          </w:p>
        </w:tc>
        <w:tc>
          <w:tcPr>
            <w:tcW w:w="7430"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8" w:type="dxa"/>
            <w:tcBorders/>
          </w:tcPr>
          <w:p>
            <w:pPr>
              <w:pStyle w:val="TableContents"/>
              <w:spacing w:before="0" w:after="113"/>
              <w:rPr/>
            </w:pPr>
            <w:r>
              <w:rPr/>
              <w:t>1890</w:t>
            </w:r>
          </w:p>
        </w:tc>
        <w:tc>
          <w:tcPr>
            <w:tcW w:w="7430" w:type="dxa"/>
            <w:tcBorders/>
          </w:tcPr>
          <w:p>
            <w:pPr>
              <w:pStyle w:val="TableContent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8" w:type="dxa"/>
            <w:tcBorders/>
          </w:tcPr>
          <w:p>
            <w:pPr>
              <w:pStyle w:val="TableContents"/>
              <w:spacing w:before="0" w:after="113"/>
              <w:rPr/>
            </w:pPr>
            <w:r>
              <w:rPr/>
              <w:t>Late August 1898</w:t>
            </w:r>
          </w:p>
        </w:tc>
        <w:tc>
          <w:tcPr>
            <w:tcW w:w="7430" w:type="dxa"/>
            <w:tcBorders/>
          </w:tcPr>
          <w:p>
            <w:pPr>
              <w:pStyle w:val="TableContents"/>
              <w:spacing w:before="0" w:after="113"/>
              <w:rPr/>
            </w:pPr>
            <w:r>
              <w:rPr/>
              <w:t>Marsh sent George Wieland to collect the rest of the skeleton.</w:t>
            </w:r>
          </w:p>
        </w:tc>
      </w:tr>
      <w:tr>
        <w:trPr>
          <w:trHeight w:val="235" w:hRule="atLeast"/>
        </w:trPr>
        <w:tc>
          <w:tcPr>
            <w:tcW w:w="2208" w:type="dxa"/>
            <w:tcBorders/>
          </w:tcPr>
          <w:p>
            <w:pPr>
              <w:pStyle w:val="TableContents"/>
              <w:spacing w:before="0" w:after="113"/>
              <w:rPr/>
            </w:pPr>
            <w:r>
              <w:rPr/>
              <w:t>1899</w:t>
            </w:r>
          </w:p>
        </w:tc>
        <w:tc>
          <w:tcPr>
            <w:tcW w:w="7430" w:type="dxa"/>
            <w:tcBorders/>
          </w:tcPr>
          <w:p>
            <w:pPr>
              <w:pStyle w:val="TableContent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8" w:type="dxa"/>
            <w:tcBorders/>
          </w:tcPr>
          <w:p>
            <w:pPr>
              <w:pStyle w:val="TableContents"/>
              <w:spacing w:before="0" w:after="113"/>
              <w:rPr/>
            </w:pPr>
            <w:r>
              <w:rPr/>
              <w:t>1907</w:t>
            </w:r>
          </w:p>
        </w:tc>
        <w:tc>
          <w:tcPr>
            <w:tcW w:w="7430" w:type="dxa"/>
            <w:tcBorders/>
          </w:tcPr>
          <w:p>
            <w:pPr>
              <w:pStyle w:val="TableContents"/>
              <w:spacing w:before="0" w:after="113"/>
              <w:rPr/>
            </w:pPr>
            <w:r>
              <w:rPr/>
              <w:t xml:space="preserve">Charles R. Knight painted a rearing </w:t>
            </w:r>
            <w:r>
              <w:rPr>
                <w:i/>
                <w:iCs/>
              </w:rPr>
              <w:t>Diplodocus</w:t>
            </w:r>
            <w:r>
              <w:rPr/>
              <w:t>.</w:t>
            </w:r>
          </w:p>
        </w:tc>
      </w:tr>
      <w:tr>
        <w:trPr>
          <w:trHeight w:val="235" w:hRule="atLeast"/>
        </w:trPr>
        <w:tc>
          <w:tcPr>
            <w:tcW w:w="2208" w:type="dxa"/>
            <w:tcBorders/>
          </w:tcPr>
          <w:p>
            <w:pPr>
              <w:pStyle w:val="TableContents"/>
              <w:spacing w:before="0" w:after="113"/>
              <w:rPr/>
            </w:pPr>
            <w:r>
              <w:rPr/>
              <w:t>Late 1916</w:t>
            </w:r>
          </w:p>
        </w:tc>
        <w:tc>
          <w:tcPr>
            <w:tcW w:w="7430" w:type="dxa"/>
            <w:tcBorders/>
          </w:tcPr>
          <w:p>
            <w:pPr>
              <w:pStyle w:val="TableContent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8" w:type="dxa"/>
            <w:tcBorders/>
          </w:tcPr>
          <w:p>
            <w:pPr>
              <w:pStyle w:val="TableContents"/>
              <w:spacing w:before="0" w:after="113"/>
              <w:rPr/>
            </w:pPr>
            <w:r>
              <w:rPr/>
              <w:t>1917</w:t>
            </w:r>
          </w:p>
        </w:tc>
        <w:tc>
          <w:tcPr>
            <w:tcW w:w="7430" w:type="dxa"/>
            <w:tcBorders/>
          </w:tcPr>
          <w:p>
            <w:pPr>
              <w:pStyle w:val="TableContents"/>
              <w:spacing w:before="0" w:after="113"/>
              <w:rPr/>
            </w:pPr>
            <w:r>
              <w:rPr/>
              <w:t>Lull’s published abstract very briefly described the type specimen.</w:t>
            </w:r>
          </w:p>
        </w:tc>
      </w:tr>
      <w:tr>
        <w:trPr>
          <w:trHeight w:val="235" w:hRule="atLeast"/>
        </w:trPr>
        <w:tc>
          <w:tcPr>
            <w:tcW w:w="2208" w:type="dxa"/>
            <w:tcBorders/>
          </w:tcPr>
          <w:p>
            <w:pPr>
              <w:pStyle w:val="TableContents"/>
              <w:spacing w:before="0" w:after="113"/>
              <w:rPr/>
            </w:pPr>
            <w:r>
              <w:rPr/>
              <w:t>1919</w:t>
            </w:r>
          </w:p>
        </w:tc>
        <w:tc>
          <w:tcPr>
            <w:tcW w:w="7430" w:type="dxa"/>
            <w:tcBorders/>
          </w:tcPr>
          <w:p>
            <w:pPr>
              <w:pStyle w:val="TableContents"/>
              <w:spacing w:before="0" w:after="113"/>
              <w:rPr/>
            </w:pPr>
            <w:r>
              <w:rPr/>
              <w:t>Lull’s detailed monographic description of the type specimen.</w:t>
            </w:r>
          </w:p>
        </w:tc>
      </w:tr>
      <w:tr>
        <w:trPr>
          <w:trHeight w:val="235" w:hRule="atLeast"/>
        </w:trPr>
        <w:tc>
          <w:tcPr>
            <w:tcW w:w="2208" w:type="dxa"/>
            <w:tcBorders/>
          </w:tcPr>
          <w:p>
            <w:pPr>
              <w:pStyle w:val="TableContents"/>
              <w:spacing w:before="0" w:after="113"/>
              <w:rPr/>
            </w:pPr>
            <w:r>
              <w:rPr/>
              <w:t>1922</w:t>
            </w:r>
          </w:p>
        </w:tc>
        <w:tc>
          <w:tcPr>
            <w:tcW w:w="7430" w:type="dxa"/>
            <w:tcBorders/>
          </w:tcPr>
          <w:p>
            <w:pPr>
              <w:pStyle w:val="TableContent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8" w:type="dxa"/>
            <w:tcBorders/>
          </w:tcPr>
          <w:p>
            <w:pPr>
              <w:pStyle w:val="TableContents"/>
              <w:spacing w:before="0" w:after="113"/>
              <w:rPr/>
            </w:pPr>
            <w:r>
              <w:rPr/>
              <w:t>1922–1923</w:t>
            </w:r>
          </w:p>
        </w:tc>
        <w:tc>
          <w:tcPr>
            <w:tcW w:w="7430" w:type="dxa"/>
            <w:tcBorders/>
          </w:tcPr>
          <w:p>
            <w:pPr>
              <w:pStyle w:val="TableContent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8" w:type="dxa"/>
            <w:tcBorders/>
          </w:tcPr>
          <w:p>
            <w:pPr>
              <w:pStyle w:val="TableContents"/>
              <w:spacing w:before="0" w:after="113"/>
              <w:rPr/>
            </w:pPr>
            <w:r>
              <w:rPr/>
              <w:t>Mid-1920s</w:t>
            </w:r>
          </w:p>
        </w:tc>
        <w:tc>
          <w:tcPr>
            <w:tcW w:w="7430" w:type="dxa"/>
            <w:tcBorders/>
          </w:tcPr>
          <w:p>
            <w:pPr>
              <w:pStyle w:val="TableContents"/>
              <w:spacing w:before="0" w:after="113"/>
              <w:rPr/>
            </w:pPr>
            <w:r>
              <w:rPr/>
              <w:t xml:space="preserve">The neck of #340 was sent to the USNM to provide material for a </w:t>
            </w:r>
            <w:r>
              <w:rPr>
                <w:i/>
                <w:iCs/>
              </w:rPr>
              <w:t>Diplodocus</w:t>
            </w:r>
            <w:r>
              <w:rPr/>
              <w:t xml:space="preserve"> skeletal mount based on USNM 10865.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8" w:type="dxa"/>
            <w:tcBorders/>
          </w:tcPr>
          <w:p>
            <w:pPr>
              <w:pStyle w:val="TableContents"/>
              <w:spacing w:before="0" w:after="113"/>
              <w:rPr/>
            </w:pPr>
            <w:r>
              <w:rPr/>
              <w:t>1929</w:t>
            </w:r>
          </w:p>
        </w:tc>
        <w:tc>
          <w:tcPr>
            <w:tcW w:w="7430" w:type="dxa"/>
            <w:tcBorders/>
          </w:tcPr>
          <w:p>
            <w:pPr>
              <w:pStyle w:val="TableContents"/>
              <w:spacing w:before="0" w:after="113"/>
              <w:rPr/>
            </w:pPr>
            <w:r>
              <w:rPr/>
              <w:t>Barnum Brown realised that the USNM neck and the Carnegie tail belonged to the same individual as the partial skeleton at the University of Utah. He acquired all three three portions of this skeleton and reunited them at the American Museum of Natural History (AMNH) in New York. The reunited skeleton was given the specimen number AMNH 6341.</w:t>
            </w:r>
          </w:p>
        </w:tc>
      </w:tr>
      <w:tr>
        <w:trPr>
          <w:trHeight w:val="246" w:hRule="atLeast"/>
        </w:trPr>
        <w:tc>
          <w:tcPr>
            <w:tcW w:w="2208" w:type="dxa"/>
            <w:tcBorders/>
          </w:tcPr>
          <w:p>
            <w:pPr>
              <w:pStyle w:val="TableContents"/>
              <w:spacing w:before="0" w:after="113"/>
              <w:rPr/>
            </w:pPr>
            <w:r>
              <w:rPr/>
              <w:t>1931</w:t>
            </w:r>
          </w:p>
        </w:tc>
        <w:tc>
          <w:tcPr>
            <w:tcW w:w="7430" w:type="dxa"/>
            <w:tcBorders/>
          </w:tcPr>
          <w:p>
            <w:pPr>
              <w:pStyle w:val="TableContents"/>
              <w:spacing w:before="0" w:after="113"/>
              <w:rPr/>
            </w:pPr>
            <w:r>
              <w:rPr/>
              <w:t>Work began on the Roosevelt Memorial Hall that is the main entrance to the AMNH. It was completed in 1936.</w:t>
            </w:r>
          </w:p>
        </w:tc>
      </w:tr>
      <w:tr>
        <w:trPr>
          <w:trHeight w:val="246" w:hRule="atLeast"/>
        </w:trPr>
        <w:tc>
          <w:tcPr>
            <w:tcW w:w="2208" w:type="dxa"/>
            <w:tcBorders/>
          </w:tcPr>
          <w:p>
            <w:pPr>
              <w:pStyle w:val="TableContents"/>
              <w:spacing w:before="0" w:after="113"/>
              <w:rPr/>
            </w:pPr>
            <w:r>
              <w:rPr/>
              <w:t>17 April 1939</w:t>
            </w:r>
          </w:p>
        </w:tc>
        <w:tc>
          <w:tcPr>
            <w:tcW w:w="7430" w:type="dxa"/>
            <w:tcBorders/>
          </w:tcPr>
          <w:p>
            <w:pPr>
              <w:pStyle w:val="TableContents"/>
              <w:spacing w:before="0" w:after="113"/>
              <w:rPr/>
            </w:pPr>
            <w:r>
              <w:rPr/>
              <w:t>The presacral vertebrae and some limb bones of AMNH 6341 were exhibited in the Hall of Early Dinosaurs.</w:t>
            </w:r>
          </w:p>
        </w:tc>
      </w:tr>
      <w:tr>
        <w:trPr>
          <w:trHeight w:val="246" w:hRule="atLeast"/>
        </w:trPr>
        <w:tc>
          <w:tcPr>
            <w:tcW w:w="2208" w:type="dxa"/>
            <w:tcBorders/>
          </w:tcPr>
          <w:p>
            <w:pPr>
              <w:pStyle w:val="TableContents"/>
              <w:spacing w:before="0" w:after="113"/>
              <w:rPr/>
            </w:pPr>
            <w:r>
              <w:rPr/>
              <w:t>Early 1950s</w:t>
            </w:r>
          </w:p>
        </w:tc>
        <w:tc>
          <w:tcPr>
            <w:tcW w:w="7430" w:type="dxa"/>
            <w:tcBorders/>
          </w:tcPr>
          <w:p>
            <w:pPr>
              <w:pStyle w:val="TableContents"/>
              <w:spacing w:before="0" w:after="113"/>
              <w:rPr/>
            </w:pPr>
            <w:r>
              <w:rPr/>
              <w:t>The AMNH 6341 elements were removed from display as part of Edwin H. Colbert’s renovation of the galleries.</w:t>
            </w:r>
          </w:p>
        </w:tc>
      </w:tr>
      <w:tr>
        <w:trPr>
          <w:trHeight w:val="246" w:hRule="atLeast"/>
        </w:trPr>
        <w:tc>
          <w:tcPr>
            <w:tcW w:w="2208" w:type="dxa"/>
            <w:tcBorders/>
          </w:tcPr>
          <w:p>
            <w:pPr>
              <w:pStyle w:val="TableContents"/>
              <w:spacing w:before="0" w:after="113"/>
              <w:rPr/>
            </w:pPr>
            <w:r>
              <w:rPr/>
              <w:t>1952</w:t>
            </w:r>
          </w:p>
        </w:tc>
        <w:tc>
          <w:tcPr>
            <w:tcW w:w="7430" w:type="dxa"/>
            <w:tcBorders/>
          </w:tcPr>
          <w:p>
            <w:pPr>
              <w:pStyle w:val="TableContent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8" w:type="dxa"/>
            <w:tcBorders/>
          </w:tcPr>
          <w:p>
            <w:pPr>
              <w:pStyle w:val="TableContents"/>
              <w:spacing w:before="0" w:after="113"/>
              <w:rPr/>
            </w:pPr>
            <w:r>
              <w:rPr/>
              <w:t>8 June, 1957</w:t>
            </w:r>
          </w:p>
        </w:tc>
        <w:tc>
          <w:tcPr>
            <w:tcW w:w="7430" w:type="dxa"/>
            <w:tcBorders/>
          </w:tcPr>
          <w:p>
            <w:pPr>
              <w:pStyle w:val="TableContent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8" w:type="dxa"/>
            <w:tcBorders/>
          </w:tcPr>
          <w:p>
            <w:pPr>
              <w:pStyle w:val="TableContents"/>
              <w:spacing w:before="0" w:after="113"/>
              <w:rPr/>
            </w:pPr>
            <w:r>
              <w:rPr/>
              <w:t>1970</w:t>
            </w:r>
          </w:p>
        </w:tc>
        <w:tc>
          <w:tcPr>
            <w:tcW w:w="7430" w:type="dxa"/>
            <w:tcBorders/>
          </w:tcPr>
          <w:p>
            <w:pPr>
              <w:pStyle w:val="TableContents"/>
              <w:spacing w:before="0" w:after="113"/>
              <w:rPr/>
            </w:pPr>
            <w:r>
              <w:rPr/>
              <w:t>Eugene S. Gaffney succeeded Colbert as curator of the fossil reptile collection at the AMNH.</w:t>
            </w:r>
          </w:p>
        </w:tc>
      </w:tr>
      <w:tr>
        <w:trPr>
          <w:trHeight w:val="246" w:hRule="atLeast"/>
        </w:trPr>
        <w:tc>
          <w:tcPr>
            <w:tcW w:w="2208" w:type="dxa"/>
            <w:tcBorders/>
          </w:tcPr>
          <w:p>
            <w:pPr>
              <w:pStyle w:val="TableContents"/>
              <w:spacing w:before="0" w:after="113"/>
              <w:rPr/>
            </w:pPr>
            <w:r>
              <w:rPr/>
              <w:t>1977</w:t>
            </w:r>
          </w:p>
        </w:tc>
        <w:tc>
          <w:tcPr>
            <w:tcW w:w="7430" w:type="dxa"/>
            <w:tcBorders/>
          </w:tcPr>
          <w:p>
            <w:pPr>
              <w:pStyle w:val="TableContents"/>
              <w:spacing w:before="0" w:after="113"/>
              <w:rPr/>
            </w:pPr>
            <w:r>
              <w:rPr/>
              <w:t>Peter May began working with skeletal mounts at the Royal Ontario Museum.</w:t>
            </w:r>
          </w:p>
        </w:tc>
      </w:tr>
      <w:tr>
        <w:trPr>
          <w:trHeight w:val="246" w:hRule="atLeast"/>
        </w:trPr>
        <w:tc>
          <w:tcPr>
            <w:tcW w:w="2208" w:type="dxa"/>
            <w:tcBorders/>
          </w:tcPr>
          <w:p>
            <w:pPr>
              <w:pStyle w:val="TableContents"/>
              <w:spacing w:before="0" w:after="113"/>
              <w:rPr/>
            </w:pPr>
            <w:r>
              <w:rPr/>
              <w:t>1978</w:t>
            </w:r>
          </w:p>
        </w:tc>
        <w:tc>
          <w:tcPr>
            <w:tcW w:w="7430" w:type="dxa"/>
            <w:tcBorders/>
          </w:tcPr>
          <w:p>
            <w:pPr>
              <w:pStyle w:val="TableContent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8" w:type="dxa"/>
            <w:tcBorders/>
          </w:tcPr>
          <w:p>
            <w:pPr>
              <w:pStyle w:val="TableContents"/>
              <w:spacing w:before="0" w:after="113"/>
              <w:rPr/>
            </w:pPr>
            <w:r>
              <w:rPr/>
              <w:t>1986</w:t>
            </w:r>
          </w:p>
        </w:tc>
        <w:tc>
          <w:tcPr>
            <w:tcW w:w="7430" w:type="dxa"/>
            <w:tcBorders/>
          </w:tcPr>
          <w:p>
            <w:pPr>
              <w:pStyle w:val="TableContents"/>
              <w:spacing w:before="0" w:after="113"/>
              <w:rPr/>
            </w:pPr>
            <w:r>
              <w:rPr/>
              <w:t>The AMNH began planning an extensive renovation of its fossil halls.</w:t>
            </w:r>
          </w:p>
        </w:tc>
      </w:tr>
      <w:tr>
        <w:trPr>
          <w:trHeight w:val="246" w:hRule="atLeast"/>
        </w:trPr>
        <w:tc>
          <w:tcPr>
            <w:tcW w:w="2208" w:type="dxa"/>
            <w:tcBorders/>
          </w:tcPr>
          <w:p>
            <w:pPr>
              <w:pStyle w:val="TableContents"/>
              <w:spacing w:before="0" w:after="113"/>
              <w:rPr/>
            </w:pPr>
            <w:r>
              <w:rPr/>
              <w:t>1989</w:t>
            </w:r>
          </w:p>
        </w:tc>
        <w:tc>
          <w:tcPr>
            <w:tcW w:w="7430" w:type="dxa"/>
            <w:tcBorders/>
          </w:tcPr>
          <w:p>
            <w:pPr>
              <w:pStyle w:val="TableContent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House’s new building.</w:t>
            </w:r>
          </w:p>
        </w:tc>
      </w:tr>
      <w:tr>
        <w:trPr>
          <w:trHeight w:val="246" w:hRule="atLeast"/>
        </w:trPr>
        <w:tc>
          <w:tcPr>
            <w:tcW w:w="2208" w:type="dxa"/>
            <w:tcBorders/>
          </w:tcPr>
          <w:p>
            <w:pPr>
              <w:pStyle w:val="TableContents"/>
              <w:spacing w:before="0" w:after="113"/>
              <w:rPr/>
            </w:pPr>
            <w:r>
              <w:rPr/>
              <w:t>1990</w:t>
            </w:r>
          </w:p>
        </w:tc>
        <w:tc>
          <w:tcPr>
            <w:tcW w:w="7430" w:type="dxa"/>
            <w:tcBorders/>
          </w:tcPr>
          <w:p>
            <w:pPr>
              <w:pStyle w:val="TableContents"/>
              <w:spacing w:before="0" w:after="113"/>
              <w:rPr/>
            </w:pPr>
            <w:r>
              <w:rPr/>
              <w:t>Peter May went full time with his company Research Casting International (RCI).</w:t>
            </w:r>
          </w:p>
        </w:tc>
      </w:tr>
      <w:tr>
        <w:trPr>
          <w:trHeight w:val="246" w:hRule="atLeast"/>
        </w:trPr>
        <w:tc>
          <w:tcPr>
            <w:tcW w:w="2208" w:type="dxa"/>
            <w:tcBorders/>
          </w:tcPr>
          <w:p>
            <w:pPr>
              <w:pStyle w:val="TableContents"/>
              <w:spacing w:before="0" w:after="113"/>
              <w:rPr/>
            </w:pPr>
            <w:r>
              <w:rPr/>
              <w:t>28 March 1990</w:t>
            </w:r>
          </w:p>
        </w:tc>
        <w:tc>
          <w:tcPr>
            <w:tcW w:w="7430" w:type="dxa"/>
            <w:tcBorders/>
          </w:tcPr>
          <w:p>
            <w:pPr>
              <w:pStyle w:val="TableContents"/>
              <w:spacing w:before="0" w:after="113"/>
              <w:rPr/>
            </w:pPr>
            <w:r>
              <w:rPr/>
              <w:t xml:space="preserve">A formal agreement was made between AMNH and RCI for the project to mount a cast of </w:t>
            </w:r>
            <w:r>
              <w:rPr>
                <w:i/>
                <w:iCs/>
              </w:rPr>
              <w:t>Barosaurus</w:t>
            </w:r>
            <w:r>
              <w:rPr/>
              <w:t xml:space="preserve"> AMNH 6341.</w:t>
            </w:r>
          </w:p>
        </w:tc>
      </w:tr>
      <w:tr>
        <w:trPr>
          <w:trHeight w:val="246" w:hRule="atLeast"/>
        </w:trPr>
        <w:tc>
          <w:tcPr>
            <w:tcW w:w="2208" w:type="dxa"/>
            <w:tcBorders/>
          </w:tcPr>
          <w:p>
            <w:pPr>
              <w:pStyle w:val="TableContents"/>
              <w:spacing w:before="0" w:after="113"/>
              <w:rPr/>
            </w:pPr>
            <w:r>
              <w:rPr/>
              <w:t>Fall 1990</w:t>
            </w:r>
          </w:p>
        </w:tc>
        <w:tc>
          <w:tcPr>
            <w:tcW w:w="7430" w:type="dxa"/>
            <w:tcBorders/>
          </w:tcPr>
          <w:p>
            <w:pPr>
              <w:pStyle w:val="TableContent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8" w:type="dxa"/>
            <w:tcBorders/>
          </w:tcPr>
          <w:p>
            <w:pPr>
              <w:pStyle w:val="TableContents"/>
              <w:spacing w:before="0" w:after="113"/>
              <w:rPr/>
            </w:pPr>
            <w:r>
              <w:rPr/>
              <w:t>Late 1990/early 1991</w:t>
            </w:r>
          </w:p>
        </w:tc>
        <w:tc>
          <w:tcPr>
            <w:tcW w:w="7430" w:type="dxa"/>
            <w:tcBorders/>
          </w:tcPr>
          <w:p>
            <w:pPr>
              <w:pStyle w:val="TableContent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8" w:type="dxa"/>
            <w:tcBorders/>
          </w:tcPr>
          <w:p>
            <w:pPr>
              <w:pStyle w:val="TableContents"/>
              <w:spacing w:before="0" w:after="113"/>
              <w:rPr/>
            </w:pPr>
            <w:r>
              <w:rPr/>
              <w:t>Spring 1991</w:t>
            </w:r>
          </w:p>
        </w:tc>
        <w:tc>
          <w:tcPr>
            <w:tcW w:w="7430" w:type="dxa"/>
            <w:tcBorders/>
          </w:tcPr>
          <w:p>
            <w:pPr>
              <w:pStyle w:val="TableContent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8" w:type="dxa"/>
            <w:tcBorders/>
          </w:tcPr>
          <w:p>
            <w:pPr>
              <w:pStyle w:val="TableContents"/>
              <w:spacing w:before="0" w:after="113"/>
              <w:rPr/>
            </w:pPr>
            <w:r>
              <w:rPr/>
              <w:t>Summer 1991</w:t>
            </w:r>
          </w:p>
        </w:tc>
        <w:tc>
          <w:tcPr>
            <w:tcW w:w="7430" w:type="dxa"/>
            <w:tcBorders/>
          </w:tcPr>
          <w:p>
            <w:pPr>
              <w:pStyle w:val="TableContents"/>
              <w:spacing w:before="0" w:after="113"/>
              <w:rPr/>
            </w:pPr>
            <w:r>
              <w:rPr/>
              <w:t>Gene Gaffney and Peter May found a site in northeastern Montana that could be molded and cast to provide a base for the skeletons.</w:t>
            </w:r>
          </w:p>
        </w:tc>
      </w:tr>
      <w:tr>
        <w:trPr>
          <w:trHeight w:val="246" w:hRule="atLeast"/>
        </w:trPr>
        <w:tc>
          <w:tcPr>
            <w:tcW w:w="2208" w:type="dxa"/>
            <w:tcBorders/>
          </w:tcPr>
          <w:p>
            <w:pPr>
              <w:pStyle w:val="TableContents"/>
              <w:spacing w:before="0" w:after="113"/>
              <w:rPr/>
            </w:pPr>
            <w:r>
              <w:rPr/>
              <w:t>November 1991</w:t>
            </w:r>
          </w:p>
        </w:tc>
        <w:tc>
          <w:tcPr>
            <w:tcW w:w="7430" w:type="dxa"/>
            <w:tcBorders/>
          </w:tcPr>
          <w:p>
            <w:pPr>
              <w:pStyle w:val="TableContents"/>
              <w:spacing w:before="0" w:after="113"/>
              <w:rPr/>
            </w:pPr>
            <w:r>
              <w:rPr/>
              <w:t>The work in Toronto was complete, and the completed exhibit was transported to New York.</w:t>
            </w:r>
          </w:p>
        </w:tc>
      </w:tr>
      <w:tr>
        <w:trPr>
          <w:trHeight w:val="246" w:hRule="atLeast"/>
        </w:trPr>
        <w:tc>
          <w:tcPr>
            <w:tcW w:w="2208" w:type="dxa"/>
            <w:tcBorders/>
          </w:tcPr>
          <w:p>
            <w:pPr>
              <w:pStyle w:val="TableContents"/>
              <w:spacing w:before="0" w:after="113"/>
              <w:rPr/>
            </w:pPr>
            <w:r>
              <w:rPr/>
              <w:t>29 November 1991</w:t>
            </w:r>
          </w:p>
        </w:tc>
        <w:tc>
          <w:tcPr>
            <w:tcW w:w="7430" w:type="dxa"/>
            <w:tcBorders/>
          </w:tcPr>
          <w:p>
            <w:pPr>
              <w:pStyle w:val="TableContent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8" w:type="dxa"/>
            <w:tcBorders/>
          </w:tcPr>
          <w:p>
            <w:pPr>
              <w:pStyle w:val="TableContents"/>
              <w:spacing w:before="0" w:after="113"/>
              <w:rPr/>
            </w:pPr>
            <w:r>
              <w:rPr/>
              <w:t>3 December 1991</w:t>
            </w:r>
          </w:p>
        </w:tc>
        <w:tc>
          <w:tcPr>
            <w:tcW w:w="7430" w:type="dxa"/>
            <w:tcBorders/>
          </w:tcPr>
          <w:p>
            <w:pPr>
              <w:pStyle w:val="TableContent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8" w:type="dxa"/>
            <w:tcBorders/>
          </w:tcPr>
          <w:p>
            <w:pPr>
              <w:pStyle w:val="TableContents"/>
              <w:spacing w:before="0" w:after="113"/>
              <w:rPr/>
            </w:pPr>
            <w:r>
              <w:rPr/>
              <w:t>4 December 1991</w:t>
            </w:r>
          </w:p>
        </w:tc>
        <w:tc>
          <w:tcPr>
            <w:tcW w:w="7430" w:type="dxa"/>
            <w:tcBorders/>
          </w:tcPr>
          <w:p>
            <w:pPr>
              <w:pStyle w:val="TableContents"/>
              <w:spacing w:before="0" w:after="113"/>
              <w:rPr/>
            </w:pPr>
            <w:r>
              <w:rPr/>
              <w:t>The exhibit was opened to the public.</w:t>
            </w:r>
          </w:p>
        </w:tc>
      </w:tr>
      <w:tr>
        <w:trPr>
          <w:trHeight w:val="246" w:hRule="atLeast"/>
        </w:trPr>
        <w:tc>
          <w:tcPr>
            <w:tcW w:w="2208" w:type="dxa"/>
            <w:tcBorders/>
          </w:tcPr>
          <w:p>
            <w:pPr>
              <w:pStyle w:val="TableContents"/>
              <w:spacing w:before="0" w:after="113"/>
              <w:rPr/>
            </w:pPr>
            <w:r>
              <w:rPr/>
              <w:t>2005</w:t>
            </w:r>
          </w:p>
        </w:tc>
        <w:tc>
          <w:tcPr>
            <w:tcW w:w="7430" w:type="dxa"/>
            <w:tcBorders/>
          </w:tcPr>
          <w:p>
            <w:pPr>
              <w:pStyle w:val="TableContents"/>
              <w:spacing w:before="0" w:after="113"/>
              <w:rPr/>
            </w:pPr>
            <w:r>
              <w:rPr/>
              <w:t xml:space="preserve">McIntosh’s (2005) paper on </w:t>
            </w:r>
            <w:r>
              <w:rPr>
                <w:i/>
                <w:iCs/>
              </w:rPr>
              <w:t>Barosaurus</w:t>
            </w:r>
            <w:r>
              <w:rPr/>
              <w:t xml:space="preserve"> included the first scientific description of AMNH 6341.</w:t>
            </w:r>
          </w:p>
        </w:tc>
      </w:tr>
      <w:tr>
        <w:trPr>
          <w:trHeight w:val="246" w:hRule="atLeast"/>
        </w:trPr>
        <w:tc>
          <w:tcPr>
            <w:tcW w:w="2208" w:type="dxa"/>
            <w:tcBorders/>
          </w:tcPr>
          <w:p>
            <w:pPr>
              <w:pStyle w:val="TableContents"/>
              <w:spacing w:before="0" w:after="113"/>
              <w:rPr/>
            </w:pPr>
            <w:r>
              <w:rPr/>
              <w:t>2007</w:t>
            </w:r>
          </w:p>
        </w:tc>
        <w:tc>
          <w:tcPr>
            <w:tcW w:w="7430" w:type="dxa"/>
            <w:tcBorders/>
          </w:tcPr>
          <w:p>
            <w:pPr>
              <w:pStyle w:val="TableContents"/>
              <w:spacing w:before="0" w:after="113"/>
              <w:rPr/>
            </w:pPr>
            <w:r>
              <w:rPr/>
              <w:t>David Evans realised ROM 3670 (a “</w:t>
            </w:r>
            <w:r>
              <w:rPr>
                <w:i/>
                <w:iCs/>
              </w:rPr>
              <w:t>Diplodocus</w:t>
            </w:r>
            <w:r>
              <w:rPr/>
              <w:t xml:space="preserve">” traded from the Carnegie Museum around 1962) was actually </w:t>
            </w:r>
            <w:r>
              <w:rPr>
                <w:i/>
                <w:iCs/>
              </w:rPr>
              <w:t>Barosaurus</w:t>
            </w:r>
            <w:r>
              <w:rPr/>
              <w:t>.</w:t>
            </w:r>
          </w:p>
        </w:tc>
      </w:tr>
      <w:tr>
        <w:trPr>
          <w:trHeight w:val="246" w:hRule="atLeast"/>
        </w:trPr>
        <w:tc>
          <w:tcPr>
            <w:tcW w:w="2208" w:type="dxa"/>
            <w:tcBorders/>
          </w:tcPr>
          <w:p>
            <w:pPr>
              <w:pStyle w:val="TableContents"/>
              <w:spacing w:before="0" w:after="113"/>
              <w:rPr/>
            </w:pPr>
            <w:r>
              <w:rPr/>
              <w:t>5 December 2007</w:t>
            </w:r>
          </w:p>
        </w:tc>
        <w:tc>
          <w:tcPr>
            <w:tcW w:w="7430" w:type="dxa"/>
            <w:tcBorders/>
          </w:tcPr>
          <w:p>
            <w:pPr>
              <w:pStyle w:val="TableContents"/>
              <w:spacing w:before="0" w:after="113"/>
              <w:rPr/>
            </w:pPr>
            <w:r>
              <w:rPr/>
              <w:t>ROM 3670 (“Gordo”) was unveiled in Toronto, having been mounted by RCI.</w:t>
            </w:r>
          </w:p>
        </w:tc>
      </w:tr>
    </w:tbl>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Gill Sans">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ind w:hanging="0" w:left="0" w:right="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spacing w:before="567" w:after="142"/>
      <w:ind w:hanging="0" w:left="0" w:right="0"/>
      <w:jc w:val="left"/>
      <w:outlineLvl w:val="0"/>
    </w:pPr>
    <w:rPr>
      <w:b/>
      <w:bCs/>
      <w:sz w:val="32"/>
      <w:szCs w:val="36"/>
    </w:rPr>
  </w:style>
  <w:style w:type="paragraph" w:styleId="Heading2">
    <w:name w:val="heading 2"/>
    <w:basedOn w:val="Heading"/>
    <w:next w:val="BodyText"/>
    <w:qFormat/>
    <w:pPr>
      <w:spacing w:before="198" w:after="119"/>
      <w:ind w:hanging="0" w:left="0" w:right="0"/>
      <w:outlineLvl w:val="1"/>
    </w:pPr>
    <w:rPr>
      <w:rFonts w:ascii="Gill Sans" w:hAnsi="Gill Sans" w:eastAsia="Songti SC" w:cs="Arial Unicode MS"/>
      <w:b/>
      <w:bCs/>
      <w:sz w:val="24"/>
      <w:szCs w:val="36"/>
    </w:rPr>
  </w:style>
  <w:style w:type="paragraph" w:styleId="Heading3">
    <w:name w:val="heading 3"/>
    <w:basedOn w:val="Heading"/>
    <w:next w:val="BodyText"/>
    <w:qFormat/>
    <w:pPr>
      <w:spacing w:before="142" w:after="142"/>
      <w:ind w:hanging="0" w:left="0" w:right="0"/>
      <w:outlineLvl w:val="2"/>
    </w:pPr>
    <w:rPr>
      <w:b w:val="false"/>
      <w:bCs/>
      <w:sz w:val="22"/>
      <w:szCs w:val="28"/>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Hyperlink">
    <w:name w:val="Hyperlink"/>
    <w:rPr>
      <w:color w:val="000080"/>
      <w:u w:val="single"/>
      <w:lang w:val="zxx" w:eastAsia="zxx" w:bidi="zxx"/>
    </w:rPr>
  </w:style>
  <w:style w:type="character" w:styleId="FollowedHyperlink">
    <w:name w:val="FollowedHyperlink"/>
    <w:qFormat/>
    <w:rPr>
      <w:color w:val="800000"/>
      <w:u w:val="single"/>
      <w:lang w:val="zxx" w:eastAsia="zxx" w:bidi="zxx"/>
    </w:rPr>
  </w:style>
  <w:style w:type="character" w:styleId="IndexLink">
    <w:name w:val="Index Link"/>
    <w:qFormat/>
    <w:rPr/>
  </w:style>
  <w:style w:type="character" w:styleId="Bulletsuser">
    <w:name w:val="Bullets (user)"/>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Gill Sans" w:hAnsi="Gill Sans" w:eastAsia="PingFang SC" w:cs="Arial Unicode MS"/>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spacing w:before="238" w:after="119"/>
      <w:jc w:val="left"/>
    </w:pPr>
    <w:rPr>
      <w:b/>
      <w:bCs/>
      <w:sz w:val="38"/>
      <w:szCs w:val="56"/>
    </w:rPr>
  </w:style>
  <w:style w:type="paragraph" w:styleId="Author">
    <w:name w:val="Author"/>
    <w:basedOn w:val="BodyText"/>
    <w:qFormat/>
    <w:pPr>
      <w:tabs>
        <w:tab w:val="clear" w:pos="720"/>
      </w:tabs>
      <w:spacing w:before="0" w:after="142"/>
      <w:ind w:hanging="283" w:left="283" w:right="0"/>
      <w:jc w:val="left"/>
    </w:pPr>
    <w:rPr>
      <w:b w:val="false"/>
      <w:i/>
    </w:rPr>
  </w:style>
  <w:style w:type="paragraph" w:styleId="BlockQuotationuser">
    <w:name w:val="Block Quotation (user)"/>
    <w:basedOn w:val="Normal"/>
    <w:qFormat/>
    <w:pPr>
      <w:spacing w:lineRule="auto" w:line="276" w:before="0" w:after="283"/>
      <w:ind w:hanging="0" w:left="567" w:right="567"/>
    </w:pPr>
    <w:rPr/>
  </w:style>
  <w:style w:type="paragraph" w:styleId="Abstract">
    <w:name w:val="Abstract"/>
    <w:basedOn w:val="BodyText"/>
    <w:qFormat/>
    <w:pPr>
      <w:spacing w:before="0" w:after="142"/>
      <w:ind w:hanging="0" w:left="567" w:right="567"/>
    </w:pPr>
    <w:rPr>
      <w:i/>
      <w:iCs/>
    </w:rPr>
  </w:style>
  <w:style w:type="paragraph" w:styleId="TOAHeading">
    <w:name w:val="TOA Heading"/>
    <w:basedOn w:val="Heading"/>
    <w:qFormat/>
    <w:pPr>
      <w:pageBreakBefore/>
      <w:suppressLineNumbers/>
      <w:ind w:hanging="0" w:left="0" w:right="0"/>
    </w:pPr>
    <w:rPr>
      <w:b/>
      <w:bCs/>
      <w:sz w:val="32"/>
      <w:szCs w:val="32"/>
    </w:rPr>
  </w:style>
  <w:style w:type="paragraph" w:styleId="TOC1">
    <w:name w:val="toc 1"/>
    <w:basedOn w:val="Index"/>
    <w:pPr>
      <w:tabs>
        <w:tab w:val="clear" w:pos="720"/>
        <w:tab w:val="right" w:pos="9638" w:leader="dot"/>
      </w:tabs>
      <w:ind w:hanging="0" w:left="0" w:right="0"/>
    </w:pPr>
    <w:rPr/>
  </w:style>
  <w:style w:type="paragraph" w:styleId="Reference">
    <w:name w:val="Reference"/>
    <w:basedOn w:val="BodyText"/>
    <w:qFormat/>
    <w:pPr>
      <w:tabs>
        <w:tab w:val="clear" w:pos="720"/>
      </w:tabs>
      <w:spacing w:before="0" w:after="142"/>
      <w:ind w:hanging="283" w:left="283" w:right="0"/>
    </w:pPr>
    <w:rPr/>
  </w:style>
  <w:style w:type="paragraph" w:styleId="TOC2">
    <w:name w:val="toc 2"/>
    <w:basedOn w:val="Index"/>
    <w:pPr>
      <w:tabs>
        <w:tab w:val="clear" w:pos="720"/>
        <w:tab w:val="right" w:pos="9355" w:leader="dot"/>
      </w:tabs>
      <w:ind w:hanging="0" w:left="283" w:right="0"/>
    </w:pPr>
    <w:rPr/>
  </w:style>
  <w:style w:type="paragraph" w:styleId="FigureCaption">
    <w:name w:val="Figure Caption"/>
    <w:basedOn w:val="BodyText"/>
    <w:qFormat/>
    <w:pPr>
      <w:tabs>
        <w:tab w:val="clear" w:pos="720"/>
      </w:tabs>
      <w:spacing w:before="0" w:after="142"/>
      <w:ind w:hanging="283" w:left="283" w:right="0"/>
    </w:pPr>
    <w:rPr/>
  </w:style>
  <w:style w:type="paragraph" w:styleId="TOC3">
    <w:name w:val="toc 3"/>
    <w:basedOn w:val="Index"/>
    <w:pPr>
      <w:tabs>
        <w:tab w:val="clear" w:pos="720"/>
        <w:tab w:val="right" w:pos="9072" w:leader="dot"/>
      </w:tabs>
      <w:ind w:hanging="0" w:left="566" w:right="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hdl.handle.net/2246/6497" TargetMode="External"/><Relationship Id="rId10" Type="http://schemas.openxmlformats.org/officeDocument/2006/relationships/hyperlink" Target="https://doi.org/10.1130/GSAB-30-379" TargetMode="External"/><Relationship Id="rId11" Type="http://schemas.openxmlformats.org/officeDocument/2006/relationships/hyperlink" Target="https://dinotoyblog.com/" TargetMode="External"/><Relationship Id="rId12" Type="http://schemas.openxmlformats.org/officeDocument/2006/relationships/hyperlink" Target="https://github.com/miketaylor/palaeo-superbaro" TargetMode="External"/><Relationship Id="rId13" Type="http://schemas.openxmlformats.org/officeDocument/2006/relationships/hyperlink" Target="https://zenodo.org/records/13732378" TargetMode="External"/><Relationship Id="rId14" Type="http://schemas.openxmlformats.org/officeDocument/2006/relationships/hyperlink" Target="https://doi.org/10.7717/peerj.857"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24266</TotalTime>
  <Application>LibreOffice/26.2.0.3$MacOSX_AARCH64 LibreOffice_project/afbbd0df0edb6d40b450b0337ac646b0913a760c</Application>
  <AppVersion>15.0000</AppVersion>
  <Pages>30</Pages>
  <Words>15455</Words>
  <Characters>81375</Characters>
  <CharactersWithSpaces>96404</CharactersWithSpaces>
  <Paragraphs>368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2021-10-29T20:11:06Z</dcterms:created>
  <dc:creator>Mike Taylor</dc:creator>
  <dc:description/>
  <dc:language>en-GB</dc:language>
  <cp:lastModifiedBy>Mike Taylor</cp:lastModifiedBy>
  <dcterms:modified xsi:type="dcterms:W3CDTF">2026-06-07T22:04:01Z</dcterms:modified>
  <cp:revision>550</cp:revision>
  <dc:subject/>
  <dc:title/>
</cp:coreProperties>
</file>

<file path=docProps/custom.xml><?xml version="1.0" encoding="utf-8"?>
<Properties xmlns="http://schemas.openxmlformats.org/officeDocument/2006/custom-properties" xmlns:vt="http://schemas.openxmlformats.org/officeDocument/2006/docPropsVTypes"/>
</file>