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t xml:space="preserve"> in the American Museum of Natural History</w:t>
      </w:r>
    </w:p>
    <w:p>
      <w:pPr>
        <w:pStyle w:val="Author"/>
        <w:rPr/>
      </w:pPr>
      <w:r>
        <w:rPr/>
      </w:r>
    </w:p>
    <w:p>
      <w:pPr>
        <w:pStyle w:val="Author"/>
        <w:rPr/>
      </w:pPr>
      <w:r>
        <w:rPr>
          <w:b/>
          <w:bCs/>
          <w:i w:val="false"/>
        </w:rPr>
        <w:t>Michael P. Taylor.</w:t>
      </w:r>
      <w:r>
        <w:rPr>
          <w:i w:val="false"/>
        </w:rPr>
        <w:t xml:space="preserve"> Department of Earth Sciences, University of Bristol, Bristol BS8 1RJ, UK. </w:t>
      </w:r>
      <w:hyperlink r:id="rId2">
        <w:r>
          <w:rPr>
            <w:rStyle w:val="Hyperlink"/>
            <w:i w:val="false"/>
          </w:rPr>
          <w:t>dino@miketaylor.org.uk</w:t>
        </w:r>
      </w:hyperlink>
      <w:r>
        <w:rPr>
          <w:i w:val="false"/>
        </w:rPr>
        <w:t xml:space="preserve"> (corresponding author)</w:t>
      </w:r>
    </w:p>
    <w:p>
      <w:pPr>
        <w:pStyle w:val="Author"/>
        <w:rPr/>
      </w:pPr>
      <w:r>
        <w:rPr>
          <w:b/>
          <w:bCs/>
          <w:i w:val="false"/>
        </w:rPr>
        <w:t>Peter May.</w:t>
      </w:r>
      <w:r>
        <w:rPr>
          <w:i w:val="false"/>
        </w:rPr>
        <w:t xml:space="preserve"> Research Casting International, 15 Dufferin Ave, Trenton, Ontario K8V 5C8, Canada. </w:t>
      </w:r>
      <w:hyperlink r:id="rId3">
        <w:r>
          <w:rPr>
            <w:rStyle w:val="Hyperlink"/>
            <w:i w:val="false"/>
          </w:rPr>
          <w:t>pmay@rescast.com</w:t>
        </w:r>
      </w:hyperlink>
    </w:p>
    <w:p>
      <w:pPr>
        <w:pStyle w:val="Author"/>
        <w:rPr/>
      </w:pPr>
      <w:r>
        <w:rPr>
          <w:b/>
          <w:bCs/>
          <w:i w:val="false"/>
        </w:rPr>
        <w:t>Lowell Dingus.</w:t>
      </w:r>
      <w:r>
        <w:rPr>
          <w:i w:val="false"/>
        </w:rPr>
        <w:t xml:space="preserve"> Division of Paleontology, American Museum of Natural History, New York, New York, USA. </w:t>
      </w:r>
      <w:hyperlink r:id="rId4">
        <w:r>
          <w:rPr>
            <w:rStyle w:val="Hyperlink"/>
            <w:i w:val="false"/>
          </w:rPr>
          <w:t>dinglowell@gmail.com</w:t>
        </w:r>
      </w:hyperlink>
    </w:p>
    <w:p>
      <w:pPr>
        <w:pStyle w:val="Author"/>
        <w:rPr/>
      </w:pPr>
      <w:r>
        <w:rPr>
          <w:b/>
          <w:bCs/>
          <w:i w:val="false"/>
        </w:rPr>
        <w:t>Eugene S. Gaffney.</w:t>
      </w:r>
      <w:r>
        <w:rPr>
          <w:i w:val="false"/>
        </w:rPr>
        <w:t xml:space="preserve"> </w:t>
      </w:r>
      <w:bookmarkStart w:id="0" w:name="__DdeLink__2703_3823776798"/>
      <w:r>
        <w:rPr>
          <w:i w:val="false"/>
        </w:rPr>
        <w:t xml:space="preserve">Division of Paleontology, American Museum of Natural History, New York, New York, USA. </w:t>
      </w:r>
      <w:hyperlink r:id="rId5">
        <w:r>
          <w:rPr>
            <w:rStyle w:val="Hyperlink"/>
            <w:i w:val="false"/>
          </w:rPr>
          <w:t>genegaffney373@comcast.net</w:t>
        </w:r>
      </w:hyperlink>
      <w:bookmarkEnd w:id="0"/>
    </w:p>
    <w:p>
      <w:pPr>
        <w:pStyle w:val="Author"/>
        <w:rPr>
          <w:i w:val="false"/>
          <w:iCs w:val="false"/>
        </w:rPr>
      </w:pPr>
      <w:r>
        <w:rPr>
          <w:b/>
          <w:bCs/>
          <w:i w:val="false"/>
          <w:iCs w:val="false"/>
        </w:rPr>
        <w:t>John S. McIntosh</w:t>
      </w:r>
      <w:r>
        <w:rPr>
          <w:i w:val="false"/>
          <w:iCs w:val="false"/>
        </w:rPr>
        <w:t>. Wesleyan University, Science Tower, Middle Town, Connecticut 06457, USA.  (Deceased 2015)</w:t>
      </w:r>
    </w:p>
    <w:p>
      <w:pPr>
        <w:pStyle w:val="Author"/>
        <w:rPr>
          <w:i w:val="false"/>
          <w:iCs w:val="false"/>
        </w:rPr>
      </w:pPr>
      <w:r>
        <w:rPr>
          <w:b/>
          <w:bCs/>
          <w:i w:val="false"/>
          <w:iCs w:val="false"/>
        </w:rPr>
        <w:t>Mark A. Norell.</w:t>
      </w:r>
      <w:r>
        <w:rPr>
          <w:i w:val="false"/>
          <w:iCs w:val="false"/>
        </w:rPr>
        <w:t xml:space="preserve"> Division of Paleontology, American Museum of Natural History, New York, New York, USA. (Deceased 2025).</w:t>
      </w:r>
    </w:p>
    <w:p>
      <w:pPr>
        <w:pStyle w:val="Author"/>
        <w:rPr>
          <w:i w:val="false"/>
        </w:rPr>
      </w:pPr>
      <w:r>
        <w:rPr>
          <w:i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t>Barosaurus</w:t>
      </w:r>
      <w:r>
        <w:rPr>
          <w:i w:val="false"/>
          <w:iCs w:val="false"/>
        </w:rPr>
        <w:t xml:space="preserve"> habitually reared, but to provoke visitors to think about what fossils can and cannot tell us about extinct animals. About 80% of the material in the mount was cast from AMNH 6341. </w:t>
      </w:r>
      <w:r>
        <w:rPr>
          <w:i w:val="false"/>
          <w:iCs w:val="false"/>
        </w:rPr>
        <w:t>Almost all</w:t>
      </w:r>
      <w:r>
        <w:rPr>
          <w:i w:val="false"/>
          <w:iCs w:val="false"/>
        </w:rPr>
        <w:t xml:space="preserve"> of the rest </w:t>
      </w:r>
      <w:r>
        <w:rPr>
          <w:i w:val="false"/>
          <w:iCs w:val="false"/>
        </w:rPr>
        <w:t xml:space="preserve">was </w:t>
      </w:r>
      <w:r>
        <w:rPr>
          <w:i w:val="false"/>
          <w:iCs w:val="false"/>
        </w:rPr>
        <w:t xml:space="preserve">cast from second-generation molds of the Carnegie </w:t>
      </w:r>
      <w:r>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t>Barosaurus</w:t>
      </w:r>
      <w:r>
        <w:rPr>
          <w:i w:val="false"/>
          <w:iCs w:val="false"/>
        </w:rPr>
        <w:t>, sauropod, neck, rearing, skeletal mount, cast</w:t>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8</w:t>
          </w:r>
        </w:p>
        <w:p>
          <w:pPr>
            <w:pStyle w:val="TOC2"/>
            <w:tabs>
              <w:tab w:val="clear" w:pos="9355"/>
              <w:tab w:val="right" w:pos="9637" w:leader="dot"/>
            </w:tabs>
            <w:rPr/>
          </w:pPr>
          <w:r>
            <w:rPr/>
            <w:t>The conception of the mount</w:t>
            <w:tab/>
            <w:t>8</w:t>
          </w:r>
        </w:p>
        <w:p>
          <w:pPr>
            <w:pStyle w:val="TOC2"/>
            <w:tabs>
              <w:tab w:val="clear" w:pos="9355"/>
              <w:tab w:val="right" w:pos="9637" w:leader="dot"/>
            </w:tabs>
            <w:rPr/>
          </w:pPr>
          <w:r>
            <w:rPr/>
            <w:t>The purpose of the mount</w:t>
            <w:tab/>
            <w:t>9</w:t>
          </w:r>
        </w:p>
        <w:p>
          <w:pPr>
            <w:pStyle w:val="TOC2"/>
            <w:tabs>
              <w:tab w:val="clear" w:pos="9355"/>
              <w:tab w:val="right" w:pos="9637" w:leader="dot"/>
            </w:tabs>
            <w:rPr/>
          </w:pPr>
          <w:r>
            <w:rPr/>
            <w:t>The creation of the mount</w:t>
            <w:tab/>
            <w:t>10</w:t>
          </w:r>
        </w:p>
        <w:p>
          <w:pPr>
            <w:pStyle w:val="TOC2"/>
            <w:tabs>
              <w:tab w:val="clear" w:pos="9355"/>
              <w:tab w:val="right" w:pos="9637" w:leader="dot"/>
            </w:tabs>
            <w:rPr/>
          </w:pPr>
          <w:r>
            <w:rPr/>
            <w:t>Photography of the mount</w:t>
            <w:tab/>
            <w:t>13</w:t>
          </w:r>
        </w:p>
        <w:p>
          <w:pPr>
            <w:pStyle w:val="TOC2"/>
            <w:tabs>
              <w:tab w:val="clear" w:pos="9355"/>
              <w:tab w:val="right" w:pos="9637" w:leader="dot"/>
            </w:tabs>
            <w:rPr/>
          </w:pPr>
          <w:r>
            <w:rPr/>
            <w:t>The composition of the mount</w:t>
            <w:tab/>
            <w:t>13</w:t>
          </w:r>
        </w:p>
        <w:p>
          <w:pPr>
            <w:pStyle w:val="TOC3"/>
            <w:tabs>
              <w:tab w:val="clear" w:pos="9072"/>
              <w:tab w:val="right" w:pos="9637" w:leader="dot"/>
            </w:tabs>
            <w:rPr/>
          </w:pPr>
          <w:r>
            <w:rPr/>
            <w:t>Overview</w:t>
            <w:tab/>
            <w:t>13</w:t>
          </w:r>
        </w:p>
        <w:p>
          <w:pPr>
            <w:pStyle w:val="TOC3"/>
            <w:tabs>
              <w:tab w:val="clear" w:pos="9072"/>
              <w:tab w:val="right" w:pos="9637" w:leader="dot"/>
            </w:tabs>
            <w:rPr/>
          </w:pPr>
          <w:r>
            <w:rPr>
              <w:i/>
              <w:iCs/>
            </w:rPr>
            <w:t>Barosaurus</w:t>
          </w:r>
          <w:r>
            <w:rPr/>
            <w:t xml:space="preserve"> material in the mount</w:t>
            <w:tab/>
            <w:t>14</w:t>
          </w:r>
        </w:p>
        <w:p>
          <w:pPr>
            <w:pStyle w:val="TOC3"/>
            <w:tabs>
              <w:tab w:val="clear" w:pos="9072"/>
              <w:tab w:val="right" w:pos="9637" w:leader="dot"/>
            </w:tabs>
            <w:rPr/>
          </w:pPr>
          <w:r>
            <w:rPr/>
            <w:t>Non-</w:t>
          </w:r>
          <w:r>
            <w:rPr>
              <w:i/>
              <w:iCs/>
            </w:rPr>
            <w:t>Barosaurus</w:t>
          </w:r>
          <w:r>
            <w:rPr/>
            <w:t xml:space="preserve"> material in the mount</w:t>
            <w:tab/>
            <w:t>15</w:t>
          </w:r>
        </w:p>
        <w:p>
          <w:pPr>
            <w:pStyle w:val="TOC3"/>
            <w:tabs>
              <w:tab w:val="clear" w:pos="9072"/>
              <w:tab w:val="right" w:pos="9637" w:leader="dot"/>
            </w:tabs>
            <w:rPr/>
          </w:pPr>
          <w:r>
            <w:rPr/>
            <w:t>Skull</w:t>
            <w:tab/>
            <w:t>16</w:t>
          </w:r>
        </w:p>
        <w:p>
          <w:pPr>
            <w:pStyle w:val="TOC3"/>
            <w:tabs>
              <w:tab w:val="clear" w:pos="9072"/>
              <w:tab w:val="right" w:pos="9637" w:leader="dot"/>
            </w:tabs>
            <w:rPr/>
          </w:pPr>
          <w:r>
            <w:rPr/>
            <w:t>Neck</w:t>
            <w:tab/>
            <w:t>16</w:t>
          </w:r>
        </w:p>
        <w:p>
          <w:pPr>
            <w:pStyle w:val="TOC3"/>
            <w:tabs>
              <w:tab w:val="clear" w:pos="9072"/>
              <w:tab w:val="right" w:pos="9637" w:leader="dot"/>
            </w:tabs>
            <w:rPr/>
          </w:pPr>
          <w:r>
            <w:rPr/>
            <w:t>Torso, sacrum and tail</w:t>
            <w:tab/>
            <w:t>17</w:t>
          </w:r>
        </w:p>
        <w:p>
          <w:pPr>
            <w:pStyle w:val="TOC3"/>
            <w:tabs>
              <w:tab w:val="clear" w:pos="9072"/>
              <w:tab w:val="right" w:pos="9637" w:leader="dot"/>
            </w:tabs>
            <w:rPr/>
          </w:pPr>
          <w:r>
            <w:rPr/>
            <w:t>Forelimbs and girdles</w:t>
            <w:tab/>
            <w:t>17</w:t>
          </w:r>
        </w:p>
        <w:p>
          <w:pPr>
            <w:pStyle w:val="TOC3"/>
            <w:tabs>
              <w:tab w:val="clear" w:pos="9072"/>
              <w:tab w:val="right" w:pos="9637" w:leader="dot"/>
            </w:tabs>
            <w:rPr/>
          </w:pPr>
          <w:r>
            <w:rPr/>
            <w:t>Hindlimbs and girdles</w:t>
            <w:tab/>
            <w:t>18</w:t>
          </w:r>
        </w:p>
        <w:p>
          <w:pPr>
            <w:pStyle w:val="TOC1"/>
            <w:tabs>
              <w:tab w:val="clear" w:pos="9638"/>
              <w:tab w:val="right" w:pos="9637" w:leader="dot"/>
            </w:tabs>
            <w:rPr/>
          </w:pPr>
          <w:r>
            <w:rPr/>
            <w:t>Discussion</w:t>
            <w:tab/>
            <w:t>18</w:t>
          </w:r>
        </w:p>
        <w:p>
          <w:pPr>
            <w:pStyle w:val="TOC2"/>
            <w:tabs>
              <w:tab w:val="clear" w:pos="9355"/>
              <w:tab w:val="right" w:pos="9637" w:leader="dot"/>
            </w:tabs>
            <w:rPr/>
          </w:pPr>
          <w:r>
            <w:rPr/>
            <w:t>Size of the AMNH 6341 animal</w:t>
            <w:tab/>
            <w:t>18</w:t>
          </w:r>
        </w:p>
        <w:p>
          <w:pPr>
            <w:pStyle w:val="TOC2"/>
            <w:tabs>
              <w:tab w:val="clear" w:pos="9355"/>
              <w:tab w:val="right" w:pos="9637" w:leader="dot"/>
            </w:tabs>
            <w:rPr/>
          </w:pPr>
          <w:r>
            <w:rPr/>
            <w:t>Rearing pose</w:t>
            <w:tab/>
            <w:t>19</w:t>
          </w:r>
        </w:p>
        <w:p>
          <w:pPr>
            <w:pStyle w:val="TOC2"/>
            <w:tabs>
              <w:tab w:val="clear" w:pos="9355"/>
              <w:tab w:val="right" w:pos="9637" w:leader="dot"/>
            </w:tabs>
            <w:rPr/>
          </w:pPr>
          <w:r>
            <w:rPr/>
            <w:t>A short history of rearing sauropods</w:t>
            <w:tab/>
            <w:t>20</w:t>
          </w:r>
        </w:p>
        <w:p>
          <w:pPr>
            <w:pStyle w:val="TOC2"/>
            <w:tabs>
              <w:tab w:val="clear" w:pos="9355"/>
              <w:tab w:val="right" w:pos="9637" w:leader="dot"/>
            </w:tabs>
            <w:rPr/>
          </w:pPr>
          <w:r>
            <w:rPr/>
            <w:t>Cultural impact</w:t>
            <w:tab/>
            <w:t>22</w:t>
          </w:r>
        </w:p>
        <w:p>
          <w:pPr>
            <w:pStyle w:val="TOC1"/>
            <w:tabs>
              <w:tab w:val="clear" w:pos="9638"/>
              <w:tab w:val="right" w:pos="9637" w:leader="dot"/>
            </w:tabs>
            <w:rPr/>
          </w:pPr>
          <w:r>
            <w:rPr/>
            <w:t>Conclusion</w:t>
            <w:tab/>
            <w:t>23</w:t>
          </w:r>
        </w:p>
        <w:p>
          <w:pPr>
            <w:pStyle w:val="TOC1"/>
            <w:tabs>
              <w:tab w:val="clear" w:pos="9638"/>
              <w:tab w:val="right" w:pos="9637" w:leader="dot"/>
            </w:tabs>
            <w:rPr/>
          </w:pPr>
          <w:r>
            <w:rPr/>
            <w:t>Acknowledgements</w:t>
            <w:tab/>
            <w:t>23</w:t>
          </w:r>
        </w:p>
        <w:p>
          <w:pPr>
            <w:pStyle w:val="TOC1"/>
            <w:tabs>
              <w:tab w:val="clear" w:pos="9638"/>
              <w:tab w:val="right" w:pos="9637" w:leader="dot"/>
            </w:tabs>
            <w:rPr/>
          </w:pPr>
          <w:r>
            <w:rPr/>
            <w:t>References</w:t>
            <w:tab/>
            <w:t>25</w:t>
          </w:r>
        </w:p>
        <w:p>
          <w:pPr>
            <w:pStyle w:val="TOC1"/>
            <w:tabs>
              <w:tab w:val="clear" w:pos="9638"/>
              <w:tab w:val="right" w:pos="9637" w:leader="dot"/>
            </w:tabs>
            <w:rPr/>
          </w:pPr>
          <w:r>
            <w:rPr/>
            <w:t>Figure Captions</w:t>
            <w:tab/>
            <w:t>32</w:t>
          </w:r>
        </w:p>
        <w:p>
          <w:pPr>
            <w:pStyle w:val="TOC1"/>
            <w:tabs>
              <w:tab w:val="clear" w:pos="9638"/>
              <w:tab w:val="right" w:pos="9637" w:leader="dot"/>
            </w:tabs>
            <w:rPr/>
          </w:pPr>
          <w:r>
            <w:rPr/>
            <w:t>Tables</w:t>
            <w:tab/>
            <w:t>36</w:t>
          </w:r>
        </w:p>
        <w:p>
          <w:pPr>
            <w:pStyle w:val="TOC2"/>
            <w:tabs>
              <w:tab w:val="clear" w:pos="9355"/>
              <w:tab w:val="right" w:pos="9637" w:leader="dot"/>
            </w:tabs>
            <w:rPr/>
          </w:pPr>
          <w:r>
            <w:rPr/>
            <w:t>Table 1</w:t>
            <w:tab/>
            <w:t>36</w:t>
          </w:r>
          <w:r>
            <w:rPr/>
            <w:fldChar w:fldCharType="end"/>
          </w:r>
        </w:p>
      </w:sdtContent>
    </w:sdt>
    <w:p>
      <w:pPr>
        <w:pStyle w:val="BodyText"/>
        <w:rPr>
          <w:i/>
          <w:iCs/>
        </w:rPr>
      </w:pPr>
      <w:r>
        <w:rPr>
          <w:i/>
          <w:iCs/>
        </w:rPr>
      </w:r>
    </w:p>
    <w:p>
      <w:pPr>
        <w:pStyle w:val="Heading1"/>
        <w:rPr/>
      </w:pPr>
      <w:bookmarkStart w:id="1" w:name="__RefHeading___Toc3784_1986291683"/>
      <w:bookmarkEnd w:id="1"/>
      <w:r>
        <w:rPr/>
        <w:t>Introduction</w:t>
      </w:r>
    </w:p>
    <w:p>
      <w:pPr>
        <w:pStyle w:val="BodyText"/>
        <w:rPr/>
      </w:pPr>
      <w:r>
        <w:rPr>
          <w:i/>
          <w:iCs/>
        </w:rPr>
        <w:t>Barosaurus</w:t>
      </w:r>
      <w:r>
        <w:rPr/>
        <w:t xml:space="preserve"> is a diplodocid sauropod from the Late Jurassic of North America, found in the extensive Morrison Formation of the American West.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t xml:space="preserve">We follow McIntosh’s (2005) interpretation of the presacral vertebrae of </w:t>
      </w:r>
      <w:r>
        <w:rPr>
          <w:i/>
          <w:iCs/>
        </w:rPr>
        <w:t>Barosaurus</w:t>
      </w:r>
      <w:r>
        <w:rPr/>
        <w:t xml:space="preserve"> consisting of 16 cervicals and nine dorsals, rather than 15 and 10 as in </w:t>
      </w:r>
      <w:r>
        <w:rPr>
          <w:i/>
          <w:iCs/>
        </w:rPr>
        <w:t>Diplodocus</w:t>
      </w:r>
      <w:r>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rPr/>
      </w:pPr>
      <w:r>
        <w:rPr/>
        <w:t>AMNH — American Museum of Natural History, New York, New York, USA.</w:t>
      </w:r>
    </w:p>
    <w:p>
      <w:pPr>
        <w:pStyle w:val="BodyText"/>
        <w:numPr>
          <w:ilvl w:val="0"/>
          <w:numId w:val="4"/>
        </w:numPr>
        <w:rPr/>
      </w:pPr>
      <w:r>
        <w:rPr/>
        <w:t>CM — Carnegie Museum of Natural History, Pittsburgh, Pennsylvania, USA.</w:t>
      </w:r>
    </w:p>
    <w:p>
      <w:pPr>
        <w:pStyle w:val="BodyText"/>
        <w:numPr>
          <w:ilvl w:val="0"/>
          <w:numId w:val="4"/>
        </w:numPr>
        <w:rPr/>
      </w:pPr>
      <w:r>
        <w:rPr/>
        <w:t>HMNS — Houston Museum of Nature and Science, Houston, Texas, USA.</w:t>
      </w:r>
    </w:p>
    <w:p>
      <w:pPr>
        <w:pStyle w:val="BodyText"/>
        <w:numPr>
          <w:ilvl w:val="0"/>
          <w:numId w:val="4"/>
        </w:numPr>
        <w:rPr/>
      </w:pPr>
      <w:r>
        <w:rPr/>
        <w:t>MB — Museum für Naturkunde Berlin, Berlin, Germany; specimen numbers for fossil reptiles take the form MB.R.</w:t>
      </w:r>
      <w:r>
        <w:rPr>
          <w:i/>
          <w:iCs/>
        </w:rPr>
        <w:t>nnnn</w:t>
      </w:r>
      <w:r>
        <w:rPr/>
        <w:t>.</w:t>
      </w:r>
    </w:p>
    <w:p>
      <w:pPr>
        <w:pStyle w:val="BodyText"/>
        <w:numPr>
          <w:ilvl w:val="0"/>
          <w:numId w:val="4"/>
        </w:numPr>
        <w:rPr/>
      </w:pPr>
      <w:r>
        <w:rPr/>
        <w:t>ROM — Royal Ontario Museum, Toronto, Ontario, Canada.</w:t>
      </w:r>
    </w:p>
    <w:p>
      <w:pPr>
        <w:pStyle w:val="BodyText"/>
        <w:numPr>
          <w:ilvl w:val="0"/>
          <w:numId w:val="4"/>
        </w:numPr>
        <w:rPr/>
      </w:pPr>
      <w:r>
        <w:rPr/>
        <w:t>USNM – United States National Museum, Washington, D.C., USA.</w:t>
      </w:r>
    </w:p>
    <w:p>
      <w:pPr>
        <w:pStyle w:val="BodyText"/>
        <w:numPr>
          <w:ilvl w:val="0"/>
          <w:numId w:val="4"/>
        </w:numPr>
        <w:rPr/>
      </w:pPr>
      <w:r>
        <w:rPr/>
        <w:t>YPM — Yale Peabody Museum, New Haven, Connecticut, USA.</w:t>
      </w:r>
    </w:p>
    <w:p>
      <w:pPr>
        <w:pStyle w:val="Heading1"/>
        <w:numPr>
          <w:ilvl w:val="0"/>
          <w:numId w:val="2"/>
        </w:numPr>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correspondence collection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once excavated, would be mounted in the Carnegie Museum in 1913. It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Skeleton #355 was subsequently accessioned as USNM 10865 and mounted in Washington D.C. (Gilmore 1932),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They may still lurk unrecognised in the USNM collections. Matt Caranno (pers. comm., 2026) thinks it is possible they are in the oversized collection at the remote storage facility, but a detailed search would be laborious.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 with its impressive, barrel-vaulted ceiling.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preserved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t>The purpose of the mount</w:t>
      </w:r>
    </w:p>
    <w:p>
      <w:pPr>
        <w:pStyle w:val="BodyText"/>
        <w:rPr/>
      </w:pPr>
      <w:r>
        <w:rPr/>
        <w:t>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“Did this really happen?” (Figure 8):</w:t>
      </w:r>
    </w:p>
    <w:p>
      <w:pPr>
        <w:pStyle w:val="BlockQuotation"/>
        <w:rPr/>
      </w:pPr>
      <w:r>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t xml:space="preserve">) or on their two hind legs (like </w:t>
      </w:r>
      <w:r>
        <w:rPr>
          <w:i/>
          <w:iCs/>
        </w:rPr>
        <w:t>Allosaurus</w:t>
      </w:r>
      <w:r>
        <w:rPr/>
        <w:t xml:space="preserve">). They do not tell us, however, if </w:t>
      </w:r>
      <w:r>
        <w:rPr>
          <w:i/>
          <w:iCs/>
        </w:rPr>
        <w:t>Barosaurus</w:t>
      </w:r>
      <w:r>
        <w:rPr/>
        <w:t xml:space="preserve"> could rear up or if </w:t>
      </w:r>
      <w:r>
        <w:rPr>
          <w:i/>
          <w:iCs/>
        </w:rPr>
        <w:t>Allosaurus</w:t>
      </w:r>
      <w:r>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Early in the process, around March 1990, a prototype model at about 1/16 full size was commissioned at a cost of $3,980 (Galiano 1990), to allow the scene to be created and manipulated at a workable scale (Figure 9). This was created by a model-maker at Maxilla and Mandible,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 (The real presacral vertebrae are on display under the glass walkway behind the mounted </w:t>
      </w:r>
      <w:r>
        <w:rPr>
          <w:i/>
          <w:iCs/>
        </w:rPr>
        <w:t>Apatosaurus</w:t>
      </w:r>
      <w:r>
        <w:rPr/>
        <w:t xml:space="preserve"> in the Hall of Saurischian Dinosaurs, and have been since the Hall opened in June 1995: see the photo in Dingus 1996:71.)</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 recently established 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become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the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though some were fabricated in Toronto. Records do not show exactly which 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 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resulting line of the neck is smooth and elegant.</w:t>
      </w:r>
    </w:p>
    <w:p>
      <w:pPr>
        <w:pStyle w:val="BodyText"/>
        <w:rPr/>
      </w:pPr>
      <w:r>
        <w:rPr/>
        <w:t>In a non-technical children’s book simply titled, “</w:t>
      </w:r>
      <w:r>
        <w:rPr>
          <w:i/>
          <w:iCs/>
        </w:rPr>
        <w:t>Barosaurus</w:t>
      </w:r>
      <w:r>
        <w:rPr/>
        <w:t>”, 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rPr/>
      </w:pPr>
      <w:r>
        <w:rPr/>
        <w:t>the posterior part of the neck (cervicals 8–16)</w:t>
      </w:r>
    </w:p>
    <w:p>
      <w:pPr>
        <w:pStyle w:val="BodyText"/>
        <w:numPr>
          <w:ilvl w:val="0"/>
          <w:numId w:val="8"/>
        </w:numPr>
        <w:rPr/>
      </w:pPr>
      <w:r>
        <w:rPr/>
        <w:t>all nine dorsal vertebrae (dorsals 1–9)</w:t>
      </w:r>
    </w:p>
    <w:p>
      <w:pPr>
        <w:pStyle w:val="BodyText"/>
        <w:numPr>
          <w:ilvl w:val="0"/>
          <w:numId w:val="8"/>
        </w:numPr>
        <w:rPr/>
      </w:pPr>
      <w:r>
        <w:rPr/>
        <w:t>the complete sacrum (sacral vertebrae 1–5)</w:t>
      </w:r>
    </w:p>
    <w:p>
      <w:pPr>
        <w:pStyle w:val="BodyText"/>
        <w:numPr>
          <w:ilvl w:val="0"/>
          <w:numId w:val="8"/>
        </w:numPr>
        <w:rPr/>
      </w:pPr>
      <w:r>
        <w:rPr/>
        <w:t>the anterior part of the tail (caudals 1–29)</w:t>
      </w:r>
    </w:p>
    <w:p>
      <w:pPr>
        <w:pStyle w:val="BodyText"/>
        <w:numPr>
          <w:ilvl w:val="0"/>
          <w:numId w:val="8"/>
        </w:numPr>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rPr/>
      </w:pPr>
      <w:r>
        <w:rPr/>
        <w:t>a single chevron, from further back than Ca13 and likely in the region Ca22–Ca28.</w:t>
      </w:r>
    </w:p>
    <w:p>
      <w:pPr>
        <w:pStyle w:val="BodyText"/>
        <w:numPr>
          <w:ilvl w:val="0"/>
          <w:numId w:val="8"/>
        </w:numPr>
        <w:rPr/>
      </w:pPr>
      <w:r>
        <w:rPr/>
        <w:t>right (not left as in McIntosh 2005:43) scapulocoracoid, fully fused together; distal end of left scapula; left coracoid</w:t>
      </w:r>
    </w:p>
    <w:p>
      <w:pPr>
        <w:pStyle w:val="BodyText"/>
        <w:numPr>
          <w:ilvl w:val="0"/>
          <w:numId w:val="8"/>
        </w:numPr>
        <w:rPr/>
      </w:pPr>
      <w:r>
        <w:rPr/>
        <w:t>right (not left as in McIntosh 2005:43) humerus</w:t>
      </w:r>
    </w:p>
    <w:p>
      <w:pPr>
        <w:pStyle w:val="BodyText"/>
        <w:numPr>
          <w:ilvl w:val="0"/>
          <w:numId w:val="8"/>
        </w:numPr>
        <w:rPr/>
      </w:pPr>
      <w:r>
        <w:rPr/>
        <w:t>right ilium complete except small part of the upper border; acetabular portion and “distal ends” of left ilium</w:t>
      </w:r>
    </w:p>
    <w:p>
      <w:pPr>
        <w:pStyle w:val="BodyText"/>
        <w:numPr>
          <w:ilvl w:val="0"/>
          <w:numId w:val="8"/>
        </w:numPr>
        <w:rPr/>
      </w:pPr>
      <w:r>
        <w:rPr/>
        <w:t>both pubes and ischia complete except parts of the proximal ends of both pubes and the right ischium</w:t>
      </w:r>
    </w:p>
    <w:p>
      <w:pPr>
        <w:pStyle w:val="BodyText"/>
        <w:numPr>
          <w:ilvl w:val="0"/>
          <w:numId w:val="8"/>
        </w:numPr>
        <w:rPr/>
      </w:pPr>
      <w:r>
        <w:rPr/>
        <w:t>complete right hindlimb (femur, tibia, fibula, astragalus)</w:t>
      </w:r>
    </w:p>
    <w:p>
      <w:pPr>
        <w:pStyle w:val="BodyText"/>
        <w:numPr>
          <w:ilvl w:val="0"/>
          <w:numId w:val="8"/>
        </w:numPr>
        <w:rPr/>
      </w:pPr>
      <w:r>
        <w:rPr/>
        <w:t>elements of the right pes: metatarsals I, II and V, phalanges I-I and V-I, two 2nd phalanges, one ungual</w:t>
      </w:r>
    </w:p>
    <w:p>
      <w:pPr>
        <w:pStyle w:val="BodyText"/>
        <w:numPr>
          <w:ilvl w:val="0"/>
          <w:numId w:val="8"/>
        </w:numPr>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assignments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though these are not in place in Figures 13 and 17.</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atlas and axis which were not in place at that time but which, when added, would bring the total to 16.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between photographs of the 17th cervical and 3D models of the Carnegie </w:t>
      </w:r>
      <w:r>
        <w:rPr>
          <w:i/>
          <w:iCs/>
        </w:rPr>
        <w:t>Diplodocus</w:t>
      </w:r>
      <w:r>
        <w:rPr>
          <w:i w:val="false"/>
          <w:iCs w:val="false"/>
        </w:rPr>
        <w:t xml:space="preserve"> provided by Heinrich Mallison (for the Berlin cast) and Paul Barrett (for the London cast) show that the former is not a replica of any of the posterior cervicals of the latter. Since the Carnegie </w:t>
      </w:r>
      <w:r>
        <w:rPr>
          <w:i/>
          <w:iCs/>
        </w:rPr>
        <w:t>Diplodocus</w:t>
      </w:r>
      <w:r>
        <w:rPr>
          <w:i w:val="false"/>
          <w:iCs w:val="false"/>
        </w:rPr>
        <w:t xml:space="preserve"> was the only source of cast elements (other than the metacarpals discussed below), the 17th cervical of the mounted skeleton must be a sculpture, crafted as an intermediate between C16 and D1.</w:t>
      </w:r>
    </w:p>
    <w:p>
      <w:pPr>
        <w:pStyle w:val="BodyText"/>
        <w:rPr/>
      </w:pPr>
      <w:r>
        <w:rPr/>
        <w:t xml:space="preserve">(Note: it is quite possible that </w:t>
      </w:r>
      <w:r>
        <w:rPr>
          <w:i/>
          <w:iCs/>
        </w:rPr>
        <w:t>Barosaurus</w:t>
      </w:r>
      <w:r>
        <w:rPr/>
        <w:t xml:space="preserve"> did indeed 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 xml:space="preserve">CM 84, the specimen that forms most of the Carnegie mount, includes C2–8 (and the subsequent cervicals), but not the atlas (C1). As discussed by Taylor et al. (2025:71–72), it is not clear which specimen supplied the atlas in the Carnegie mount, and it seems most likely that this element was a sculpture not based on any specific fossil specimen — and so the same would be true in the mounted </w:t>
      </w:r>
      <w:r>
        <w:rPr>
          <w:i/>
          <w:iCs/>
        </w:rPr>
        <w:t>Barosaurus</w:t>
      </w:r>
      <w:r>
        <w:rPr/>
        <w:t>.</w:t>
      </w:r>
    </w:p>
    <w:p>
      <w:pPr>
        <w:pStyle w:val="Heading3"/>
        <w:numPr>
          <w:ilvl w:val="2"/>
          <w:numId w:val="1"/>
        </w:numPr>
        <w:rPr/>
      </w:pPr>
      <w:bookmarkStart w:id="22" w:name="__RefHeading___Toc2466_2187837281"/>
      <w:bookmarkEnd w:id="22"/>
      <w:r>
        <w:rPr/>
        <w:t>Torso, sacrum and tail</w:t>
      </w:r>
    </w:p>
    <w:p>
      <w:pPr>
        <w:pStyle w:val="BodyText"/>
        <w:rPr/>
      </w:pPr>
      <w:r>
        <w:rPr/>
        <w:t>The complete dorsal sequence (of nine vertebrae) and complete sacrum (of five vertebrae)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The missing caudals and chevrons were most likely provided once more by casts of the Carnegie </w:t>
      </w:r>
      <w:r>
        <w:rPr>
          <w:i/>
          <w:iCs/>
        </w:rPr>
        <w:t>Diplodocus</w:t>
      </w:r>
      <w:r>
        <w:rPr/>
        <w:t>.</w:t>
      </w:r>
    </w:p>
    <w:p>
      <w:pPr>
        <w:pStyle w:val="Heading3"/>
        <w:numPr>
          <w:ilvl w:val="2"/>
          <w:numId w:val="1"/>
        </w:numPr>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instead of one,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molds,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the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of both the original mounted </w:t>
      </w:r>
      <w:r>
        <w:rPr>
          <w:i/>
          <w:iCs/>
        </w:rPr>
        <w:t>Diplodocus</w:t>
      </w:r>
      <w:r>
        <w:rPr/>
        <w:t xml:space="preserve"> and the casts). And the </w:t>
      </w:r>
      <w:r>
        <w:rPr>
          <w:i/>
          <w:iCs/>
        </w:rPr>
        <w:t>Barosaurus</w:t>
      </w:r>
      <w:r>
        <w:rPr/>
        <w:t xml:space="preserve"> cast probably used second-generation casts of these sculptures.</w:t>
      </w:r>
    </w:p>
    <w:p>
      <w:pPr>
        <w:pStyle w:val="Heading1"/>
        <w:numPr>
          <w:ilvl w:val="0"/>
          <w:numId w:val="3"/>
        </w:numPr>
        <w:rPr/>
      </w:pPr>
      <w:bookmarkStart w:id="25" w:name="__RefHeading___Toc3401_68767826"/>
      <w:bookmarkEnd w:id="25"/>
      <w:r>
        <w:rPr/>
        <w:t>Discussion</w:t>
      </w:r>
    </w:p>
    <w:p>
      <w:pPr>
        <w:pStyle w:val="Heading2"/>
        <w:rPr/>
      </w:pPr>
      <w:bookmarkStart w:id="26" w:name="__RefHeading___Toc21934_68767826"/>
      <w:bookmarkEnd w:id="26"/>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Berlin brachiosaur which has “a skull located more than 13 m above the level of the feet” (Remes et al. 2011:309). (The Berlin brachiosaur was also mounted by RCI — or rather, remounted in 2005–2007, following the original mounting in 1938 under the direction of Werner Janensch.)</w:t>
      </w:r>
    </w:p>
    <w:p>
      <w:pPr>
        <w:pStyle w:val="BodyText"/>
        <w:rPr/>
      </w:pPr>
      <w:r>
        <w:rPr/>
        <w:t xml:space="preserve">The mass of </w:t>
      </w:r>
      <w:r>
        <w:rPr>
          <w:i/>
          <w:iCs/>
          <w:u w:val="none"/>
        </w:rPr>
        <w:t>Barosaurus</w:t>
      </w:r>
      <w:r>
        <w:rPr/>
        <w:t xml:space="preserve"> AMNH 6341 is generally considered to be similar to that of </w:t>
      </w:r>
      <w:r>
        <w:rPr>
          <w:i/>
          <w:iCs/>
        </w:rPr>
        <w:t>Diplodocus carnegii</w:t>
      </w:r>
      <w:r>
        <w:rPr/>
        <w:t xml:space="preserve">, as its torso is about the same size and the longer neck is balanced by </w:t>
      </w:r>
      <w:r>
        <w:rPr>
          <w:i/>
          <w:iCs/>
        </w:rPr>
        <w:t>Diplodocus</w:t>
      </w:r>
      <w:r>
        <w:rPr/>
        <w:t xml:space="preserve">’s longer tail. Seebacher (2001) gave a mass estimate of 20,040 kg based on graphic double integration (compared with 19,655 kg for </w:t>
      </w:r>
      <w:r>
        <w:rPr>
          <w:i/>
          <w:iCs/>
        </w:rPr>
        <w:t>Diplodocus carnegii</w:t>
      </w:r>
      <w:r>
        <w:rPr/>
        <w:t xml:space="preserve">). Henderson (2013) estimated 15,800 kg by slicing a digital model (compared with 11,900 kg for </w:t>
      </w:r>
      <w:r>
        <w:rPr>
          <w:i/>
          <w:iCs/>
        </w:rPr>
        <w:t>Diplodocus carnegii</w:t>
      </w:r>
      <w:r>
        <w:rPr/>
        <w:t xml:space="preserve">). Benson et al. (2014), in supplementary information S1, gave an estimate of 13,164 kg for AMNH 6341 based on limb-bone measurements (compared with 13,801 kg for </w:t>
      </w:r>
      <w:r>
        <w:rPr>
          <w:i/>
          <w:iCs/>
          <w:u w:val="none"/>
        </w:rPr>
        <w:t>Diplodocus carnegii</w:t>
      </w:r>
      <w:r>
        <w:rPr/>
        <w:t>).</w:t>
      </w:r>
    </w:p>
    <w:p>
      <w:pPr>
        <w:pStyle w:val="Heading2"/>
        <w:rPr/>
      </w:pPr>
      <w:bookmarkStart w:id="27" w:name="__RefHeading___Toc7947_4188845286"/>
      <w:bookmarkEnd w:id="27"/>
      <w:r>
        <w:rPr/>
        <w:t>Rearing pose</w:t>
      </w:r>
    </w:p>
    <w:p>
      <w:pPr>
        <w:pStyle w:val="BodyText"/>
        <w:rPr/>
      </w:pPr>
      <w:r>
        <w:rPr/>
        <w:t xml:space="preserve">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(Sander et al. 2008).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mount’s critics were encouraging the public to think about the controversy for themselves.</w:t>
      </w:r>
    </w:p>
    <w:p>
      <w:pPr>
        <w:pStyle w:val="Heading2"/>
        <w:rPr/>
      </w:pPr>
      <w:bookmarkStart w:id="28" w:name="__RefHeading___Toc3786_1986291683"/>
      <w:bookmarkEnd w:id="28"/>
      <w:r>
        <w:rPr/>
        <w:t>A short history of rearing sauropods</w:t>
      </w:r>
    </w:p>
    <w:p>
      <w:pPr>
        <w:pStyle w:val="BodyText"/>
        <w:rPr/>
      </w:pPr>
      <w:r>
        <w:rPr/>
        <w:t xml:space="preserve">The notion of rearing sauropods has a long heritage.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on land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t xml:space="preserve">” (= </w:t>
      </w:r>
      <w:r>
        <w:rPr>
          <w:i/>
          <w:iCs/>
        </w:rPr>
        <w:t>Neuquensaurus</w:t>
      </w:r>
      <w:r>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that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t xml:space="preserve"> (considered by McIntosh et al. (1996) to be a species of </w:t>
      </w:r>
      <w:r>
        <w:rPr>
          <w:i/>
          <w:iCs/>
        </w:rPr>
        <w:t>Camarasaurus</w:t>
      </w:r>
      <w:r>
        <w:rPr/>
        <w:t xml:space="preserve"> but regarded as its own genus by Tschopp et al. 2014). Jensen (1988:124–128)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supracostal plates in the sacral vertebrae, and 20-degree forward rotation of the ilia relative to the sacrum. While some of these features do not seem directly related to rearing and others are likely age-related, the rotation of the ilium remains unique and is difficult to interpret as anything other than a rearing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biomechanically justified.</w:t>
      </w:r>
    </w:p>
    <w:p>
      <w:pPr>
        <w:pStyle w:val="Heading2"/>
        <w:rPr/>
      </w:pPr>
      <w:bookmarkStart w:id="29" w:name="__RefHeading___Toc11689_675290491"/>
      <w:bookmarkEnd w:id="29"/>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in </w:t>
      </w:r>
      <w:r>
        <w:rPr>
          <w:i/>
          <w:iCs/>
        </w:rPr>
        <w:t>Prehistoric Planet</w:t>
      </w:r>
      <w:r>
        <w:rPr/>
        <w:t xml:space="preserve"> (2022). Episode 2 (</w:t>
      </w:r>
      <w:r>
        <w:rPr>
          <w:i/>
          <w:iCs/>
        </w:rPr>
        <w:t>Deserts</w:t>
      </w:r>
      <w:r>
        <w:rPr/>
        <w:t xml:space="preserve">) included a lengthy scene beginning at four minutes, in which </w:t>
      </w:r>
      <w:r>
        <w:rPr>
          <w:i/>
          <w:iCs/>
        </w:rPr>
        <w:t>Dreadnoughtus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and 22 of </w:t>
      </w:r>
      <w:r>
        <w:rPr>
          <w:i/>
          <w:iCs/>
        </w:rPr>
        <w:t>Diplodocus</w:t>
      </w:r>
      <w:r>
        <w:rPr/>
        <w:t xml:space="preserve"> — but not a single </w:t>
      </w:r>
      <w:r>
        <w:rPr>
          <w:i/>
          <w:iCs/>
        </w:rPr>
        <w:t>Barosaurus</w:t>
      </w:r>
      <w:r>
        <w:rPr/>
        <w:t xml:space="preserve"> toy. The only </w:t>
      </w:r>
      <w:r>
        <w:rPr>
          <w:i/>
          <w:iCs/>
        </w:rPr>
        <w:t>Barosaurus</w:t>
      </w:r>
      <w:r>
        <w:rPr/>
        <w:t xml:space="preserve"> “toys” on the market at the time of writing seem to be large museum-quality maquettes costing $500 or more. A Lego model of the rearing AMNH </w:t>
      </w:r>
      <w:r>
        <w:rPr>
          <w:i/>
          <w:iCs/>
        </w:rPr>
        <w:t>Barosaurus</w:t>
      </w:r>
      <w:r>
        <w:rPr/>
        <w:t xml:space="preserve"> has been created by Ambrosino (a pseudonym) and its instructions made freely available (Ambrosino 2023; Figure 19).</w:t>
      </w:r>
    </w:p>
    <w:p>
      <w:pPr>
        <w:pStyle w:val="Heading1"/>
        <w:rPr/>
      </w:pPr>
      <w:bookmarkStart w:id="30" w:name="__RefHeading___Toc8168_4188845286"/>
      <w:bookmarkEnd w:id="30"/>
      <w:r>
        <w:rPr/>
        <w:t>Conclusion</w:t>
      </w:r>
    </w:p>
    <w:p>
      <w:pPr>
        <w:pStyle w:val="BodyText"/>
        <w:rPr/>
      </w:pPr>
      <w:r>
        <w:rPr/>
        <w:t xml:space="preserve">It is ironic that the AMNH had no part in the excavation or preparation of what is arguably its most iconic fossil specimen, Barnum Brown having reunited it after a diaspora to three different museums. It doubly ironic that, having acquired the skeleton, the museum did not even display it for several years, then removed it from display after little more than a decade. Subsequent developments show the value of palaeoart as a hypothesis-generating machine: there would be no rearing </w:t>
      </w:r>
      <w:r>
        <w:rPr>
          <w:i/>
          <w:iCs/>
        </w:rPr>
        <w:t>Barosaurus</w:t>
      </w:r>
      <w:r>
        <w:rPr/>
        <w:t xml:space="preserve"> mount without Greg Paul’s painting </w:t>
      </w:r>
      <w:r>
        <w:rPr>
          <w:i/>
          <w:iCs/>
        </w:rPr>
        <w:t>Ambush at Como Creek</w:t>
      </w:r>
      <w:r>
        <w:rPr/>
        <w:t>. It is striking that Dingus and Gaffney independently had the idea for a rearing mount, despite their distaste for speculative palaeobiology, each of them expecting the other to object — and that Norell, who they both expected to veto the idea, was also on board. And it is satisfying that the biomechanical feasibility of rearing diplodocines has subsequently been demonstrated mathematically. The mount certainly achieved its stated goals of provoking not just public discussion, but much further scientific work.</w:t>
      </w:r>
    </w:p>
    <w:p>
      <w:pPr>
        <w:pStyle w:val="Heading1"/>
        <w:numPr>
          <w:ilvl w:val="0"/>
          <w:numId w:val="3"/>
        </w:numPr>
        <w:rPr/>
      </w:pPr>
      <w:bookmarkStart w:id="31" w:name="__RefHeading___Toc3403_68767826"/>
      <w:bookmarkEnd w:id="31"/>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 and provided valuable feedback on the manuscript.</w:t>
      </w:r>
    </w:p>
    <w:p>
      <w:pPr>
        <w:pStyle w:val="BodyText"/>
        <w:rPr/>
      </w:pPr>
      <w:r>
        <w:rPr/>
        <w:t xml:space="preserve">Heinrich Mallison (Palaeo3D) and Paul M. Barrett (Natural History Museum) provided 3D scans of two casts of the Carnegie </w:t>
      </w:r>
      <w:r>
        <w:rPr>
          <w:i/>
          <w:iCs/>
        </w:rPr>
        <w:t>Diplodocus</w:t>
      </w:r>
      <w:r>
        <w:rPr/>
        <w:t>. Carl Mehling (AMNH) searched collections for the missing C7 and concluded it was absent. Matt Caranno (USNM),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rPr/>
      </w:pPr>
      <w:bookmarkStart w:id="32" w:name="__RefHeading___Toc3405_68767826"/>
      <w:bookmarkEnd w:id="32"/>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Benson Roger B. J., Nicolás E. Campione, Matthew T. Carrano, Philip D. Mannion, Corwin Sullivan, Paul Upchurch and David C. Evans. 2014. Rates of dinosaur body mass evolution indicate 170 million years of sustained ecological innovation on the avian stem lineage. </w:t>
      </w:r>
      <w:r>
        <w:rPr>
          <w:i/>
          <w:iCs/>
        </w:rPr>
        <w:t>PLoS Biology</w:t>
      </w:r>
      <w:r>
        <w:rPr/>
        <w:t xml:space="preserve"> </w:t>
      </w:r>
      <w:r>
        <w:rPr>
          <w:b/>
          <w:bCs/>
        </w:rPr>
        <w:t>12(5)</w:t>
      </w:r>
      <w:r>
        <w:rPr/>
        <w:t>:e1001853. doi:10.1371/journal.pbio.1001853</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3" w:name="__DdeLink__2788_55120580"/>
      <w:r>
        <w:rPr>
          <w:i/>
          <w:iCs/>
        </w:rPr>
        <w:t>Proceedings of the United States National Museum</w:t>
      </w:r>
      <w:bookmarkEnd w:id="33"/>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Henderson, Donald M. 2013. Sauropod necks: are they really for heat loss? </w:t>
      </w:r>
      <w:r>
        <w:rPr>
          <w:i/>
          <w:iCs/>
        </w:rPr>
        <w:t>PLoS ONE</w:t>
      </w:r>
      <w:r>
        <w:rPr/>
        <w:t xml:space="preserve"> </w:t>
      </w:r>
      <w:r>
        <w:rPr>
          <w:b/>
          <w:bCs/>
        </w:rPr>
        <w:t>8(10)</w:t>
      </w:r>
      <w:r>
        <w:rPr/>
        <w:t>: e77108. doi:10.1371/journal.pone.0077108</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t xml:space="preserve"> </w:t>
      </w:r>
      <w:r>
        <w:rPr>
          <w:b/>
          <w:bCs/>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4" w:name="__DdeLink__16582_68767826"/>
      <w:r>
        <w:rPr/>
        <w:t>Nieuwland</w:t>
      </w:r>
      <w:bookmarkEnd w:id="34"/>
      <w:r>
        <w:rPr/>
        <w:t xml:space="preserve">, Ilja. 2019. </w:t>
      </w:r>
      <w:r>
        <w:rPr>
          <w:i/>
          <w:iCs/>
        </w:rPr>
        <w:t xml:space="preserve">American dinosaur abroad: a cultural history of Carnegie’s plaster </w:t>
      </w:r>
      <w:r>
        <w:rPr/>
        <w:t>Diplodocus.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t>Mamenchisaurus youngi.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Sander, P. Martin, Christian Peitz, Frankie D. Jackson and Luis M. Chiappe. 2008. Upper Cretaceous titanosaur nesting sites and their implications for sauropod dinosaur reproductive biology. </w:t>
      </w:r>
      <w:r>
        <w:rPr>
          <w:i/>
          <w:iCs/>
        </w:rPr>
        <w:t>Palaeontographica Abteilung A</w:t>
      </w:r>
      <w:r>
        <w:rPr/>
        <w:t xml:space="preserve"> </w:t>
      </w:r>
      <w:r>
        <w:rPr>
          <w:b/>
          <w:bCs/>
        </w:rPr>
        <w:t>284</w:t>
      </w:r>
      <w:r>
        <w:rPr/>
        <w:t xml:space="preserve">:69–107. </w:t>
      </w:r>
      <w:hyperlink r:id="rId12">
        <w:r>
          <w:rPr>
            <w:rStyle w:val="Hyperlink"/>
          </w:rPr>
          <w:t>doi:10.1127/pala/284/2008/69</w:t>
        </w:r>
      </w:hyperlink>
    </w:p>
    <w:p>
      <w:pPr>
        <w:pStyle w:val="Reference"/>
        <w:rPr/>
      </w:pPr>
      <w:r>
        <w:rPr/>
        <w:t xml:space="preserve">Seebacher, Frank. 2001. A new method to calculate allometric length-mass relationships of dinosaurs. </w:t>
      </w:r>
      <w:r>
        <w:rPr>
          <w:i/>
          <w:iCs/>
        </w:rPr>
        <w:t>Journal of Vertebrate Paleontology</w:t>
      </w:r>
      <w:r>
        <w:rPr/>
        <w:t xml:space="preserve"> </w:t>
      </w:r>
      <w:r>
        <w:rPr>
          <w:b/>
          <w:bCs/>
        </w:rPr>
        <w:t>21</w:t>
      </w:r>
      <w:r>
        <w:rPr/>
        <w:t>:51–60. doi:10.1671/0272-4634(2001)021[0051:ANMTCA]2.0.CO;2</w:t>
      </w:r>
    </w:p>
    <w:p>
      <w:pPr>
        <w:pStyle w:val="Reference"/>
        <w:rPr/>
      </w:pPr>
      <w:r>
        <w:rPr/>
        <w:t xml:space="preserve">Smith, Adam S. (with contributions from 20 other authors). 2007. Dinosaur Toy Blog. </w:t>
      </w:r>
      <w:hyperlink r:id="rId13">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4">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t xml:space="preserve">. </w:t>
      </w:r>
      <w:r>
        <w:rPr>
          <w:i/>
          <w:iCs/>
        </w:rPr>
        <w:t>Annals of the Carnegie Museum</w:t>
      </w:r>
      <w:r>
        <w:rPr/>
        <w:t xml:space="preserve"> </w:t>
      </w:r>
      <w:r>
        <w:rPr>
          <w:b/>
          <w:bCs/>
        </w:rPr>
        <w:t>91(1)</w:t>
      </w:r>
      <w:r>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5">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6">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rPr/>
      </w:pPr>
      <w:bookmarkStart w:id="35" w:name="__RefHeading___Toc3407_68767826"/>
      <w:bookmarkEnd w:id="35"/>
      <w:r>
        <w:rPr/>
        <w:t>Figure Captions</w:t>
      </w:r>
    </w:p>
    <w:p>
      <w:pPr>
        <w:pStyle w:val="FigureCaption"/>
        <w:rPr/>
      </w:pPr>
      <w:r>
        <w:rPr>
          <w:b/>
          <w:bCs/>
        </w:rPr>
        <w:t>Figure 1.</w:t>
      </w:r>
      <w:r>
        <w:rPr/>
        <w:t xml:space="preserve"> The mounted skeleton of </w:t>
      </w:r>
      <w:r>
        <w:rPr>
          <w:i/>
          <w:iCs/>
        </w:rPr>
        <w:t>Barosaurus lentus</w:t>
      </w:r>
      <w:r>
        <w:rPr/>
        <w:t xml:space="preserve"> AMNH 6341 in the Theodore Roosevelt Rotunda of the American Museum of Natural History, New York, as it appeared after the initial mounting and before repairs to the middle of the neck (see text). Photograph provided by Department of Vertebrate Paleontology Archive, Copyright © AMNH.</w:t>
      </w:r>
    </w:p>
    <w:p>
      <w:pPr>
        <w:pStyle w:val="FigureCaption"/>
        <w:rPr/>
      </w:pPr>
      <w:r>
        <w:rPr>
          <w:b/>
          <w:bCs/>
        </w:rPr>
        <w:t>Figure 2.</w:t>
      </w:r>
      <w:r>
        <w:rPr/>
        <w:t xml:space="preserve"> Earl Douglass, aged 60, at the Carnegie Quarry in August 1922. He is seen here standing in front of the left femur of </w:t>
      </w:r>
      <w:r>
        <w:rPr>
          <w:i/>
          <w:iCs/>
        </w:rPr>
        <w:t>Diplodocus</w:t>
      </w:r>
      <w:r>
        <w:rPr/>
        <w:t xml:space="preserve"> specimen #355 (now USNM 10865), with the sacrum, partial left ilium, last five dorsal vertebral centra and some ribs also in view (compare Figure 3, in which the femur is labelled 23, the ilium 24 and the last five dorsals 7–11). The </w:t>
      </w:r>
      <w:r>
        <w:rPr>
          <w:i/>
          <w:iCs/>
        </w:rPr>
        <w:t>Diplodocus</w:t>
      </w:r>
      <w:r>
        <w:rPr/>
        <w:t xml:space="preserve"> is seen in ventral view with anterior to the top. Photograph uploaded to Wikimedia Commons by Ken Carpenter.</w:t>
      </w:r>
    </w:p>
    <w:p>
      <w:pPr>
        <w:pStyle w:val="FigureCaption"/>
        <w:rPr/>
      </w:pPr>
      <w:r>
        <w:rPr>
          <w:b/>
          <w:bCs/>
        </w:rPr>
        <w:t>Figure 3.</w:t>
      </w:r>
      <w:r>
        <w:rPr/>
        <w:t xml:space="preserve"> Carnegie Quarry map showing the relative positions of two iconic sauropod specimens: #355 (</w:t>
      </w:r>
      <w:r>
        <w:rPr>
          <w:i/>
          <w:iCs/>
        </w:rPr>
        <w:t>Diplodocus</w:t>
      </w:r>
      <w:r>
        <w:rPr/>
        <w:t>, right) and #340 (</w:t>
      </w:r>
      <w:r>
        <w:rPr>
          <w:i/>
          <w:iCs/>
        </w:rPr>
        <w:t>Barosaurus</w:t>
      </w:r>
      <w:r>
        <w:rPr/>
        <w:t xml:space="preserve">, left, highlighted in pink, initially thought to be be a second </w:t>
      </w:r>
      <w:r>
        <w:rPr>
          <w:i/>
          <w:iCs/>
        </w:rPr>
        <w:t>Diplodocus</w:t>
      </w:r>
      <w:r>
        <w:rPr/>
        <w:t xml:space="preserve">). Modified from Gilmore (1932:figure 1). The </w:t>
      </w:r>
      <w:r>
        <w:rPr>
          <w:i/>
          <w:iCs/>
        </w:rPr>
        <w:t>Diplodocus</w:t>
      </w:r>
      <w:r>
        <w:rPr/>
        <w:t xml:space="preserve"> specimen would become USNM 10865, and the </w:t>
      </w:r>
      <w:r>
        <w:rPr>
          <w:i/>
          <w:iCs/>
        </w:rPr>
        <w:t>Barosaurus</w:t>
      </w:r>
      <w:r>
        <w:rPr/>
        <w:t xml:space="preserve"> would become AMNH 6341. Note that in this map the cervical vertebrae of </w:t>
      </w:r>
      <w:r>
        <w:rPr>
          <w:i/>
          <w:iCs/>
        </w:rPr>
        <w:t>Barosaurus</w:t>
      </w:r>
      <w:r>
        <w:rPr/>
        <w:t xml:space="preserve"> #340 are drawn to look like those of </w:t>
      </w:r>
      <w:r>
        <w:rPr>
          <w:i/>
          <w:iCs/>
        </w:rPr>
        <w:t>Diplodocus</w:t>
      </w:r>
      <w:r>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rPr/>
      </w:pPr>
      <w:r>
        <w:rPr>
          <w:b/>
          <w:bCs/>
        </w:rPr>
        <w:t>Figure 4.</w:t>
      </w:r>
      <w:r>
        <w:rPr/>
        <w:t xml:space="preserve"> </w:t>
      </w:r>
      <w:r>
        <w:rPr>
          <w:i/>
          <w:iCs/>
        </w:rPr>
        <w:t>Barosaurus</w:t>
      </w:r>
      <w:r>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ind w:hanging="0" w:left="283"/>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(1906:251–252) 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rPr/>
      </w:pPr>
      <w:r>
        <w:rPr>
          <w:b/>
          <w:bCs/>
        </w:rPr>
        <w:t>Figure 7.</w:t>
      </w:r>
      <w:r>
        <w:rPr/>
        <w:t xml:space="preserve"> </w:t>
      </w:r>
      <w:r>
        <w:rPr>
          <w:i/>
          <w:iCs/>
        </w:rPr>
        <w:t>Ambush at Como Creek</w:t>
      </w:r>
      <w:r>
        <w:rPr/>
        <w:t xml:space="preserve">, painted by Gregory S. Paul in the late 1970s or early 1980s. In this revised version, completed in 1985,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with anterior to the left.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Note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rPr/>
      </w:pPr>
      <w:r>
        <w:rPr>
          <w:b/>
          <w:bCs/>
        </w:rPr>
        <w:t>Figure 13.</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3–16, all articulated in a single piece, with the atlas an axis still to be fitted behind the skull.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a section that is probably the proximal part of the </w:t>
      </w:r>
      <w:r>
        <w:rPr>
          <w:i/>
          <w:iCs/>
        </w:rPr>
        <w:t>Allosaurus</w:t>
      </w:r>
      <w:r>
        <w:rPr/>
        <w:t xml:space="preserve"> tail. Finally, intruding on the image from the left is the distal (whiplash) portion of the other </w:t>
      </w:r>
      <w:r>
        <w:rPr>
          <w:i/>
          <w:iCs/>
        </w:rPr>
        <w:t>Barosaurus</w:t>
      </w:r>
      <w:r>
        <w:rPr/>
        <w:t xml:space="preserve"> tail, probably that of the adult. Photograph provided by Department of Vertebrate Paleontology Archive, Copyright © AMNH.</w:t>
      </w:r>
    </w:p>
    <w:p>
      <w:pPr>
        <w:pStyle w:val="FigureCaption"/>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Photographs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rPr/>
      </w:pPr>
      <w:r>
        <w:rPr>
          <w:b/>
          <w:bCs/>
        </w:rPr>
        <w:t>Figure 17.</w:t>
      </w:r>
      <w:r>
        <w:rPr/>
        <w:t xml:space="preserve"> The anterior part of the AMNH </w:t>
      </w:r>
      <w:r>
        <w:rPr>
          <w:i/>
          <w:iCs/>
        </w:rPr>
        <w:t>Barosaurus</w:t>
      </w:r>
      <w:r>
        <w:rPr/>
        <w:t xml:space="preserve"> neck (skull and first eight cervicals, though the atlas and axis are absent at this point) during the mounting process. </w:t>
      </w:r>
      <w:r>
        <w:rPr>
          <w:b/>
          <w:bCs/>
        </w:rPr>
        <w:t>A.</w:t>
      </w:r>
      <w:r>
        <w:rPr/>
        <w:t xml:space="preserve"> lying on the floor, seen in roughly dorsal view. </w:t>
      </w:r>
      <w:r>
        <w:rPr>
          <w:b/>
          <w:bCs/>
        </w:rPr>
        <w:t>B.</w:t>
      </w:r>
      <w:r>
        <w:rPr/>
        <w:t xml:space="preserve"> held upright, seen in right lateral view. Note that the vertebrae in positions 3–7 are those of </w:t>
      </w:r>
      <w:r>
        <w:rPr>
          <w:i/>
          <w:iCs/>
        </w:rPr>
        <w:t>Diplodocus</w:t>
      </w:r>
      <w:r>
        <w:rPr/>
        <w:t xml:space="preserve">, with relatively high bifurcated neural spines, while the vertebra in position 8 is that of </w:t>
      </w:r>
      <w:r>
        <w:rPr>
          <w:i/>
          <w:iCs/>
        </w:rPr>
        <w:t>Barosaurus</w:t>
      </w:r>
      <w:r>
        <w:rPr/>
        <w:t xml:space="preserve">, with a low and unbifurcated spine. Comparison with the Carnegie </w:t>
      </w:r>
      <w:r>
        <w:rPr>
          <w:i/>
          <w:iCs/>
        </w:rPr>
        <w:t>Diplodocus</w:t>
      </w:r>
      <w:r>
        <w:rPr/>
        <w:t xml:space="preserve"> shows that those in positions 3–6 are C3–C6 of </w:t>
      </w:r>
      <w:r>
        <w:rPr>
          <w:i/>
          <w:iCs/>
        </w:rPr>
        <w:t>Diplodocus</w:t>
      </w:r>
      <w:r>
        <w:rPr/>
        <w:t>, but that the 8th cervical vertebra of Diplodocus is used in position 7 to give a more even progression of increasing length. Photographs provided by Department of Vertebrate Paleontology Archive, Copyright © AMNH.</w:t>
      </w:r>
    </w:p>
    <w:p>
      <w:pPr>
        <w:pStyle w:val="FigureCaption"/>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6" w:name="__RefHeading___Toc25858_1820571732"/>
      <w:bookmarkEnd w:id="36"/>
      <w:r>
        <w:rPr/>
        <w:t>Tables</w:t>
      </w:r>
    </w:p>
    <w:p>
      <w:pPr>
        <w:pStyle w:val="Heading2"/>
        <w:rPr/>
      </w:pPr>
      <w:bookmarkStart w:id="37" w:name="__RefHeading___Toc25860_1820571732"/>
      <w:bookmarkEnd w:id="37"/>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Look w:val="04a0" w:noVBand="1" w:noHBand="0" w:lastColumn="0" w:firstColumn="1" w:lastRow="0" w:firstRow="1"/>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widowControl w:val="false"/>
              <w:suppressLineNumber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widowControl w:val="false"/>
              <w:suppressLineNumber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widowControl w:val="false"/>
              <w:suppressLineNumbers/>
              <w:spacing w:before="0" w:after="113"/>
              <w:rPr/>
            </w:pPr>
            <w:r>
              <w:rPr/>
              <w:t>1890</w:t>
            </w:r>
          </w:p>
        </w:tc>
        <w:tc>
          <w:tcPr>
            <w:tcW w:w="7431" w:type="dxa"/>
            <w:tcBorders/>
          </w:tcPr>
          <w:p>
            <w:pPr>
              <w:pStyle w:val="TableContents"/>
              <w:widowControl w:val="false"/>
              <w:suppressLineNumber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widowControl w:val="false"/>
              <w:suppressLineNumbers/>
              <w:spacing w:before="0" w:after="113"/>
              <w:rPr/>
            </w:pPr>
            <w:r>
              <w:rPr/>
              <w:t>Late August 1898</w:t>
            </w:r>
          </w:p>
        </w:tc>
        <w:tc>
          <w:tcPr>
            <w:tcW w:w="7431" w:type="dxa"/>
            <w:tcBorders/>
          </w:tcPr>
          <w:p>
            <w:pPr>
              <w:pStyle w:val="TableContents"/>
              <w:widowControl w:val="false"/>
              <w:suppressLineNumbers/>
              <w:spacing w:before="0" w:after="113"/>
              <w:rPr/>
            </w:pPr>
            <w:r>
              <w:rPr/>
              <w:t>Marsh sent George Wieland to collect the rest of the skeleton.</w:t>
            </w:r>
          </w:p>
        </w:tc>
      </w:tr>
      <w:tr>
        <w:trPr>
          <w:trHeight w:val="235" w:hRule="atLeast"/>
        </w:trPr>
        <w:tc>
          <w:tcPr>
            <w:tcW w:w="2207" w:type="dxa"/>
            <w:tcBorders/>
          </w:tcPr>
          <w:p>
            <w:pPr>
              <w:pStyle w:val="TableContents"/>
              <w:widowControl w:val="false"/>
              <w:suppressLineNumbers/>
              <w:spacing w:before="0" w:after="113"/>
              <w:rPr/>
            </w:pPr>
            <w:r>
              <w:rPr/>
              <w:t>1899</w:t>
            </w:r>
          </w:p>
        </w:tc>
        <w:tc>
          <w:tcPr>
            <w:tcW w:w="7431" w:type="dxa"/>
            <w:tcBorders/>
          </w:tcPr>
          <w:p>
            <w:pPr>
              <w:pStyle w:val="TableContents"/>
              <w:widowControl w:val="false"/>
              <w:suppressLineNumber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widowControl w:val="false"/>
              <w:suppressLineNumbers/>
              <w:spacing w:before="0" w:after="113"/>
              <w:rPr/>
            </w:pPr>
            <w:r>
              <w:rPr/>
              <w:t>1907</w:t>
            </w:r>
          </w:p>
        </w:tc>
        <w:tc>
          <w:tcPr>
            <w:tcW w:w="7431" w:type="dxa"/>
            <w:tcBorders/>
          </w:tcPr>
          <w:p>
            <w:pPr>
              <w:pStyle w:val="TableContents"/>
              <w:widowControl w:val="false"/>
              <w:suppressLineNumber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widowControl w:val="false"/>
              <w:suppressLineNumbers/>
              <w:spacing w:before="0" w:after="113"/>
              <w:rPr/>
            </w:pPr>
            <w:r>
              <w:rPr/>
              <w:t>Late 1916</w:t>
            </w:r>
          </w:p>
        </w:tc>
        <w:tc>
          <w:tcPr>
            <w:tcW w:w="7431" w:type="dxa"/>
            <w:tcBorders/>
          </w:tcPr>
          <w:p>
            <w:pPr>
              <w:pStyle w:val="TableContents"/>
              <w:widowControl w:val="false"/>
              <w:suppressLineNumber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widowControl w:val="false"/>
              <w:suppressLineNumbers/>
              <w:spacing w:before="0" w:after="113"/>
              <w:rPr/>
            </w:pPr>
            <w:r>
              <w:rPr/>
              <w:t>1917</w:t>
            </w:r>
          </w:p>
        </w:tc>
        <w:tc>
          <w:tcPr>
            <w:tcW w:w="7431" w:type="dxa"/>
            <w:tcBorders/>
          </w:tcPr>
          <w:p>
            <w:pPr>
              <w:pStyle w:val="TableContents"/>
              <w:widowControl w:val="false"/>
              <w:suppressLineNumbers/>
              <w:spacing w:before="0" w:after="113"/>
              <w:rPr/>
            </w:pPr>
            <w:r>
              <w:rPr/>
              <w:t>Lull’s published abstract very briefly described the type specimen.</w:t>
            </w:r>
          </w:p>
        </w:tc>
      </w:tr>
      <w:tr>
        <w:trPr>
          <w:trHeight w:val="235" w:hRule="atLeast"/>
        </w:trPr>
        <w:tc>
          <w:tcPr>
            <w:tcW w:w="2207" w:type="dxa"/>
            <w:tcBorders/>
          </w:tcPr>
          <w:p>
            <w:pPr>
              <w:pStyle w:val="TableContents"/>
              <w:widowControl w:val="false"/>
              <w:suppressLineNumbers/>
              <w:spacing w:before="0" w:after="113"/>
              <w:rPr/>
            </w:pPr>
            <w:r>
              <w:rPr/>
              <w:t>1919</w:t>
            </w:r>
          </w:p>
        </w:tc>
        <w:tc>
          <w:tcPr>
            <w:tcW w:w="7431" w:type="dxa"/>
            <w:tcBorders/>
          </w:tcPr>
          <w:p>
            <w:pPr>
              <w:pStyle w:val="TableContents"/>
              <w:widowControl w:val="false"/>
              <w:suppressLineNumbers/>
              <w:spacing w:before="0" w:after="113"/>
              <w:rPr/>
            </w:pPr>
            <w:r>
              <w:rPr/>
              <w:t>Lull’s detailed monographic description of the type specimen.</w:t>
            </w:r>
          </w:p>
        </w:tc>
      </w:tr>
      <w:tr>
        <w:trPr>
          <w:trHeight w:val="235" w:hRule="atLeast"/>
        </w:trPr>
        <w:tc>
          <w:tcPr>
            <w:tcW w:w="2207" w:type="dxa"/>
            <w:tcBorders/>
          </w:tcPr>
          <w:p>
            <w:pPr>
              <w:pStyle w:val="TableContents"/>
              <w:widowControl w:val="false"/>
              <w:suppressLineNumbers/>
              <w:spacing w:before="0" w:after="113"/>
              <w:rPr/>
            </w:pPr>
            <w:r>
              <w:rPr/>
              <w:t>1922</w:t>
            </w:r>
          </w:p>
        </w:tc>
        <w:tc>
          <w:tcPr>
            <w:tcW w:w="7431" w:type="dxa"/>
            <w:tcBorders/>
          </w:tcPr>
          <w:p>
            <w:pPr>
              <w:pStyle w:val="TableContents"/>
              <w:widowControl w:val="false"/>
              <w:suppressLineNumber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widowControl w:val="false"/>
              <w:suppressLineNumbers/>
              <w:spacing w:before="0" w:after="113"/>
              <w:rPr/>
            </w:pPr>
            <w:r>
              <w:rPr/>
              <w:t>1922–1923</w:t>
            </w:r>
          </w:p>
        </w:tc>
        <w:tc>
          <w:tcPr>
            <w:tcW w:w="7431" w:type="dxa"/>
            <w:tcBorders/>
          </w:tcPr>
          <w:p>
            <w:pPr>
              <w:pStyle w:val="TableContents"/>
              <w:widowControl w:val="false"/>
              <w:suppressLineNumber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widowControl w:val="false"/>
              <w:suppressLineNumbers/>
              <w:spacing w:before="0" w:after="113"/>
              <w:rPr/>
            </w:pPr>
            <w:r>
              <w:rPr/>
              <w:t>1923</w:t>
            </w:r>
          </w:p>
        </w:tc>
        <w:tc>
          <w:tcPr>
            <w:tcW w:w="7431" w:type="dxa"/>
            <w:tcBorders/>
          </w:tcPr>
          <w:p>
            <w:pPr>
              <w:pStyle w:val="TableContents"/>
              <w:widowControl w:val="false"/>
              <w:suppressLineNumbers/>
              <w:spacing w:before="0" w:after="113"/>
              <w:rPr/>
            </w:pPr>
            <w:r>
              <w:rPr/>
              <w:t xml:space="preserve">The neck of #340 was sent to the USNM to provide material for a </w:t>
            </w:r>
            <w:r>
              <w:rPr>
                <w:i/>
                <w:iCs/>
              </w:rPr>
              <w:t>Diplodocus</w:t>
            </w:r>
            <w:r>
              <w:rPr/>
              <w:t xml:space="preserve"> skeletal mount based on the other diplodocine #355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widowControl w:val="false"/>
              <w:suppressLineNumbers/>
              <w:spacing w:before="0" w:after="113"/>
              <w:rPr/>
            </w:pPr>
            <w:r>
              <w:rPr/>
              <w:t>1929</w:t>
            </w:r>
          </w:p>
        </w:tc>
        <w:tc>
          <w:tcPr>
            <w:tcW w:w="7431" w:type="dxa"/>
            <w:tcBorders/>
          </w:tcPr>
          <w:p>
            <w:pPr>
              <w:pStyle w:val="TableContents"/>
              <w:widowControl w:val="false"/>
              <w:suppressLineNumber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widowControl w:val="false"/>
              <w:suppressLineNumbers/>
              <w:spacing w:before="0" w:after="113"/>
              <w:rPr/>
            </w:pPr>
            <w:r>
              <w:rPr/>
              <w:t>1931</w:t>
            </w:r>
          </w:p>
        </w:tc>
        <w:tc>
          <w:tcPr>
            <w:tcW w:w="7431" w:type="dxa"/>
            <w:tcBorders/>
          </w:tcPr>
          <w:p>
            <w:pPr>
              <w:pStyle w:val="TableContents"/>
              <w:widowControl w:val="false"/>
              <w:suppressLineNumber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widowControl w:val="false"/>
              <w:suppressLineNumbers/>
              <w:spacing w:before="0" w:after="113"/>
              <w:rPr/>
            </w:pPr>
            <w:r>
              <w:rPr/>
              <w:t>9 February 1933</w:t>
            </w:r>
          </w:p>
        </w:tc>
        <w:tc>
          <w:tcPr>
            <w:tcW w:w="7431" w:type="dxa"/>
            <w:tcBorders/>
          </w:tcPr>
          <w:p>
            <w:pPr>
              <w:pStyle w:val="TableContents"/>
              <w:widowControl w:val="false"/>
              <w:suppressLineNumber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widowControl w:val="false"/>
              <w:suppressLineNumbers/>
              <w:spacing w:before="0" w:after="113"/>
              <w:rPr/>
            </w:pPr>
            <w:r>
              <w:rPr/>
              <w:t>17 April 1939</w:t>
            </w:r>
          </w:p>
        </w:tc>
        <w:tc>
          <w:tcPr>
            <w:tcW w:w="7431" w:type="dxa"/>
            <w:tcBorders/>
          </w:tcPr>
          <w:p>
            <w:pPr>
              <w:pStyle w:val="TableContents"/>
              <w:widowControl w:val="false"/>
              <w:suppressLineNumbers/>
              <w:spacing w:before="0" w:after="113"/>
              <w:rPr/>
            </w:pPr>
            <w:r>
              <w:rPr/>
              <w:t>The presacral vertebrae, scapulocoracoid and humerus of AMNH 6341 were exhibited in the Hall of Early Dinosaurs.</w:t>
            </w:r>
          </w:p>
        </w:tc>
      </w:tr>
      <w:tr>
        <w:trPr>
          <w:trHeight w:val="246" w:hRule="atLeast"/>
        </w:trPr>
        <w:tc>
          <w:tcPr>
            <w:tcW w:w="2207" w:type="dxa"/>
            <w:tcBorders/>
          </w:tcPr>
          <w:p>
            <w:pPr>
              <w:pStyle w:val="TableContents"/>
              <w:widowControl w:val="false"/>
              <w:suppressLineNumbers/>
              <w:spacing w:before="0" w:after="113"/>
              <w:rPr/>
            </w:pPr>
            <w:r>
              <w:rPr/>
              <w:t>Early 1950s</w:t>
            </w:r>
          </w:p>
        </w:tc>
        <w:tc>
          <w:tcPr>
            <w:tcW w:w="7431" w:type="dxa"/>
            <w:tcBorders/>
          </w:tcPr>
          <w:p>
            <w:pPr>
              <w:pStyle w:val="TableContents"/>
              <w:widowControl w:val="false"/>
              <w:suppressLineNumber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widowControl w:val="false"/>
              <w:suppressLineNumbers/>
              <w:spacing w:before="0" w:after="113"/>
              <w:rPr/>
            </w:pPr>
            <w:r>
              <w:rPr/>
              <w:t>1952</w:t>
            </w:r>
          </w:p>
        </w:tc>
        <w:tc>
          <w:tcPr>
            <w:tcW w:w="7431" w:type="dxa"/>
            <w:tcBorders/>
          </w:tcPr>
          <w:p>
            <w:pPr>
              <w:pStyle w:val="TableContents"/>
              <w:widowControl w:val="false"/>
              <w:suppressLineNumber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widowControl w:val="false"/>
              <w:suppressLineNumbers/>
              <w:spacing w:before="0" w:after="113"/>
              <w:rPr/>
            </w:pPr>
            <w:r>
              <w:rPr/>
              <w:t>8 June, 1957</w:t>
            </w:r>
          </w:p>
        </w:tc>
        <w:tc>
          <w:tcPr>
            <w:tcW w:w="7431" w:type="dxa"/>
            <w:tcBorders/>
          </w:tcPr>
          <w:p>
            <w:pPr>
              <w:pStyle w:val="TableContents"/>
              <w:widowControl w:val="false"/>
              <w:suppressLineNumber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widowControl w:val="false"/>
              <w:suppressLineNumbers/>
              <w:spacing w:before="0" w:after="113"/>
              <w:rPr/>
            </w:pPr>
            <w:r>
              <w:rPr/>
              <w:t>1970</w:t>
            </w:r>
          </w:p>
        </w:tc>
        <w:tc>
          <w:tcPr>
            <w:tcW w:w="7431" w:type="dxa"/>
            <w:tcBorders/>
          </w:tcPr>
          <w:p>
            <w:pPr>
              <w:pStyle w:val="TableContents"/>
              <w:widowControl w:val="false"/>
              <w:suppressLineNumber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widowControl w:val="false"/>
              <w:suppressLineNumbers/>
              <w:spacing w:before="0" w:after="113"/>
              <w:rPr/>
            </w:pPr>
            <w:r>
              <w:rPr/>
              <w:t>1977</w:t>
            </w:r>
          </w:p>
        </w:tc>
        <w:tc>
          <w:tcPr>
            <w:tcW w:w="7431" w:type="dxa"/>
            <w:tcBorders/>
          </w:tcPr>
          <w:p>
            <w:pPr>
              <w:pStyle w:val="TableContents"/>
              <w:widowControl w:val="false"/>
              <w:suppressLineNumbers/>
              <w:spacing w:before="0" w:after="113"/>
              <w:rPr/>
            </w:pPr>
            <w:r>
              <w:rPr/>
              <w:t>Peter May began working with skeletal mounts at the Royal Ontario Museum.</w:t>
            </w:r>
          </w:p>
        </w:tc>
      </w:tr>
      <w:tr>
        <w:trPr>
          <w:trHeight w:val="246" w:hRule="atLeast"/>
        </w:trPr>
        <w:tc>
          <w:tcPr>
            <w:tcW w:w="2207" w:type="dxa"/>
            <w:tcBorders/>
          </w:tcPr>
          <w:p>
            <w:pPr>
              <w:pStyle w:val="TableContents"/>
              <w:widowControl w:val="false"/>
              <w:suppressLineNumbers/>
              <w:spacing w:before="0" w:after="113"/>
              <w:rPr/>
            </w:pPr>
            <w:r>
              <w:rPr/>
              <w:t>1978</w:t>
            </w:r>
          </w:p>
        </w:tc>
        <w:tc>
          <w:tcPr>
            <w:tcW w:w="7431" w:type="dxa"/>
            <w:tcBorders/>
          </w:tcPr>
          <w:p>
            <w:pPr>
              <w:pStyle w:val="TableContents"/>
              <w:widowControl w:val="false"/>
              <w:suppressLineNumber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1986</w:t>
            </w:r>
          </w:p>
        </w:tc>
        <w:tc>
          <w:tcPr>
            <w:tcW w:w="7431" w:type="dxa"/>
            <w:tcBorders/>
          </w:tcPr>
          <w:p>
            <w:pPr>
              <w:pStyle w:val="TableContents"/>
              <w:widowControl w:val="false"/>
              <w:suppressLineNumbers/>
              <w:spacing w:before="0" w:after="113"/>
              <w:rPr/>
            </w:pPr>
            <w:r>
              <w:rPr/>
              <w:t>The AMNH began planning an extensive renovation of its fossil halls.</w:t>
            </w:r>
          </w:p>
        </w:tc>
      </w:tr>
      <w:tr>
        <w:trPr>
          <w:trHeight w:val="246" w:hRule="atLeast"/>
        </w:trPr>
        <w:tc>
          <w:tcPr>
            <w:tcW w:w="2207" w:type="dxa"/>
            <w:tcBorders/>
          </w:tcPr>
          <w:p>
            <w:pPr>
              <w:pStyle w:val="TableContents"/>
              <w:widowControl w:val="false"/>
              <w:suppressLineNumbers/>
              <w:spacing w:before="0" w:after="113"/>
              <w:rPr/>
            </w:pPr>
            <w:r>
              <w:rPr/>
              <w:t>1989</w:t>
            </w:r>
          </w:p>
        </w:tc>
        <w:tc>
          <w:tcPr>
            <w:tcW w:w="7431" w:type="dxa"/>
            <w:tcBorders/>
          </w:tcPr>
          <w:p>
            <w:pPr>
              <w:pStyle w:val="TableContents"/>
              <w:widowControl w:val="false"/>
              <w:suppressLineNumber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widowControl w:val="false"/>
              <w:suppressLineNumbers/>
              <w:spacing w:before="0" w:after="113"/>
              <w:rPr/>
            </w:pPr>
            <w:r>
              <w:rPr/>
              <w:t>1990</w:t>
            </w:r>
          </w:p>
        </w:tc>
        <w:tc>
          <w:tcPr>
            <w:tcW w:w="7431" w:type="dxa"/>
            <w:tcBorders/>
          </w:tcPr>
          <w:p>
            <w:pPr>
              <w:pStyle w:val="TableContents"/>
              <w:widowControl w:val="false"/>
              <w:suppressLineNumbers/>
              <w:spacing w:before="0" w:after="113"/>
              <w:rPr/>
            </w:pPr>
            <w:r>
              <w:rPr/>
              <w:t>Peter May went full time with his company Research Casting International (RCI).</w:t>
            </w:r>
          </w:p>
        </w:tc>
      </w:tr>
      <w:tr>
        <w:trPr>
          <w:trHeight w:val="246" w:hRule="atLeast"/>
        </w:trPr>
        <w:tc>
          <w:tcPr>
            <w:tcW w:w="2207" w:type="dxa"/>
            <w:tcBorders/>
          </w:tcPr>
          <w:p>
            <w:pPr>
              <w:pStyle w:val="TableContents"/>
              <w:widowControl w:val="false"/>
              <w:suppressLineNumbers/>
              <w:spacing w:before="0" w:after="113"/>
              <w:rPr/>
            </w:pPr>
            <w:r>
              <w:rPr/>
              <w:t>28 March 1990</w:t>
            </w:r>
          </w:p>
        </w:tc>
        <w:tc>
          <w:tcPr>
            <w:tcW w:w="7431" w:type="dxa"/>
            <w:tcBorders/>
          </w:tcPr>
          <w:p>
            <w:pPr>
              <w:pStyle w:val="TableContents"/>
              <w:widowControl w:val="false"/>
              <w:suppressLineNumbers/>
              <w:spacing w:before="0" w:after="113"/>
              <w:rPr/>
            </w:pPr>
            <w:r>
              <w:rPr/>
              <w:t xml:space="preserve">A formal agreement was made between AMNH and RCI for the project to mount a cast of </w:t>
            </w:r>
            <w:r>
              <w:rPr>
                <w:i/>
                <w:iCs/>
              </w:rPr>
              <w:t>Barosaurus</w:t>
            </w:r>
            <w:r>
              <w:rPr/>
              <w:t xml:space="preserve"> AMNH 6341 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Fall 1990</w:t>
            </w:r>
          </w:p>
        </w:tc>
        <w:tc>
          <w:tcPr>
            <w:tcW w:w="7431" w:type="dxa"/>
            <w:tcBorders/>
          </w:tcPr>
          <w:p>
            <w:pPr>
              <w:pStyle w:val="TableContents"/>
              <w:widowControl w:val="false"/>
              <w:suppressLineNumber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widowControl w:val="false"/>
              <w:suppressLineNumbers/>
              <w:spacing w:before="0" w:after="113"/>
              <w:rPr/>
            </w:pPr>
            <w:r>
              <w:rPr/>
              <w:t>Late 1990/early 1991</w:t>
            </w:r>
          </w:p>
        </w:tc>
        <w:tc>
          <w:tcPr>
            <w:tcW w:w="7431" w:type="dxa"/>
            <w:tcBorders/>
          </w:tcPr>
          <w:p>
            <w:pPr>
              <w:pStyle w:val="TableContents"/>
              <w:widowControl w:val="false"/>
              <w:suppressLineNumber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widowControl w:val="false"/>
              <w:suppressLineNumbers/>
              <w:spacing w:before="0" w:after="113"/>
              <w:rPr/>
            </w:pPr>
            <w:r>
              <w:rPr/>
              <w:t>Spring 1991</w:t>
            </w:r>
          </w:p>
        </w:tc>
        <w:tc>
          <w:tcPr>
            <w:tcW w:w="7431" w:type="dxa"/>
            <w:tcBorders/>
          </w:tcPr>
          <w:p>
            <w:pPr>
              <w:pStyle w:val="TableContents"/>
              <w:widowControl w:val="false"/>
              <w:suppressLineNumber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widowControl w:val="false"/>
              <w:suppressLineNumbers/>
              <w:spacing w:before="0" w:after="113"/>
              <w:rPr/>
            </w:pPr>
            <w:r>
              <w:rPr/>
              <w:t>Summer 1991</w:t>
            </w:r>
          </w:p>
        </w:tc>
        <w:tc>
          <w:tcPr>
            <w:tcW w:w="7431" w:type="dxa"/>
            <w:tcBorders/>
          </w:tcPr>
          <w:p>
            <w:pPr>
              <w:pStyle w:val="TableContents"/>
              <w:widowControl w:val="false"/>
              <w:suppressLineNumber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widowControl w:val="false"/>
              <w:suppressLineNumbers/>
              <w:spacing w:before="0" w:after="113"/>
              <w:rPr/>
            </w:pPr>
            <w:r>
              <w:rPr/>
              <w:t>November 1991</w:t>
            </w:r>
          </w:p>
        </w:tc>
        <w:tc>
          <w:tcPr>
            <w:tcW w:w="7431" w:type="dxa"/>
            <w:tcBorders/>
          </w:tcPr>
          <w:p>
            <w:pPr>
              <w:pStyle w:val="TableContents"/>
              <w:widowControl w:val="false"/>
              <w:suppressLineNumber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widowControl w:val="false"/>
              <w:suppressLineNumbers/>
              <w:spacing w:before="0" w:after="113"/>
              <w:rPr/>
            </w:pPr>
            <w:r>
              <w:rPr/>
              <w:t>29 November 1991</w:t>
            </w:r>
          </w:p>
        </w:tc>
        <w:tc>
          <w:tcPr>
            <w:tcW w:w="7431" w:type="dxa"/>
            <w:tcBorders/>
          </w:tcPr>
          <w:p>
            <w:pPr>
              <w:pStyle w:val="TableContents"/>
              <w:widowControl w:val="false"/>
              <w:suppressLineNumber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widowControl w:val="false"/>
              <w:suppressLineNumbers/>
              <w:spacing w:before="0" w:after="113"/>
              <w:rPr/>
            </w:pPr>
            <w:r>
              <w:rPr/>
              <w:t>3 December 1991</w:t>
            </w:r>
          </w:p>
        </w:tc>
        <w:tc>
          <w:tcPr>
            <w:tcW w:w="7431" w:type="dxa"/>
            <w:tcBorders/>
          </w:tcPr>
          <w:p>
            <w:pPr>
              <w:pStyle w:val="TableContents"/>
              <w:widowControl w:val="false"/>
              <w:suppressLineNumber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widowControl w:val="false"/>
              <w:suppressLineNumbers/>
              <w:spacing w:before="0" w:after="113"/>
              <w:rPr/>
            </w:pPr>
            <w:r>
              <w:rPr/>
              <w:t>4 December 1991</w:t>
            </w:r>
          </w:p>
        </w:tc>
        <w:tc>
          <w:tcPr>
            <w:tcW w:w="7431" w:type="dxa"/>
            <w:tcBorders/>
          </w:tcPr>
          <w:p>
            <w:pPr>
              <w:pStyle w:val="TableContents"/>
              <w:widowControl w:val="false"/>
              <w:suppressLineNumbers/>
              <w:spacing w:before="0" w:after="113"/>
              <w:rPr/>
            </w:pPr>
            <w:r>
              <w:rPr/>
              <w:t>The exhibit was opened to the public.</w:t>
            </w:r>
          </w:p>
        </w:tc>
      </w:tr>
    </w:tbl>
    <w:p>
      <w:pPr>
        <w:pStyle w:val="BodyText"/>
        <w:spacing w:lineRule="auto" w:line="276" w:before="0" w:after="140"/>
        <w:rPr/>
      </w:pPr>
      <w:r>
        <w:rPr/>
      </w:r>
    </w:p>
    <w:sectPr>
      <w:headerReference w:type="even" r:id="rId17"/>
      <w:headerReference w:type="default" r:id="rId18"/>
      <w:headerReference w:type="first" r:id="rId19"/>
      <w:type w:val="nextPage"/>
      <w:pgSz w:w="11906" w:h="16838"/>
      <w:pgMar w:left="1134" w:right="1134" w:gutter="0" w:header="1134" w:top="1692"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Gill Sans">
    <w:charset w:val="01"/>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37</w:t>
    </w:r>
    <w:r>
      <w:rPr/>
      <w:fldChar w:fldCharType="end"/>
    </w:r>
    <w:r>
      <w:rPr/>
      <w:t>/</w:t>
    </w:r>
    <w:r>
      <w:rPr/>
      <w:fldChar w:fldCharType="begin"/>
    </w:r>
    <w:r>
      <w:rPr/>
      <w:instrText xml:space="preserve"> NUMPAGES </w:instrText>
    </w:r>
    <w:r>
      <w:rPr/>
      <w:fldChar w:fldCharType="separate"/>
    </w:r>
    <w:r>
      <w:rPr/>
      <w:t>37</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37</w:t>
    </w:r>
    <w:r>
      <w:rPr/>
      <w:fldChar w:fldCharType="end"/>
    </w:r>
    <w:r>
      <w:rPr/>
      <w:t>/</w:t>
    </w:r>
    <w:r>
      <w:rPr/>
      <w:fldChar w:fldCharType="begin"/>
    </w:r>
    <w:r>
      <w:rPr/>
      <w:instrText xml:space="preserve"> NUMPAGES </w:instrText>
    </w:r>
    <w:r>
      <w:rPr/>
      <w:fldChar w:fldCharType="separate"/>
    </w:r>
    <w:r>
      <w:rPr/>
      <w:t>37</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uiPriority w:val="9"/>
    <w:qFormat/>
    <w:pPr>
      <w:spacing w:before="567" w:after="142"/>
      <w:outlineLvl w:val="0"/>
    </w:pPr>
    <w:rPr>
      <w:bCs/>
      <w:sz w:val="32"/>
      <w:szCs w:val="36"/>
    </w:rPr>
  </w:style>
  <w:style w:type="paragraph" w:styleId="Heading2">
    <w:name w:val="heading 2"/>
    <w:basedOn w:val="Heading"/>
    <w:next w:val="BodyText"/>
    <w:uiPriority w:val="9"/>
    <w:unhideWhenUsed/>
    <w:qFormat/>
    <w:pPr>
      <w:spacing w:before="198" w:after="119"/>
      <w:outlineLvl w:val="1"/>
    </w:pPr>
    <w:rPr>
      <w:rFonts w:eastAsia="Songti SC"/>
      <w:bCs/>
      <w:sz w:val="26"/>
      <w:szCs w:val="26"/>
    </w:rPr>
  </w:style>
  <w:style w:type="paragraph" w:styleId="Heading3">
    <w:name w:val="heading 3"/>
    <w:basedOn w:val="Heading"/>
    <w:next w:val="BodyText"/>
    <w:uiPriority w:val="9"/>
    <w:unhideWhenUsed/>
    <w:qFormat/>
    <w:pPr>
      <w:numPr>
        <w:ilvl w:val="2"/>
        <w:numId w:val="5"/>
      </w:numPr>
      <w:spacing w:before="142" w:after="142"/>
      <w:outlineLvl w:val="2"/>
    </w:pPr>
    <w:rPr>
      <w:bCs/>
      <w:sz w:val="20"/>
      <w:szCs w:val="20"/>
    </w:rPr>
  </w:style>
  <w:style w:type="paragraph" w:styleId="Heading4">
    <w:name w:val="heading 4"/>
    <w:basedOn w:val="Heading"/>
    <w:next w:val="BodyText"/>
    <w:uiPriority w:val="9"/>
    <w:semiHidden/>
    <w:unhideWhenUsed/>
    <w:qFormat/>
    <w:pPr>
      <w:spacing w:before="120" w:after="120"/>
      <w:outlineLvl w:val="3"/>
    </w:pPr>
    <w:rPr>
      <w:rFonts w:ascii="Liberation Serif" w:hAnsi="Liberation Serif" w:eastAsia="Songti SC"/>
      <w:bCs/>
      <w:sz w:val="24"/>
      <w:szCs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llowedHyperlink">
    <w:name w:val="FollowedHyperlink"/>
    <w:qFormat/>
    <w:rPr>
      <w:color w:val="800000"/>
      <w:u w:val="single"/>
    </w:rPr>
  </w:style>
  <w:style w:type="character" w:styleId="IndexLink" w:customStyle="1">
    <w:name w:val="Index Link"/>
    <w:qFormat/>
    <w:rPr/>
  </w:style>
  <w:style w:type="character" w:styleId="Bullets" w:customStyle="1">
    <w:name w:val="Bullets"/>
    <w:qFormat/>
    <w:rPr>
      <w:rFonts w:ascii="OpenSymbol" w:hAnsi="OpenSymbol" w:eastAsia="OpenSymbol" w:cs="OpenSymbol"/>
    </w:rPr>
  </w:style>
  <w:style w:type="character" w:styleId="Teletype" w:customStyle="1">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CommentReference">
    <w:name w:val="annotation reference"/>
    <w:basedOn w:val="DefaultParagraphFont"/>
    <w:uiPriority w:val="99"/>
    <w:semiHidden/>
    <w:unhideWhenUsed/>
    <w:qFormat/>
    <w:rsid w:val="00bf1f32"/>
    <w:rPr>
      <w:sz w:val="16"/>
      <w:szCs w:val="16"/>
    </w:rPr>
  </w:style>
  <w:style w:type="character" w:styleId="CommentTextChar" w:customStyle="1">
    <w:name w:val="Comment Text Char"/>
    <w:basedOn w:val="DefaultParagraphFont"/>
    <w:link w:val="CommentText"/>
    <w:uiPriority w:val="99"/>
    <w:qFormat/>
    <w:rsid w:val="00bf1f32"/>
    <w:rPr>
      <w:rFonts w:ascii="Baskerville" w:hAnsi="Baskerville" w:cs="Mangal"/>
      <w:szCs w:val="18"/>
    </w:rPr>
  </w:style>
  <w:style w:type="character" w:styleId="CommentSubjectChar" w:customStyle="1">
    <w:name w:val="Comment Subject Char"/>
    <w:basedOn w:val="CommentTextChar"/>
    <w:link w:val="annotationsubject"/>
    <w:uiPriority w:val="99"/>
    <w:semiHidden/>
    <w:qFormat/>
    <w:rsid w:val="00bf1f32"/>
    <w:rPr>
      <w:rFonts w:ascii="Baskerville" w:hAnsi="Baskerville" w:cs="Mangal"/>
      <w:b/>
      <w:bCs/>
      <w:szCs w:val="18"/>
    </w:rPr>
  </w:style>
  <w:style w:type="paragraph" w:styleId="Heading" w:customStyle="1">
    <w:name w:val="Heading"/>
    <w:basedOn w:val="Normal"/>
    <w:next w:val="BodyText"/>
    <w:qFormat/>
    <w:pPr>
      <w:keepNext w:val="true"/>
      <w:spacing w:before="240" w:after="120"/>
    </w:pPr>
    <w:rPr>
      <w:rFonts w:ascii="Gill Sans" w:hAnsi="Gill Sans" w:eastAsia="PingFang SC"/>
      <w:b/>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spacing w:before="238" w:after="119"/>
    </w:pPr>
    <w:rPr>
      <w:bCs/>
      <w:sz w:val="38"/>
      <w:szCs w:val="56"/>
    </w:rPr>
  </w:style>
  <w:style w:type="paragraph" w:styleId="Author" w:customStyle="1">
    <w:name w:val="Author"/>
    <w:basedOn w:val="BodyText"/>
    <w:qFormat/>
    <w:pPr>
      <w:spacing w:before="0" w:after="142"/>
      <w:ind w:hanging="283" w:left="283"/>
    </w:pPr>
    <w:rPr>
      <w:i/>
    </w:rPr>
  </w:style>
  <w:style w:type="paragraph" w:styleId="BlockQuotation" w:customStyle="1">
    <w:name w:val="Block Quotation"/>
    <w:basedOn w:val="Normal"/>
    <w:qFormat/>
    <w:pPr>
      <w:spacing w:lineRule="auto" w:line="276" w:before="0" w:after="283"/>
      <w:ind w:left="567" w:right="567"/>
    </w:pPr>
    <w:rPr/>
  </w:style>
  <w:style w:type="paragraph" w:styleId="Abstract" w:customStyle="1">
    <w:name w:val="Abstract"/>
    <w:basedOn w:val="BodyText"/>
    <w:qFormat/>
    <w:pPr>
      <w:spacing w:before="0" w:after="142"/>
      <w:ind w:left="567" w:right="567"/>
    </w:pPr>
    <w:rPr>
      <w:i/>
      <w:iCs/>
    </w:rPr>
  </w:style>
  <w:style w:type="paragraph" w:styleId="toaheading">
    <w:name w:val="toa heading"/>
    <w:basedOn w:val="Heading"/>
    <w:qFormat/>
    <w:pPr>
      <w:pageBreakBefore/>
      <w:suppressLineNumbers/>
    </w:pPr>
    <w:rPr>
      <w:bCs/>
      <w:sz w:val="32"/>
      <w:szCs w:val="32"/>
    </w:rPr>
  </w:style>
  <w:style w:type="paragraph" w:styleId="TOC1">
    <w:name w:val="toc 1"/>
    <w:basedOn w:val="Index"/>
    <w:pPr>
      <w:tabs>
        <w:tab w:val="clear" w:pos="720"/>
        <w:tab w:val="right" w:pos="9638" w:leader="dot"/>
      </w:tabs>
    </w:pPr>
    <w:rPr/>
  </w:style>
  <w:style w:type="paragraph" w:styleId="Reference" w:customStyle="1">
    <w:name w:val="Reference"/>
    <w:basedOn w:val="BodyText"/>
    <w:qFormat/>
    <w:pPr>
      <w:spacing w:before="0" w:after="142"/>
      <w:ind w:hanging="283" w:left="283"/>
    </w:pPr>
    <w:rPr/>
  </w:style>
  <w:style w:type="paragraph" w:styleId="TOC2">
    <w:name w:val="toc 2"/>
    <w:basedOn w:val="Index"/>
    <w:pPr>
      <w:tabs>
        <w:tab w:val="clear" w:pos="720"/>
        <w:tab w:val="right" w:pos="9355" w:leader="dot"/>
      </w:tabs>
      <w:ind w:left="283"/>
    </w:pPr>
    <w:rPr/>
  </w:style>
  <w:style w:type="paragraph" w:styleId="FigureCaption" w:customStyle="1">
    <w:name w:val="Figure Caption"/>
    <w:basedOn w:val="BodyText"/>
    <w:qFormat/>
    <w:pPr>
      <w:spacing w:before="0" w:after="142"/>
      <w:ind w:hanging="283" w:left="283"/>
    </w:pPr>
    <w:rPr/>
  </w:style>
  <w:style w:type="paragraph" w:styleId="TOC3">
    <w:name w:val="toc 3"/>
    <w:basedOn w:val="Index"/>
    <w:pPr>
      <w:tabs>
        <w:tab w:val="clear" w:pos="720"/>
        <w:tab w:val="right" w:pos="9072" w:leader="dot"/>
      </w:tabs>
      <w:ind w:left="566"/>
    </w:pPr>
    <w:rPr/>
  </w:style>
  <w:style w:type="paragraph" w:styleId="HeaderandFooter" w:customStyle="1">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spacing w:before="0" w:after="113"/>
    </w:pPr>
    <w:rPr/>
  </w:style>
  <w:style w:type="paragraph" w:styleId="TableHeading" w:customStyle="1">
    <w:name w:val="Table Heading"/>
    <w:basedOn w:val="TableContents"/>
    <w:qFormat/>
    <w:pPr/>
    <w:rPr>
      <w:b/>
      <w:bCs/>
    </w:rPr>
  </w:style>
  <w:style w:type="paragraph" w:styleId="Header">
    <w:name w:val="header"/>
    <w:basedOn w:val="HeaderandFooter"/>
    <w:pPr/>
    <w:rPr>
      <w:smallCaps/>
    </w:rPr>
  </w:style>
  <w:style w:type="paragraph" w:styleId="CommentText">
    <w:name w:val="annotation text"/>
    <w:basedOn w:val="Normal"/>
    <w:link w:val="CommentTextChar"/>
    <w:uiPriority w:val="99"/>
    <w:unhideWhenUsed/>
    <w:rsid w:val="00bf1f32"/>
    <w:pPr/>
    <w:rPr>
      <w:rFonts w:cs="Mangal"/>
      <w:sz w:val="20"/>
      <w:szCs w:val="18"/>
    </w:rPr>
  </w:style>
  <w:style w:type="paragraph" w:styleId="annotationsubject">
    <w:name w:val="annotation subject"/>
    <w:basedOn w:val="CommentText"/>
    <w:next w:val="CommentText"/>
    <w:link w:val="CommentSubjectChar"/>
    <w:uiPriority w:val="99"/>
    <w:semiHidden/>
    <w:unhideWhenUsed/>
    <w:qFormat/>
    <w:rsid w:val="00bf1f32"/>
    <w:pPr/>
    <w:rPr>
      <w:b/>
      <w:bCs/>
    </w:rPr>
  </w:style>
  <w:style w:type="paragraph" w:styleId="Revision">
    <w:name w:val="Revision"/>
    <w:uiPriority w:val="99"/>
    <w:semiHidden/>
    <w:qFormat/>
    <w:rsid w:val="00e01ccb"/>
    <w:pPr>
      <w:widowControl/>
      <w:suppressAutoHyphens w:val="false"/>
      <w:bidi w:val="0"/>
      <w:spacing w:before="0" w:after="0"/>
      <w:jc w:val="left"/>
    </w:pPr>
    <w:rPr>
      <w:rFonts w:ascii="Baskerville" w:hAnsi="Baskerville" w:eastAsia="Songti SC" w:cs="Mangal"/>
      <w:color w:val="auto"/>
      <w:kern w:val="2"/>
      <w:sz w:val="24"/>
      <w:szCs w:val="21"/>
      <w:lang w:val="en-GB"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oi.org/10.1127/pala/284/2008/69" TargetMode="External"/><Relationship Id="rId13" Type="http://schemas.openxmlformats.org/officeDocument/2006/relationships/hyperlink" Target="https://dinotoyblog.com/" TargetMode="External"/><Relationship Id="rId14" Type="http://schemas.openxmlformats.org/officeDocument/2006/relationships/hyperlink" Target="https://github.com/miketaylor/palaeo-superbaro" TargetMode="External"/><Relationship Id="rId15" Type="http://schemas.openxmlformats.org/officeDocument/2006/relationships/hyperlink" Target="https://doi.org/10.7717/peerj.857" TargetMode="External"/><Relationship Id="rId16" Type="http://schemas.openxmlformats.org/officeDocument/2006/relationships/hyperlink" Target="https://naturalhistory.si.edu/sites/default/files/media/translated_publications/Young%26amp%3BZhao_72.pdf" TargetMode="Externa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689</TotalTime>
  <Application>LibreOffice/26.2.0.3$MacOSX_AARCH64 LibreOffice_project/afbbd0df0edb6d40b450b0337ac646b0913a760c</Application>
  <AppVersion>15.0000</AppVersion>
  <Pages>37</Pages>
  <Words>17942</Words>
  <Characters>94836</Characters>
  <CharactersWithSpaces>112299</CharactersWithSpaces>
  <Paragraphs>397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2026-07-30T15:50:00Z</dcterms:created>
  <dc:creator>Mike Taylor</dc:creator>
  <dc:description/>
  <dc:language>en-GB</dc:language>
  <cp:lastModifiedBy>Mike Taylor</cp:lastModifiedBy>
  <dcterms:modified xsi:type="dcterms:W3CDTF">2026-08-20T22:27:55Z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