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r>
              <w:rPr>
                <w:rStyle w:val="IndexLink"/>
              </w:rPr>
              <w:t>Introduction</w:t>
            </w:r>
            <w:r>
              <w:rPr>
                <w:rStyle w:val="IndexLink"/>
              </w:rPr>
              <w:tab/>
              <w:t>2</w:t>
            </w:r>
          </w:hyperlink>
        </w:p>
        <w:p>
          <w:pPr>
            <w:pStyle w:val="TOC2"/>
            <w:tabs>
              <w:tab w:val="clear" w:pos="9355"/>
              <w:tab w:val="right" w:pos="9637" w:leader="dot"/>
            </w:tabs>
            <w:rPr/>
          </w:pPr>
          <w:hyperlink w:anchor="__RefHeading___Toc3323_2187837281">
            <w:r>
              <w:rPr>
                <w:rStyle w:val="IndexLink"/>
              </w:rPr>
              <w:t>Anatomical nomenclature</w:t>
              <w:tab/>
              <w:t>3</w:t>
            </w:r>
          </w:hyperlink>
        </w:p>
        <w:p>
          <w:pPr>
            <w:pStyle w:val="TOC2"/>
            <w:tabs>
              <w:tab w:val="clear" w:pos="9355"/>
              <w:tab w:val="right" w:pos="9637" w:leader="dot"/>
            </w:tabs>
            <w:rPr/>
          </w:pPr>
          <w:hyperlink w:anchor="__RefHeading___Toc5349_68767826">
            <w:r>
              <w:rPr>
                <w:rStyle w:val="IndexLink"/>
              </w:rPr>
              <w:t>Institutional abbreviations</w:t>
              <w:tab/>
              <w:t>3</w:t>
            </w:r>
          </w:hyperlink>
        </w:p>
        <w:p>
          <w:pPr>
            <w:pStyle w:val="TOC1"/>
            <w:tabs>
              <w:tab w:val="clear" w:pos="9638"/>
              <w:tab w:val="right" w:pos="9637" w:leader="dot"/>
            </w:tabs>
            <w:rPr/>
          </w:pPr>
          <w:hyperlink w:anchor="__RefHeading___Toc4316_68767826">
            <w:r>
              <w:rPr>
                <w:rStyle w:val="IndexLink"/>
              </w:rPr>
              <w:t>Historical background</w:t>
              <w:tab/>
              <w:t>3</w:t>
            </w:r>
          </w:hyperlink>
        </w:p>
        <w:p>
          <w:pPr>
            <w:pStyle w:val="TOC2"/>
            <w:tabs>
              <w:tab w:val="clear" w:pos="9355"/>
              <w:tab w:val="right" w:pos="9637" w:leader="dot"/>
            </w:tabs>
            <w:rPr/>
          </w:pPr>
          <w:hyperlink w:anchor="__RefHeading___Toc12350_68767826">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r>
              <w:rPr>
                <w:rStyle w:val="IndexLink"/>
              </w:rPr>
              <w:t xml:space="preserve">The AMNH specimen of </w:t>
            </w:r>
            <w:r>
              <w:rPr>
                <w:rStyle w:val="IndexLink"/>
                <w:i/>
                <w:iCs/>
              </w:rPr>
              <w:t>Barosaurus</w:t>
            </w:r>
            <w:r>
              <w:rPr>
                <w:rStyle w:val="IndexLink"/>
              </w:rPr>
              <w:tab/>
              <w:t>4</w:t>
            </w:r>
          </w:hyperlink>
        </w:p>
        <w:p>
          <w:pPr>
            <w:pStyle w:val="TOC1"/>
            <w:tabs>
              <w:tab w:val="clear" w:pos="9638"/>
              <w:tab w:val="right" w:pos="9637" w:leader="dot"/>
            </w:tabs>
            <w:rPr/>
          </w:pPr>
          <w:hyperlink w:anchor="__RefHeading___Toc5351_68767826">
            <w:r>
              <w:rPr>
                <w:rStyle w:val="IndexLink"/>
              </w:rPr>
              <w:t xml:space="preserve">The AMNH mounted </w:t>
            </w:r>
            <w:r>
              <w:rPr>
                <w:rStyle w:val="IndexLink"/>
                <w:i/>
                <w:iCs/>
              </w:rPr>
              <w:t>Barosaurus</w:t>
            </w:r>
            <w:r>
              <w:rPr>
                <w:rStyle w:val="IndexLink"/>
              </w:rPr>
              <w:tab/>
              <w:t>5</w:t>
            </w:r>
          </w:hyperlink>
        </w:p>
        <w:p>
          <w:pPr>
            <w:pStyle w:val="TOC2"/>
            <w:tabs>
              <w:tab w:val="clear" w:pos="9355"/>
              <w:tab w:val="right" w:pos="9637" w:leader="dot"/>
            </w:tabs>
            <w:rPr/>
          </w:pPr>
          <w:hyperlink w:anchor="__RefHeading___Toc5354_68767826">
            <w:r>
              <w:rPr>
                <w:rStyle w:val="IndexLink"/>
              </w:rPr>
              <w:t>The conception of the mount</w:t>
              <w:tab/>
              <w:t>5</w:t>
            </w:r>
          </w:hyperlink>
        </w:p>
        <w:p>
          <w:pPr>
            <w:pStyle w:val="TOC2"/>
            <w:tabs>
              <w:tab w:val="clear" w:pos="9355"/>
              <w:tab w:val="right" w:pos="9637" w:leader="dot"/>
            </w:tabs>
            <w:rPr/>
          </w:pPr>
          <w:hyperlink w:anchor="__RefHeading___Toc1099_1709072779">
            <w:r>
              <w:rPr>
                <w:rStyle w:val="IndexLink"/>
                <w:i w:val="false"/>
                <w:iCs w:val="false"/>
              </w:rPr>
              <w:t>The purpose of the mount</w:t>
            </w:r>
            <w:r>
              <w:rPr>
                <w:rStyle w:val="IndexLink"/>
              </w:rPr>
              <w:tab/>
              <w:t>7</w:t>
            </w:r>
          </w:hyperlink>
        </w:p>
        <w:p>
          <w:pPr>
            <w:pStyle w:val="TOC2"/>
            <w:tabs>
              <w:tab w:val="clear" w:pos="9355"/>
              <w:tab w:val="right" w:pos="9637" w:leader="dot"/>
            </w:tabs>
            <w:rPr/>
          </w:pPr>
          <w:hyperlink w:anchor="__RefHeading___Toc18297_68767826">
            <w:r>
              <w:rPr>
                <w:rStyle w:val="IndexLink"/>
              </w:rPr>
              <w:t>The creation of the mount</w:t>
              <w:tab/>
              <w:t>7</w:t>
            </w:r>
          </w:hyperlink>
        </w:p>
        <w:p>
          <w:pPr>
            <w:pStyle w:val="TOC2"/>
            <w:tabs>
              <w:tab w:val="clear" w:pos="9355"/>
              <w:tab w:val="right" w:pos="9637" w:leader="dot"/>
            </w:tabs>
            <w:rPr/>
          </w:pPr>
          <w:hyperlink w:anchor="__RefHeading___Toc5632_2187837281">
            <w:r>
              <w:rPr>
                <w:rStyle w:val="IndexLink"/>
              </w:rPr>
              <w:t>Photography of the mount</w:t>
              <w:tab/>
              <w:t>10</w:t>
            </w:r>
          </w:hyperlink>
        </w:p>
        <w:p>
          <w:pPr>
            <w:pStyle w:val="TOC2"/>
            <w:tabs>
              <w:tab w:val="clear" w:pos="9355"/>
              <w:tab w:val="right" w:pos="9637" w:leader="dot"/>
            </w:tabs>
            <w:rPr/>
          </w:pPr>
          <w:hyperlink w:anchor="__RefHeading___Toc5356_68767826">
            <w:r>
              <w:rPr>
                <w:rStyle w:val="IndexLink"/>
              </w:rPr>
              <w:t>The composition of the mount</w:t>
              <w:tab/>
              <w:t>10</w:t>
            </w:r>
          </w:hyperlink>
        </w:p>
        <w:p>
          <w:pPr>
            <w:pStyle w:val="TOC3"/>
            <w:tabs>
              <w:tab w:val="clear" w:pos="9072"/>
              <w:tab w:val="right" w:pos="9637" w:leader="dot"/>
            </w:tabs>
            <w:rPr/>
          </w:pPr>
          <w:hyperlink w:anchor="__RefHeading___Toc16585_68767826">
            <w:r>
              <w:rPr>
                <w:rStyle w:val="IndexLink"/>
              </w:rPr>
              <w:t>Overview</w:t>
              <w:tab/>
              <w:t>10</w:t>
            </w:r>
          </w:hyperlink>
        </w:p>
        <w:p>
          <w:pPr>
            <w:pStyle w:val="TOC3"/>
            <w:tabs>
              <w:tab w:val="clear" w:pos="9072"/>
              <w:tab w:val="right" w:pos="9637" w:leader="dot"/>
            </w:tabs>
            <w:rPr/>
          </w:pPr>
          <w:hyperlink w:anchor="__RefHeading___Toc4995_537823704">
            <w:r>
              <w:rPr>
                <w:rStyle w:val="IndexLink"/>
                <w:i/>
                <w:iCs/>
              </w:rPr>
              <w:t>Barosaurus</w:t>
            </w:r>
            <w:r>
              <w:rPr>
                <w:rStyle w:val="IndexLink"/>
              </w:rPr>
              <w:t xml:space="preserve"> material in the mount</w:t>
              <w:tab/>
              <w:t>10</w:t>
            </w:r>
          </w:hyperlink>
        </w:p>
        <w:p>
          <w:pPr>
            <w:pStyle w:val="TOC3"/>
            <w:tabs>
              <w:tab w:val="clear" w:pos="9072"/>
              <w:tab w:val="right" w:pos="9637" w:leader="dot"/>
            </w:tabs>
            <w:rPr/>
          </w:pPr>
          <w:hyperlink w:anchor="__RefHeading___Toc16587_68767826">
            <w:r>
              <w:rPr>
                <w:rStyle w:val="IndexLink"/>
              </w:rPr>
              <w:t>Skull</w:t>
              <w:tab/>
              <w:t>12</w:t>
            </w:r>
          </w:hyperlink>
        </w:p>
        <w:p>
          <w:pPr>
            <w:pStyle w:val="TOC3"/>
            <w:tabs>
              <w:tab w:val="clear" w:pos="9072"/>
              <w:tab w:val="right" w:pos="9637" w:leader="dot"/>
            </w:tabs>
            <w:rPr/>
          </w:pPr>
          <w:hyperlink w:anchor="__RefHeading___Toc16589_68767826">
            <w:r>
              <w:rPr>
                <w:rStyle w:val="IndexLink"/>
              </w:rPr>
              <w:t>Neck</w:t>
              <w:tab/>
              <w:t>12</w:t>
            </w:r>
          </w:hyperlink>
        </w:p>
        <w:p>
          <w:pPr>
            <w:pStyle w:val="TOC3"/>
            <w:tabs>
              <w:tab w:val="clear" w:pos="9072"/>
              <w:tab w:val="right" w:pos="9637" w:leader="dot"/>
            </w:tabs>
            <w:rPr/>
          </w:pPr>
          <w:hyperlink w:anchor="__RefHeading___Toc2466_2187837281">
            <w:r>
              <w:rPr>
                <w:rStyle w:val="IndexLink"/>
              </w:rPr>
              <w:t>Torso, sacrum and tail</w:t>
              <w:tab/>
              <w:t>13</w:t>
            </w:r>
          </w:hyperlink>
        </w:p>
        <w:p>
          <w:pPr>
            <w:pStyle w:val="TOC3"/>
            <w:tabs>
              <w:tab w:val="clear" w:pos="9072"/>
              <w:tab w:val="right" w:pos="9637" w:leader="dot"/>
            </w:tabs>
            <w:rPr/>
          </w:pPr>
          <w:hyperlink w:anchor="__RefHeading___Toc2470_2187837281">
            <w:r>
              <w:rPr>
                <w:rStyle w:val="IndexLink"/>
              </w:rPr>
              <w:t>Forelimbs and girdles</w:t>
              <w:tab/>
              <w:t>13</w:t>
            </w:r>
          </w:hyperlink>
        </w:p>
        <w:p>
          <w:pPr>
            <w:pStyle w:val="TOC3"/>
            <w:tabs>
              <w:tab w:val="clear" w:pos="9072"/>
              <w:tab w:val="right" w:pos="9637" w:leader="dot"/>
            </w:tabs>
            <w:rPr/>
          </w:pPr>
          <w:hyperlink w:anchor="__RefHeading___Toc2472_2187837281">
            <w:r>
              <w:rPr>
                <w:rStyle w:val="IndexLink"/>
              </w:rPr>
              <w:t>Hindlimbs and girdles</w:t>
              <w:tab/>
              <w:t>13</w:t>
            </w:r>
          </w:hyperlink>
        </w:p>
        <w:p>
          <w:pPr>
            <w:pStyle w:val="TOC1"/>
            <w:tabs>
              <w:tab w:val="clear" w:pos="9638"/>
              <w:tab w:val="right" w:pos="9637" w:leader="dot"/>
            </w:tabs>
            <w:rPr/>
          </w:pPr>
          <w:hyperlink w:anchor="__RefHeading___Toc3401_68767826">
            <w:r>
              <w:rPr>
                <w:rStyle w:val="IndexLink"/>
              </w:rPr>
              <w:t>Discussion</w:t>
              <w:tab/>
              <w:t>14</w:t>
            </w:r>
          </w:hyperlink>
        </w:p>
        <w:p>
          <w:pPr>
            <w:pStyle w:val="TOC2"/>
            <w:tabs>
              <w:tab w:val="clear" w:pos="9355"/>
              <w:tab w:val="right" w:pos="9637" w:leader="dot"/>
            </w:tabs>
            <w:rPr/>
          </w:pPr>
          <w:hyperlink w:anchor="__RefHeading___Toc2476_2187837281">
            <w:r>
              <w:rPr>
                <w:rStyle w:val="IndexLink"/>
              </w:rPr>
              <w:t>Rearing pose</w:t>
              <w:tab/>
              <w:t>14</w:t>
            </w:r>
          </w:hyperlink>
        </w:p>
        <w:p>
          <w:pPr>
            <w:pStyle w:val="TOC2"/>
            <w:tabs>
              <w:tab w:val="clear" w:pos="9355"/>
              <w:tab w:val="right" w:pos="9637" w:leader="dot"/>
            </w:tabs>
            <w:rPr/>
          </w:pPr>
          <w:hyperlink w:anchor="__RefHeading___Toc3786_1986291683">
            <w:r>
              <w:rPr>
                <w:rStyle w:val="IndexLink"/>
              </w:rPr>
              <w:t>A short history of a rearing sauropods</w:t>
              <w:tab/>
              <w:t>15</w:t>
            </w:r>
          </w:hyperlink>
        </w:p>
        <w:p>
          <w:pPr>
            <w:pStyle w:val="TOC2"/>
            <w:tabs>
              <w:tab w:val="clear" w:pos="9355"/>
              <w:tab w:val="right" w:pos="9637" w:leader="dot"/>
            </w:tabs>
            <w:rPr/>
          </w:pPr>
          <w:hyperlink w:anchor="__RefHeading___Toc11689_675290491">
            <w:r>
              <w:rPr>
                <w:rStyle w:val="IndexLink"/>
              </w:rPr>
              <w:t>Cultural impact</w:t>
              <w:tab/>
              <w:t>17</w:t>
            </w:r>
          </w:hyperlink>
        </w:p>
        <w:p>
          <w:pPr>
            <w:pStyle w:val="TOC2"/>
            <w:tabs>
              <w:tab w:val="clear" w:pos="9355"/>
              <w:tab w:val="right" w:pos="9637" w:leader="dot"/>
            </w:tabs>
            <w:rPr/>
          </w:pPr>
          <w:hyperlink w:anchor="__RefHeading___Toc21934_68767826">
            <w:r>
              <w:rPr>
                <w:rStyle w:val="IndexLink"/>
              </w:rPr>
              <w:t>Size of the AMNH 6341 animal</w:t>
              <w:tab/>
              <w:t>17</w:t>
            </w:r>
          </w:hyperlink>
        </w:p>
        <w:p>
          <w:pPr>
            <w:pStyle w:val="TOC1"/>
            <w:tabs>
              <w:tab w:val="clear" w:pos="9638"/>
              <w:tab w:val="right" w:pos="9637" w:leader="dot"/>
            </w:tabs>
            <w:rPr/>
          </w:pPr>
          <w:hyperlink w:anchor="__RefHeading___Toc3403_68767826">
            <w:r>
              <w:rPr>
                <w:rStyle w:val="IndexLink"/>
              </w:rPr>
              <w:t>Acknowledgements</w:t>
              <w:tab/>
              <w:t>18</w:t>
            </w:r>
          </w:hyperlink>
        </w:p>
        <w:p>
          <w:pPr>
            <w:pStyle w:val="TOC1"/>
            <w:tabs>
              <w:tab w:val="clear" w:pos="9638"/>
              <w:tab w:val="right" w:pos="9637" w:leader="dot"/>
            </w:tabs>
            <w:rPr/>
          </w:pPr>
          <w:hyperlink w:anchor="__RefHeading___Toc3405_68767826">
            <w:r>
              <w:rPr>
                <w:rStyle w:val="IndexLink"/>
              </w:rPr>
              <w:t>References</w:t>
              <w:tab/>
              <w:t>18</w:t>
            </w:r>
          </w:hyperlink>
        </w:p>
        <w:p>
          <w:pPr>
            <w:pStyle w:val="TOC1"/>
            <w:tabs>
              <w:tab w:val="clear" w:pos="9638"/>
              <w:tab w:val="right" w:pos="9637" w:leader="dot"/>
            </w:tabs>
            <w:rPr/>
          </w:pPr>
          <w:hyperlink w:anchor="__RefHeading___Toc3407_68767826">
            <w:r>
              <w:rPr>
                <w:rStyle w:val="IndexLink"/>
              </w:rPr>
              <w:t>Figure Captions</w:t>
              <w:tab/>
              <w:t>22</w:t>
            </w:r>
          </w:hyperlink>
          <w:r>
            <w:rPr>
              <w:rStyle w:val="IndexLink"/>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BodyText"/>
        <w:rPr/>
      </w:pPr>
      <w:r>
        <w:rPr/>
        <w:t xml:space="preserve">Earl Douglass had first discovered dinosaur fossils at Dinosaur National Monument in 1909 (Gilmore 1932:2), and so had been working the area for a full decade by 1919, when the expedition sponsor Andrew Carnegie died at the age of 83. It was apparent that work at the quarry would soon end without his funding, and Douglass joined the staff of the University of Utah. Beginning in 1922, two fine diplodocine skeletons were partially excavated from the easternmost part of the quarry (McIntosh 2005:42). One of these, designated #355 in the field, was a </w:t>
      </w:r>
      <w:r>
        <w:rPr>
          <w:i/>
          <w:iCs/>
        </w:rPr>
        <w:t>Diplodocus</w:t>
      </w:r>
      <w:r>
        <w:rPr/>
        <w:t xml:space="preserve"> that was collected by Charles W. Gilmore for the National Museum of Natural History in Washington, D.C. (USNM 10865),. The other, designated #340 and thought at that time also to be </w:t>
      </w:r>
      <w:r>
        <w:rPr>
          <w:i/>
          <w:iCs/>
        </w:rPr>
        <w:t>Diplodocus,</w:t>
      </w:r>
      <w:r>
        <w:rPr/>
        <w:t xml:space="preserve"> was destined to go with Douglass to the University of Utah, though to further complicate matters nine or ten caudal vertebrae were sent to the Carnegie Museum. However, when it became clear that the USNM </w:t>
      </w:r>
      <w:r>
        <w:rPr>
          <w:i/>
          <w:iCs/>
        </w:rPr>
        <w:t>Diplodocus</w:t>
      </w:r>
      <w:r>
        <w:rPr/>
        <w:t xml:space="preserve"> lacked a neck, it was arranged to supplement this material with the neck, anterior dorsals and scapulocoracoid and humerus from the University of Utah specimen. This left the skeleton now spread across three institutions in Salt Lake City, Pittsburgh, and Washington, D.C. It is perhaps for this reason that, although the rest of this specimen was excavated, sent to the University of Utah and prepared, it was never mounted. Meanwhile, the neck that had been sent to Washington, D.C. proved when prepared not to belong to </w:t>
      </w:r>
      <w:r>
        <w:rPr>
          <w:i/>
          <w:iCs/>
        </w:rPr>
        <w:t>Diplodocus</w:t>
      </w:r>
      <w:r>
        <w:rPr/>
        <w:t xml:space="preserve"> after all but to </w:t>
      </w:r>
      <w:r>
        <w:rPr>
          <w:i/>
          <w:iCs/>
        </w:rPr>
        <w:t>Barosaurus</w:t>
      </w:r>
      <w:r>
        <w:rPr/>
        <w:t xml:space="preserve"> (Gilmore 1932:4). It was therefore not used after all in the mount of USNM 10865, which was instead completed with casts of the Carnegie </w:t>
      </w:r>
      <w:r>
        <w:rPr>
          <w:i/>
          <w:iCs/>
        </w:rPr>
        <w:t>Diplodocus</w:t>
      </w:r>
      <w:r>
        <w:rPr/>
        <w:t xml:space="preserve"> CM 84 and unveiled in 1932 (Gilmore 1932).</w:t>
      </w:r>
    </w:p>
    <w:p>
      <w:pPr>
        <w:pStyle w:val="BodyText"/>
        <w:rPr/>
      </w:pPr>
      <w:r>
        <w:rPr/>
        <w:t xml:space="preserve">In 1929, Barnum Brown, acting for the American Museum of Natural History, visited most of the nation’s major natural history museums to assess their collections. He realised that the neck, anterior torso, scapulocoracoid and humerus at the USNM, and the tail segment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the University of Utah made a cash-plus-fossils deal in which they were paid $2,500 cash plus the equivalent value in fossil mammal specimens (Brown 1929). The reunited skeleton was given the specimen number AMNH 6341. (See Norell et al. 1991:36–38, Dingus 1996:21–22, McIntosh 2005:42–43).</w:t>
      </w:r>
    </w:p>
    <w:p>
      <w:pPr>
        <w:pStyle w:val="BodyText"/>
        <w:rPr/>
      </w:pPr>
      <w:r>
        <w:rPr/>
        <w:t xml:space="preserve">There is some evidence that the last ten cervical vertebrae (C7–16) were preserved in the specimen as first excavated: Brown (1929) says that the material then at the USNM included “the last ten cervical vertebrae with ribs”, and the quarry map of Gilmore (1932:figure 1) shows nine dorsals and ten cervicals belonging to the </w:t>
      </w:r>
      <w:r>
        <w:rPr>
          <w:i/>
          <w:iCs/>
        </w:rPr>
        <w:t>Barosaurus</w:t>
      </w:r>
      <w:r>
        <w:rPr/>
        <w:t xml:space="preserve"> skeleton. If this is correct, though, the most anterior of these (C7) seems to have been lost or destroyed, as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7" w:name="__RefHeading___Toc5351_68767826"/>
      <w:bookmarkEnd w:id="7"/>
      <w:r>
        <w:rPr/>
        <w:t xml:space="preserve">The AMNH mounted </w:t>
      </w:r>
      <w:r>
        <w:rPr>
          <w:i/>
          <w:iCs/>
        </w:rPr>
        <w:t>Barosaurus</w:t>
      </w:r>
    </w:p>
    <w:p>
      <w:pPr>
        <w:pStyle w:val="Heading2"/>
        <w:rPr/>
      </w:pPr>
      <w:bookmarkStart w:id="8" w:name="__RefHeading___Toc5354_68767826"/>
      <w:bookmarkEnd w:id="8"/>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9" w:name="__RefHeading___Toc1099_1709072779"/>
      <w:bookmarkEnd w:id="9"/>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0" w:name="__RefHeading___Toc18297_68767826"/>
      <w:bookmarkEnd w:id="10"/>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1" w:name="__RefHeading___Toc5632_2187837281"/>
      <w:bookmarkEnd w:id="11"/>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Smithsonian. Gardiner recalls (pers. comm.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2" w:name="__RefHeading___Toc5356_68767826"/>
      <w:bookmarkEnd w:id="12"/>
      <w:r>
        <w:rPr/>
        <w:t>The composition of the mount</w:t>
      </w:r>
    </w:p>
    <w:p>
      <w:pPr>
        <w:pStyle w:val="Heading3"/>
        <w:numPr>
          <w:ilvl w:val="2"/>
          <w:numId w:val="5"/>
        </w:numPr>
        <w:ind w:hanging="0" w:left="0" w:right="0"/>
        <w:rPr/>
      </w:pPr>
      <w:bookmarkStart w:id="13" w:name="__RefHeading___Toc16585_68767826"/>
      <w:bookmarkEnd w:id="13"/>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w:t>
      </w:r>
      <w:r>
        <w:rPr/>
        <w:t xml:space="preserve">molds made from </w:t>
      </w:r>
      <w:r>
        <w:rPr/>
        <w:t xml:space="preserve">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w:t>
      </w:r>
      <w:r>
        <w:rPr/>
        <w:t>2025</w:t>
      </w:r>
      <w:r>
        <w:rPr/>
        <w:t xml:space="preserve">), so it is possible to determine the sources of most of the bones in the </w:t>
      </w:r>
      <w:r>
        <w:rPr>
          <w:i/>
          <w:iCs/>
        </w:rPr>
        <w:t>Barosaurus</w:t>
      </w:r>
      <w:r>
        <w:rPr/>
        <w:t xml:space="preserve"> mount. The details follow.</w:t>
      </w:r>
    </w:p>
    <w:p>
      <w:pPr>
        <w:pStyle w:val="Heading3"/>
        <w:rPr/>
      </w:pPr>
      <w:bookmarkStart w:id="14" w:name="__RefHeading___Toc4995_537823704"/>
      <w:bookmarkEnd w:id="14"/>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5" w:name="__DdeLink__31298_802501007"/>
      <w:r>
        <w:rPr/>
        <w:t>six partial ribs, of which one is the first or possibly second on the left side, and another is probably its counterpart</w:t>
      </w:r>
      <w:bookmarkEnd w:id="15"/>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rPr/>
      </w:pPr>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w:t>
      </w:r>
      <w:r>
        <w:rPr/>
        <w:t xml:space="preserve">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16" w:name="__RefHeading___Toc16587_68767826"/>
      <w:bookmarkEnd w:id="16"/>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However, CM 84, the specimen from which the Carnegie mount is mostly assembled, does not itself include a skull. As documented in Taylor et al. (</w:t>
      </w:r>
      <w:r>
        <w:rPr/>
        <w:t>2025:69</w:t>
      </w:r>
      <w:r>
        <w:rPr/>
        <w:t>), Holland (1906:227) explain</w:t>
      </w:r>
      <w:r>
        <w:rPr/>
        <w:t>ed</w:t>
      </w:r>
      <w:r>
        <w:rPr/>
        <w:t xml:space="preserve">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17" w:name="__RefHeading___Toc16589_68767826"/>
      <w:bookmarkEnd w:id="17"/>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CM 84, the specimen that forms most of the Carnegie mount, includes C2–7, but not the atlas (C1). As discussed by Taylor et al. (</w:t>
      </w:r>
      <w:r>
        <w:rPr/>
        <w:t>2025:71–72</w:t>
      </w:r>
      <w:r>
        <w:rPr/>
        <w:t>),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18" w:name="__RefHeading___Toc2466_2187837281"/>
      <w:bookmarkEnd w:id="18"/>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19" w:name="__RefHeading___Toc2470_2187837281"/>
      <w:bookmarkEnd w:id="19"/>
      <w:r>
        <w:rPr/>
        <w:t>Forelimbs and girdles</w:t>
      </w:r>
    </w:p>
    <w:p>
      <w:pPr>
        <w:pStyle w:val="BodyText"/>
        <w:rPr/>
      </w:pPr>
      <w:r>
        <w:rPr/>
        <w:t>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w:t>
      </w:r>
      <w:r>
        <w:rPr/>
        <w:t>2025:84</w:t>
      </w:r>
      <w:r>
        <w:rPr/>
        <w:t xml:space="preserve">),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w:t>
      </w:r>
      <w:r>
        <w:rPr/>
        <w:t>T</w:t>
      </w:r>
      <w:r>
        <w:rPr/>
        <w:t>hese error</w:t>
      </w:r>
      <w:r>
        <w:rPr/>
        <w:t xml:space="preserve">s </w:t>
      </w:r>
      <w:r>
        <w:rPr/>
        <w:t xml:space="preserve">were well understood by the 1990s: </w:t>
      </w:r>
      <w:r>
        <w:rPr/>
        <w:t xml:space="preserve">to address them in the </w:t>
      </w:r>
      <w:r>
        <w:rPr>
          <w:i/>
          <w:iCs/>
        </w:rPr>
        <w:t>Barosaurus</w:t>
      </w:r>
      <w:r>
        <w:rPr/>
        <w:t xml:space="preserve"> mount,</w:t>
      </w:r>
      <w:r>
        <w:rPr/>
        <w:t xml:space="preserve"> a set of metacarpals (DMN 2568) was loaned from Dinosaur National Monument, cast and returned. Corresponding sculptures were created for the metacarpals of the other manus </w:t>
      </w:r>
      <w:r>
        <w:rPr/>
        <w:t>(</w:t>
      </w:r>
      <w:r>
        <w:rPr/>
        <w:t xml:space="preserve">this predated the use of scanning and 3D printing, </w:t>
      </w:r>
      <w:r>
        <w:rPr/>
        <w:t>which would have allowed a perfect reflection)</w:t>
      </w:r>
      <w:r>
        <w:rPr/>
        <w:t xml:space="preserve">, and the </w:t>
      </w:r>
      <w:r>
        <w:rPr/>
        <w:t>cast and sculptures</w:t>
      </w:r>
      <w:r>
        <w:rPr/>
        <w:t xml:space="preserve"> were used in place of the camarasaurid metacarpals. Other elements of the forefeet were taken from the Carnegie </w:t>
      </w:r>
      <w:r>
        <w:rPr>
          <w:i/>
          <w:iCs/>
        </w:rPr>
        <w:t>Diplodocus</w:t>
      </w:r>
      <w:r>
        <w:rPr/>
        <w:t xml:space="preserve">, but the unguals were removed from digits II and III to correctly leave a single manual ungual. </w:t>
      </w:r>
      <w:r>
        <w:rPr/>
        <w:t xml:space="preserve">It follows that a small amount of camarasurid-derived material (the phalanges and surviving unguals) remains in the AMNH </w:t>
      </w:r>
      <w:r>
        <w:rPr>
          <w:i/>
          <w:iCs/>
        </w:rPr>
        <w:t>Barosaurus</w:t>
      </w:r>
      <w:r>
        <w:rPr/>
        <w:t xml:space="preserve"> mount.</w:t>
      </w:r>
    </w:p>
    <w:p>
      <w:pPr>
        <w:pStyle w:val="Heading3"/>
        <w:rPr/>
      </w:pPr>
      <w:r>
        <w:rPr/>
        <w:t>Hindlimbs and girdles</w:t>
      </w:r>
    </w:p>
    <w:p>
      <w:pPr>
        <w:pStyle w:val="BodyText"/>
        <w:rPr/>
      </w:pPr>
      <w:r>
        <w:rPr/>
        <w:t>As noted by Taylor et al. (</w:t>
      </w:r>
      <w:r>
        <w:rPr/>
        <w:t>2025:84–85</w:t>
      </w:r>
      <w:r>
        <w:rPr/>
        <w:t xml:space="preserve">),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0" w:name="__RefHeading___Toc3401_68767826"/>
      <w:bookmarkEnd w:id="20"/>
      <w:r>
        <w:rPr/>
        <w:t>Discussion</w:t>
      </w:r>
    </w:p>
    <w:p>
      <w:pPr>
        <w:pStyle w:val="Heading2"/>
        <w:rPr/>
      </w:pPr>
      <w:bookmarkStart w:id="21" w:name="__RefHeading___Toc2476_2187837281"/>
      <w:bookmarkEnd w:id="21"/>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w:t>
      </w:r>
      <w:r>
        <w:rPr/>
        <w:t>In a letter published simultaneously, Rewell (1992) noted based on dissection that while there are no valves in the giraffe jugular vein, “</w:t>
      </w:r>
      <w:r>
        <w:rPr/>
        <w:t xml:space="preserve">specialised seried valves prevented reflux into tributaries running from below into large veins”, </w:t>
      </w:r>
      <w:r>
        <w:rPr/>
        <w:t xml:space="preserve">a system also </w:t>
      </w:r>
      <w:r>
        <w:rPr/>
        <w:t xml:space="preserve">seen in the Bactrian camel </w:t>
      </w:r>
      <w:r>
        <w:rPr/>
        <w:t>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XXX discuss the possibility of arterial peristalsis.</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 xml:space="preserve">All discussion </w:t>
      </w:r>
      <w:r>
        <w:rPr/>
        <w:t xml:space="preserve">of this nature </w:t>
      </w:r>
      <w:r>
        <w:rPr/>
        <w:t>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2" w:name="__RefHeading___Toc3786_1986291683"/>
      <w:bookmarkEnd w:id="22"/>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3" w:name="__RefHeading___Toc11689_675290491"/>
      <w:bookmarkEnd w:id="23"/>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part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4" w:name="__RefHeading___Toc21934_68767826"/>
      <w:bookmarkEnd w:id="24"/>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25" w:name="__RefHeading___Toc3403_68767826"/>
      <w:bookmarkEnd w:id="25"/>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w:t>
      </w:r>
    </w:p>
    <w:p>
      <w:pPr>
        <w:pStyle w:val="Heading1"/>
        <w:numPr>
          <w:ilvl w:val="0"/>
          <w:numId w:val="3"/>
        </w:numPr>
        <w:ind w:hanging="0" w:left="0" w:right="0"/>
        <w:rPr/>
      </w:pPr>
      <w:bookmarkStart w:id="26" w:name="__RefHeading___Toc3405_68767826"/>
      <w:bookmarkEnd w:id="26"/>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Gilmore, Charles W. 1932. On a newly mounted skeleton of </w:t>
      </w:r>
      <w:r>
        <w:rPr>
          <w:i/>
          <w:iCs/>
        </w:rPr>
        <w:t>Diplodocus</w:t>
      </w:r>
      <w:r>
        <w:rPr/>
        <w:t xml:space="preserve"> in the United States National Museum. </w:t>
      </w:r>
      <w:bookmarkStart w:id="27" w:name="__DdeLink__2788_55120580"/>
      <w:r>
        <w:rPr>
          <w:i/>
          <w:iCs/>
        </w:rPr>
        <w:t>Proceedings of the United States National Museum</w:t>
      </w:r>
      <w:bookmarkEnd w:id="27"/>
      <w:r>
        <w:rPr/>
        <w:t xml:space="preserve"> </w:t>
      </w:r>
      <w:r>
        <w:rPr>
          <w:b/>
          <w:bCs/>
        </w:rPr>
        <w:t>81</w:t>
      </w:r>
      <w:r>
        <w:rPr/>
        <w:t>:1–21.</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28" w:name="__DdeLink__16582_68767826"/>
      <w:r>
        <w:rPr/>
        <w:t>Nieuwland</w:t>
      </w:r>
      <w:bookmarkEnd w:id="28"/>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8">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:247-387 and plates LX–LXXXV. doi:10.1130/GSAB-30-379</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XXX NOT YET CITED. Rewell, R. E. 1992. Cardiovascular system design and </w:t>
      </w:r>
      <w:r>
        <w:rPr>
          <w:i/>
          <w:iCs/>
        </w:rPr>
        <w:t>Barosaurus</w:t>
      </w:r>
      <w:r>
        <w:rPr/>
        <w:t xml:space="preserve">. </w:t>
      </w:r>
      <w:r>
        <w:rPr>
          <w:i/>
          <w:iCs/>
        </w:rPr>
        <w:t xml:space="preserve">The </w:t>
      </w:r>
      <w:r>
        <w:rPr>
          <w:i/>
          <w:iCs/>
        </w:rPr>
        <w:t xml:space="preserve">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9">
        <w:r>
          <w:rPr>
            <w:rStyle w:val="Hyperlink"/>
          </w:rPr>
          <w:t>https://dinotoyblog.com/</w:t>
        </w:r>
      </w:hyperlink>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0">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Taylor, Michael P., Matthew C. Lamanna, Amy Henrici, Linsly Church and Ilja Nieuwland. 202</w:t>
      </w:r>
      <w:r>
        <w:rPr/>
        <w:t>5</w:t>
      </w:r>
      <w:r>
        <w:rPr/>
        <w:t xml:space="preserve">.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 xml:space="preserve">:55–91. </w:t>
      </w:r>
      <w:r>
        <w:rPr>
          <w:i w:val="false"/>
          <w:iCs w:val="false"/>
        </w:rPr>
        <w:t>doi:</w:t>
      </w:r>
      <w:r>
        <w:rPr>
          <w:i w:val="false"/>
          <w:iCs w:val="false"/>
        </w:rPr>
        <w:t>10.2992/007.091.0104</w:t>
      </w:r>
    </w:p>
    <w:p>
      <w:pPr>
        <w:pStyle w:val="Reference"/>
        <w:rPr/>
      </w:pPr>
      <w:r>
        <w:rPr/>
        <w:t xml:space="preserve">Preprint doi:10.5281/zenodo.13732377 — available at </w:t>
      </w:r>
      <w:hyperlink r:id="rId11">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2">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Heading1"/>
        <w:numPr>
          <w:ilvl w:val="0"/>
          <w:numId w:val="3"/>
        </w:numPr>
        <w:ind w:hanging="0" w:left="0" w:right="0"/>
        <w:rPr/>
      </w:pPr>
      <w:bookmarkStart w:id="29" w:name="__RefHeading___Toc3407_68767826"/>
      <w:bookmarkEnd w:id="29"/>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fals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 The RCI employee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Lowell Dingus and Mark Norell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2–16, all articulated in a single piece. By the wall to the left are two further vertebrae — probably anterior dorsals, although the presence of what looks like a cervical rib loop in the vertebra closest to the camera suggests possibly a spare copy of a posterior cervical.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Heading1"/>
        <w:rPr/>
      </w:pPr>
      <w:r>
        <w:rPr/>
      </w:r>
    </w:p>
    <w:p>
      <w:pPr>
        <w:pStyle w:val="Heading1"/>
        <w:rPr/>
      </w:pPr>
      <w:r>
        <w:rPr/>
      </w:r>
    </w:p>
    <w:p>
      <w:pPr>
        <w:pStyle w:val="Heading1"/>
        <w:rPr/>
      </w:pPr>
      <w:r>
        <w:rPr/>
        <w:t>Tables</w:t>
      </w:r>
    </w:p>
    <w:p>
      <w:pPr>
        <w:pStyle w:val="Heading2"/>
        <w:rPr/>
      </w:pPr>
      <w:r>
        <w:rPr/>
        <w:t>Table 1</w:t>
      </w:r>
    </w:p>
    <w:p>
      <w:pPr>
        <w:pStyle w:val="BodyText"/>
        <w:rPr/>
      </w:pPr>
      <w:r>
        <w:rPr/>
        <w:t xml:space="preserve">Summarised history of the genus </w:t>
      </w:r>
      <w:r>
        <w:rPr>
          <w:i/>
          <w:iCs/>
        </w:rPr>
        <w:t>Barosaurus</w:t>
      </w:r>
      <w:r>
        <w:rPr/>
        <w:t xml:space="preserve"> and the </w:t>
      </w:r>
      <w:r>
        <w:rPr/>
        <w:t xml:space="preserve">rearing skeleton </w:t>
      </w:r>
      <w:r>
        <w:rPr/>
        <w:t>mount AMNH 6341.</w:t>
      </w:r>
    </w:p>
    <w:tbl>
      <w:tblPr>
        <w:tblW w:w="5000" w:type="pct"/>
        <w:jc w:val="left"/>
        <w:tblInd w:w="0" w:type="dxa"/>
        <w:tblLayout w:type="fixed"/>
        <w:tblCellMar>
          <w:top w:w="0" w:type="dxa"/>
          <w:left w:w="0" w:type="dxa"/>
          <w:bottom w:w="0" w:type="dxa"/>
          <w:right w:w="0" w:type="dxa"/>
        </w:tblCellMar>
      </w:tblPr>
      <w:tblGrid>
        <w:gridCol w:w="2210"/>
        <w:gridCol w:w="7428"/>
      </w:tblGrid>
      <w:tr>
        <w:trPr>
          <w:tblHeader w:val="true"/>
        </w:trPr>
        <w:tc>
          <w:tcPr>
            <w:tcW w:w="2210" w:type="dxa"/>
            <w:tcBorders/>
          </w:tcPr>
          <w:p>
            <w:pPr>
              <w:pStyle w:val="TableHeading"/>
              <w:spacing w:before="0" w:after="113"/>
              <w:rPr/>
            </w:pPr>
            <w:r>
              <w:rPr/>
              <w:t>Date</w:t>
            </w:r>
          </w:p>
        </w:tc>
        <w:tc>
          <w:tcPr>
            <w:tcW w:w="7428" w:type="dxa"/>
            <w:tcBorders/>
          </w:tcPr>
          <w:p>
            <w:pPr>
              <w:pStyle w:val="TableHeading"/>
              <w:spacing w:before="0" w:after="113"/>
              <w:rPr/>
            </w:pPr>
            <w:r>
              <w:rPr/>
              <w:t>Event</w:t>
            </w:r>
          </w:p>
        </w:tc>
      </w:tr>
      <w:tr>
        <w:trPr>
          <w:trHeight w:val="235" w:hRule="atLeast"/>
        </w:trPr>
        <w:tc>
          <w:tcPr>
            <w:tcW w:w="2210" w:type="dxa"/>
            <w:tcBorders/>
          </w:tcPr>
          <w:p>
            <w:pPr>
              <w:pStyle w:val="TableContents"/>
              <w:spacing w:before="0" w:after="113"/>
              <w:rPr/>
            </w:pPr>
            <w:r>
              <w:rPr/>
              <w:t>1880s</w:t>
            </w:r>
          </w:p>
        </w:tc>
        <w:tc>
          <w:tcPr>
            <w:tcW w:w="7428"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10" w:type="dxa"/>
            <w:tcBorders/>
          </w:tcPr>
          <w:p>
            <w:pPr>
              <w:pStyle w:val="TableContents"/>
              <w:spacing w:before="0" w:after="113"/>
              <w:rPr/>
            </w:pPr>
            <w:r>
              <w:rPr/>
              <w:t>Summer 1889</w:t>
            </w:r>
          </w:p>
        </w:tc>
        <w:tc>
          <w:tcPr>
            <w:tcW w:w="7428"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10" w:type="dxa"/>
            <w:tcBorders/>
          </w:tcPr>
          <w:p>
            <w:pPr>
              <w:pStyle w:val="TableContents"/>
              <w:spacing w:before="0" w:after="113"/>
              <w:rPr/>
            </w:pPr>
            <w:r>
              <w:rPr/>
              <w:t>1890</w:t>
            </w:r>
          </w:p>
        </w:tc>
        <w:tc>
          <w:tcPr>
            <w:tcW w:w="7428"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10" w:type="dxa"/>
            <w:tcBorders/>
          </w:tcPr>
          <w:p>
            <w:pPr>
              <w:pStyle w:val="TableContents"/>
              <w:spacing w:before="0" w:after="113"/>
              <w:rPr/>
            </w:pPr>
            <w:r>
              <w:rPr/>
              <w:t>Late August 1898</w:t>
            </w:r>
          </w:p>
        </w:tc>
        <w:tc>
          <w:tcPr>
            <w:tcW w:w="7428" w:type="dxa"/>
            <w:tcBorders/>
          </w:tcPr>
          <w:p>
            <w:pPr>
              <w:pStyle w:val="TableContents"/>
              <w:spacing w:before="0" w:after="113"/>
              <w:rPr/>
            </w:pPr>
            <w:r>
              <w:rPr/>
              <w:t>Marsh sent George Wieland to collect the rest of the skeleton.</w:t>
            </w:r>
          </w:p>
        </w:tc>
      </w:tr>
      <w:tr>
        <w:trPr>
          <w:trHeight w:val="235" w:hRule="atLeast"/>
        </w:trPr>
        <w:tc>
          <w:tcPr>
            <w:tcW w:w="2210" w:type="dxa"/>
            <w:tcBorders/>
          </w:tcPr>
          <w:p>
            <w:pPr>
              <w:pStyle w:val="TableContents"/>
              <w:spacing w:before="0" w:after="113"/>
              <w:rPr/>
            </w:pPr>
            <w:r>
              <w:rPr/>
              <w:t>1899</w:t>
            </w:r>
          </w:p>
        </w:tc>
        <w:tc>
          <w:tcPr>
            <w:tcW w:w="7428"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10" w:type="dxa"/>
            <w:tcBorders/>
          </w:tcPr>
          <w:p>
            <w:pPr>
              <w:pStyle w:val="TableContents"/>
              <w:spacing w:before="0" w:after="113"/>
              <w:rPr/>
            </w:pPr>
            <w:r>
              <w:rPr/>
              <w:t>1907</w:t>
            </w:r>
          </w:p>
        </w:tc>
        <w:tc>
          <w:tcPr>
            <w:tcW w:w="7428"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10" w:type="dxa"/>
            <w:tcBorders/>
          </w:tcPr>
          <w:p>
            <w:pPr>
              <w:pStyle w:val="TableContents"/>
              <w:spacing w:before="0" w:after="113"/>
              <w:rPr/>
            </w:pPr>
            <w:r>
              <w:rPr/>
              <w:t>Late 1916</w:t>
            </w:r>
          </w:p>
        </w:tc>
        <w:tc>
          <w:tcPr>
            <w:tcW w:w="7428"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10" w:type="dxa"/>
            <w:tcBorders/>
          </w:tcPr>
          <w:p>
            <w:pPr>
              <w:pStyle w:val="TableContents"/>
              <w:spacing w:before="0" w:after="113"/>
              <w:rPr/>
            </w:pPr>
            <w:r>
              <w:rPr/>
              <w:t>1917</w:t>
            </w:r>
          </w:p>
        </w:tc>
        <w:tc>
          <w:tcPr>
            <w:tcW w:w="7428" w:type="dxa"/>
            <w:tcBorders/>
          </w:tcPr>
          <w:p>
            <w:pPr>
              <w:pStyle w:val="TableContents"/>
              <w:spacing w:before="0" w:after="113"/>
              <w:rPr/>
            </w:pPr>
            <w:r>
              <w:rPr/>
              <w:t>Lull’s published abstract very briefly describe</w:t>
            </w:r>
            <w:r>
              <w:rPr/>
              <w:t>d</w:t>
            </w:r>
            <w:r>
              <w:rPr/>
              <w:t xml:space="preserve"> the type specimen.</w:t>
            </w:r>
          </w:p>
        </w:tc>
      </w:tr>
      <w:tr>
        <w:trPr>
          <w:trHeight w:val="235" w:hRule="atLeast"/>
        </w:trPr>
        <w:tc>
          <w:tcPr>
            <w:tcW w:w="2210" w:type="dxa"/>
            <w:tcBorders/>
          </w:tcPr>
          <w:p>
            <w:pPr>
              <w:pStyle w:val="TableContents"/>
              <w:spacing w:before="0" w:after="113"/>
              <w:rPr/>
            </w:pPr>
            <w:r>
              <w:rPr/>
              <w:t>1919</w:t>
            </w:r>
          </w:p>
        </w:tc>
        <w:tc>
          <w:tcPr>
            <w:tcW w:w="7428" w:type="dxa"/>
            <w:tcBorders/>
          </w:tcPr>
          <w:p>
            <w:pPr>
              <w:pStyle w:val="TableContents"/>
              <w:spacing w:before="0" w:after="113"/>
              <w:rPr/>
            </w:pPr>
            <w:r>
              <w:rPr/>
              <w:t>Lull’s detailed monographic description of the type specimen.</w:t>
            </w:r>
          </w:p>
        </w:tc>
      </w:tr>
      <w:tr>
        <w:trPr>
          <w:trHeight w:val="235" w:hRule="atLeast"/>
        </w:trPr>
        <w:tc>
          <w:tcPr>
            <w:tcW w:w="2210" w:type="dxa"/>
            <w:tcBorders/>
          </w:tcPr>
          <w:p>
            <w:pPr>
              <w:pStyle w:val="TableContents"/>
              <w:spacing w:before="0" w:after="113"/>
              <w:rPr/>
            </w:pPr>
            <w:r>
              <w:rPr/>
              <w:t>1922</w:t>
            </w:r>
          </w:p>
        </w:tc>
        <w:tc>
          <w:tcPr>
            <w:tcW w:w="7428"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10" w:type="dxa"/>
            <w:tcBorders/>
          </w:tcPr>
          <w:p>
            <w:pPr>
              <w:pStyle w:val="TableContents"/>
              <w:spacing w:before="0" w:after="113"/>
              <w:rPr/>
            </w:pPr>
            <w:r>
              <w:rPr/>
              <w:t>1922</w:t>
            </w:r>
          </w:p>
        </w:tc>
        <w:tc>
          <w:tcPr>
            <w:tcW w:w="7428"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10" w:type="dxa"/>
            <w:tcBorders/>
          </w:tcPr>
          <w:p>
            <w:pPr>
              <w:pStyle w:val="TableContents"/>
              <w:spacing w:before="0" w:after="113"/>
              <w:rPr/>
            </w:pPr>
            <w:r>
              <w:rPr/>
              <w:t>Mid-1920s</w:t>
            </w:r>
          </w:p>
        </w:tc>
        <w:tc>
          <w:tcPr>
            <w:tcW w:w="7428" w:type="dxa"/>
            <w:tcBorders/>
          </w:tcPr>
          <w:p>
            <w:pPr>
              <w:pStyle w:val="TableContents"/>
              <w:spacing w:before="0" w:after="113"/>
              <w:rPr/>
            </w:pPr>
            <w:r>
              <w:rPr/>
              <w:t xml:space="preserve">The neck of #340 was sent to the Smithsonian to provide material for a </w:t>
            </w:r>
            <w:r>
              <w:rPr>
                <w:i/>
                <w:iCs/>
              </w:rPr>
              <w:t>Diplodocus</w:t>
            </w:r>
            <w:r>
              <w:rPr/>
              <w:t xml:space="preserve"> skeletal mount based on USNM 10865. When prepared, the neck sent to the Smithsonian proved to belong not to </w:t>
            </w:r>
            <w:r>
              <w:rPr>
                <w:i/>
                <w:iCs/>
              </w:rPr>
              <w:t>Diplodocus</w:t>
            </w:r>
            <w:r>
              <w:rPr/>
              <w:t xml:space="preserve"> but to </w:t>
            </w:r>
            <w:r>
              <w:rPr>
                <w:i/>
                <w:iCs/>
              </w:rPr>
              <w:t>Barosaurus</w:t>
            </w:r>
            <w:r>
              <w:rPr/>
              <w:t>.</w:t>
            </w:r>
          </w:p>
        </w:tc>
      </w:tr>
      <w:tr>
        <w:trPr>
          <w:trHeight w:val="246" w:hRule="atLeast"/>
        </w:trPr>
        <w:tc>
          <w:tcPr>
            <w:tcW w:w="2210" w:type="dxa"/>
            <w:tcBorders/>
          </w:tcPr>
          <w:p>
            <w:pPr>
              <w:pStyle w:val="TableContents"/>
              <w:spacing w:before="0" w:after="113"/>
              <w:rPr/>
            </w:pPr>
            <w:r>
              <w:rPr/>
              <w:t>1929</w:t>
            </w:r>
          </w:p>
        </w:tc>
        <w:tc>
          <w:tcPr>
            <w:tcW w:w="7428" w:type="dxa"/>
            <w:tcBorders/>
          </w:tcPr>
          <w:p>
            <w:pPr>
              <w:pStyle w:val="TableContents"/>
              <w:spacing w:before="0" w:after="113"/>
              <w:rPr/>
            </w:pPr>
            <w:r>
              <w:rPr/>
              <w:t xml:space="preserve">Barnum Brown realised that the Smithsonian neck and the Carnegie tail belonged to the same individual as the partial skeleton at the University of Utah. He acquired all three three portions of this skeleton and reunited them </w:t>
            </w:r>
            <w:r>
              <w:rPr/>
              <w:t>at</w:t>
            </w:r>
            <w:r>
              <w:rPr/>
              <w:t xml:space="preserve"> the American Museum of Natural History (AMNH) in New York. The reunited skeleton was given the specimen number AMNH 6341.</w:t>
            </w:r>
          </w:p>
        </w:tc>
      </w:tr>
      <w:tr>
        <w:trPr>
          <w:trHeight w:val="246" w:hRule="atLeast"/>
        </w:trPr>
        <w:tc>
          <w:tcPr>
            <w:tcW w:w="2210" w:type="dxa"/>
            <w:tcBorders/>
          </w:tcPr>
          <w:p>
            <w:pPr>
              <w:pStyle w:val="TableContents"/>
              <w:spacing w:before="0" w:after="113"/>
              <w:rPr/>
            </w:pPr>
            <w:r>
              <w:rPr/>
              <w:t>1931</w:t>
            </w:r>
          </w:p>
        </w:tc>
        <w:tc>
          <w:tcPr>
            <w:tcW w:w="7428"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10" w:type="dxa"/>
            <w:tcBorders/>
          </w:tcPr>
          <w:p>
            <w:pPr>
              <w:pStyle w:val="TableContents"/>
              <w:spacing w:before="0" w:after="113"/>
              <w:rPr/>
            </w:pPr>
            <w:r>
              <w:rPr/>
              <w:t>17 April 1939</w:t>
            </w:r>
          </w:p>
        </w:tc>
        <w:tc>
          <w:tcPr>
            <w:tcW w:w="7428"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10" w:type="dxa"/>
            <w:tcBorders/>
          </w:tcPr>
          <w:p>
            <w:pPr>
              <w:pStyle w:val="TableContents"/>
              <w:spacing w:before="0" w:after="113"/>
              <w:rPr/>
            </w:pPr>
            <w:r>
              <w:rPr/>
              <w:t>Early 1950s</w:t>
            </w:r>
          </w:p>
        </w:tc>
        <w:tc>
          <w:tcPr>
            <w:tcW w:w="7428"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10" w:type="dxa"/>
            <w:tcBorders/>
          </w:tcPr>
          <w:p>
            <w:pPr>
              <w:pStyle w:val="TableContents"/>
              <w:spacing w:before="0" w:after="113"/>
              <w:rPr/>
            </w:pPr>
            <w:r>
              <w:rPr/>
              <w:t>1952</w:t>
            </w:r>
          </w:p>
        </w:tc>
        <w:tc>
          <w:tcPr>
            <w:tcW w:w="7428"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10" w:type="dxa"/>
            <w:tcBorders/>
          </w:tcPr>
          <w:p>
            <w:pPr>
              <w:pStyle w:val="TableContents"/>
              <w:spacing w:before="0" w:after="113"/>
              <w:rPr/>
            </w:pPr>
            <w:r>
              <w:rPr/>
              <w:t>8 June, 1957</w:t>
            </w:r>
          </w:p>
        </w:tc>
        <w:tc>
          <w:tcPr>
            <w:tcW w:w="7428" w:type="dxa"/>
            <w:tcBorders/>
          </w:tcPr>
          <w:p>
            <w:pPr>
              <w:pStyle w:val="TableContents"/>
              <w:spacing w:before="0" w:after="113"/>
              <w:rPr/>
            </w:pPr>
            <w:r>
              <w:rPr/>
              <w:t xml:space="preserve">A concrete </w:t>
            </w:r>
            <w:r>
              <w:rPr>
                <w:i/>
                <w:iCs/>
              </w:rPr>
              <w:t>Diplodocus</w:t>
            </w:r>
            <w:r>
              <w:rPr/>
              <w:t xml:space="preserve"> cast made from these molds </w:t>
            </w:r>
            <w:r>
              <w:rPr/>
              <w:t>wa</w:t>
            </w:r>
            <w:r>
              <w:rPr/>
              <w:t>s unveiled outside the Utah Field House.</w:t>
            </w:r>
          </w:p>
        </w:tc>
      </w:tr>
      <w:tr>
        <w:trPr>
          <w:trHeight w:val="246" w:hRule="atLeast"/>
        </w:trPr>
        <w:tc>
          <w:tcPr>
            <w:tcW w:w="2210" w:type="dxa"/>
            <w:tcBorders/>
          </w:tcPr>
          <w:p>
            <w:pPr>
              <w:pStyle w:val="TableContents"/>
              <w:spacing w:before="0" w:after="113"/>
              <w:rPr/>
            </w:pPr>
            <w:r>
              <w:rPr/>
              <w:t>1970</w:t>
            </w:r>
          </w:p>
        </w:tc>
        <w:tc>
          <w:tcPr>
            <w:tcW w:w="7428"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10" w:type="dxa"/>
            <w:tcBorders/>
          </w:tcPr>
          <w:p>
            <w:pPr>
              <w:pStyle w:val="TableContents"/>
              <w:spacing w:before="0" w:after="113"/>
              <w:rPr/>
            </w:pPr>
            <w:r>
              <w:rPr/>
              <w:t>1977</w:t>
            </w:r>
          </w:p>
        </w:tc>
        <w:tc>
          <w:tcPr>
            <w:tcW w:w="7428" w:type="dxa"/>
            <w:tcBorders/>
          </w:tcPr>
          <w:p>
            <w:pPr>
              <w:pStyle w:val="TableContents"/>
              <w:spacing w:before="0" w:after="113"/>
              <w:rPr/>
            </w:pPr>
            <w:r>
              <w:rPr/>
              <w:t>Peter May began working with skeletal mounts at the Royal Ontario Museum.</w:t>
            </w:r>
          </w:p>
        </w:tc>
      </w:tr>
      <w:tr>
        <w:trPr>
          <w:trHeight w:val="246" w:hRule="atLeast"/>
        </w:trPr>
        <w:tc>
          <w:tcPr>
            <w:tcW w:w="2210" w:type="dxa"/>
            <w:tcBorders/>
          </w:tcPr>
          <w:p>
            <w:pPr>
              <w:pStyle w:val="TableContents"/>
              <w:spacing w:before="0" w:after="113"/>
              <w:rPr/>
            </w:pPr>
            <w:r>
              <w:rPr/>
              <w:t>1978</w:t>
            </w:r>
          </w:p>
        </w:tc>
        <w:tc>
          <w:tcPr>
            <w:tcW w:w="7428"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10" w:type="dxa"/>
            <w:tcBorders/>
          </w:tcPr>
          <w:p>
            <w:pPr>
              <w:pStyle w:val="TableContents"/>
              <w:spacing w:before="0" w:after="113"/>
              <w:rPr/>
            </w:pPr>
            <w:r>
              <w:rPr/>
              <w:t>1986</w:t>
            </w:r>
          </w:p>
        </w:tc>
        <w:tc>
          <w:tcPr>
            <w:tcW w:w="7428" w:type="dxa"/>
            <w:tcBorders/>
          </w:tcPr>
          <w:p>
            <w:pPr>
              <w:pStyle w:val="TableContents"/>
              <w:spacing w:before="0" w:after="113"/>
              <w:rPr/>
            </w:pPr>
            <w:r>
              <w:rPr/>
              <w:t>The AMNH began planning an extensive renovation of its fossil halls.</w:t>
            </w:r>
          </w:p>
        </w:tc>
      </w:tr>
      <w:tr>
        <w:trPr>
          <w:trHeight w:val="246" w:hRule="atLeast"/>
        </w:trPr>
        <w:tc>
          <w:tcPr>
            <w:tcW w:w="2210" w:type="dxa"/>
            <w:tcBorders/>
          </w:tcPr>
          <w:p>
            <w:pPr>
              <w:pStyle w:val="TableContents"/>
              <w:spacing w:before="0" w:after="113"/>
              <w:rPr/>
            </w:pPr>
            <w:r>
              <w:rPr/>
              <w:t>1989</w:t>
            </w:r>
          </w:p>
        </w:tc>
        <w:tc>
          <w:tcPr>
            <w:tcW w:w="7428" w:type="dxa"/>
            <w:tcBorders/>
          </w:tcPr>
          <w:p>
            <w:pPr>
              <w:pStyle w:val="TableContents"/>
              <w:spacing w:before="0" w:after="113"/>
              <w:rPr/>
            </w:pPr>
            <w:r>
              <w:rPr/>
              <w:t xml:space="preserve">Jim Madsen’s company Dinolab unmounted </w:t>
            </w:r>
            <w:r>
              <w:rPr/>
              <w:t xml:space="preserve">the </w:t>
            </w:r>
            <w:r>
              <w:rPr/>
              <w:t xml:space="preserve">concrete </w:t>
            </w:r>
            <w:r>
              <w:rPr>
                <w:i/>
                <w:iCs/>
              </w:rPr>
              <w:t>Diplodocus</w:t>
            </w:r>
            <w:r>
              <w:rPr/>
              <w:t xml:space="preserve"> of Vernal, used it to create second-generation molds, and created a new, lightweight cast for the </w:t>
            </w:r>
            <w:r>
              <w:rPr/>
              <w:t xml:space="preserve">Utah </w:t>
            </w:r>
            <w:r>
              <w:rPr/>
              <w:t>Field House’s new building.</w:t>
            </w:r>
          </w:p>
        </w:tc>
      </w:tr>
      <w:tr>
        <w:trPr>
          <w:trHeight w:val="246" w:hRule="atLeast"/>
        </w:trPr>
        <w:tc>
          <w:tcPr>
            <w:tcW w:w="2210" w:type="dxa"/>
            <w:tcBorders/>
          </w:tcPr>
          <w:p>
            <w:pPr>
              <w:pStyle w:val="TableContents"/>
              <w:spacing w:before="0" w:after="113"/>
              <w:rPr/>
            </w:pPr>
            <w:r>
              <w:rPr/>
              <w:t>1990</w:t>
            </w:r>
          </w:p>
        </w:tc>
        <w:tc>
          <w:tcPr>
            <w:tcW w:w="7428" w:type="dxa"/>
            <w:tcBorders/>
          </w:tcPr>
          <w:p>
            <w:pPr>
              <w:pStyle w:val="TableContents"/>
              <w:spacing w:before="0" w:after="113"/>
              <w:rPr/>
            </w:pPr>
            <w:r>
              <w:rPr/>
              <w:t>Peter May went full time with his company Research Casting International (RCI).</w:t>
            </w:r>
          </w:p>
        </w:tc>
      </w:tr>
      <w:tr>
        <w:trPr>
          <w:trHeight w:val="246" w:hRule="atLeast"/>
        </w:trPr>
        <w:tc>
          <w:tcPr>
            <w:tcW w:w="2210" w:type="dxa"/>
            <w:tcBorders/>
          </w:tcPr>
          <w:p>
            <w:pPr>
              <w:pStyle w:val="TableContents"/>
              <w:spacing w:before="0" w:after="113"/>
              <w:rPr/>
            </w:pPr>
            <w:r>
              <w:rPr/>
              <w:t>28 March 1990</w:t>
            </w:r>
          </w:p>
        </w:tc>
        <w:tc>
          <w:tcPr>
            <w:tcW w:w="7428"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10" w:type="dxa"/>
            <w:tcBorders/>
          </w:tcPr>
          <w:p>
            <w:pPr>
              <w:pStyle w:val="TableContents"/>
              <w:spacing w:before="0" w:after="113"/>
              <w:rPr/>
            </w:pPr>
            <w:r>
              <w:rPr/>
              <w:t>Fall 1990</w:t>
            </w:r>
          </w:p>
        </w:tc>
        <w:tc>
          <w:tcPr>
            <w:tcW w:w="7428"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10" w:type="dxa"/>
            <w:tcBorders/>
          </w:tcPr>
          <w:p>
            <w:pPr>
              <w:pStyle w:val="TableContents"/>
              <w:spacing w:before="0" w:after="113"/>
              <w:rPr/>
            </w:pPr>
            <w:r>
              <w:rPr/>
              <w:t>Late 1990/early 1991</w:t>
            </w:r>
          </w:p>
        </w:tc>
        <w:tc>
          <w:tcPr>
            <w:tcW w:w="7428"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10" w:type="dxa"/>
            <w:tcBorders/>
          </w:tcPr>
          <w:p>
            <w:pPr>
              <w:pStyle w:val="TableContents"/>
              <w:spacing w:before="0" w:after="113"/>
              <w:rPr/>
            </w:pPr>
            <w:r>
              <w:rPr/>
              <w:t>Spring 1991</w:t>
            </w:r>
          </w:p>
        </w:tc>
        <w:tc>
          <w:tcPr>
            <w:tcW w:w="7428" w:type="dxa"/>
            <w:tcBorders/>
          </w:tcPr>
          <w:p>
            <w:pPr>
              <w:pStyle w:val="TableContents"/>
              <w:spacing w:before="0" w:after="113"/>
              <w:rPr/>
            </w:pPr>
            <w:r>
              <w:rPr/>
              <w:t xml:space="preserve">A test erection of the rearing </w:t>
            </w:r>
            <w:r>
              <w:rPr>
                <w:i/>
                <w:iCs/>
              </w:rPr>
              <w:t>Barosaurus</w:t>
            </w:r>
            <w:r>
              <w:rPr/>
              <w:t xml:space="preserve"> mount was carried out </w:t>
            </w:r>
            <w:r>
              <w:rPr/>
              <w:t>i</w:t>
            </w:r>
            <w:r>
              <w:rPr/>
              <w:t>n Toronto.</w:t>
            </w:r>
          </w:p>
        </w:tc>
      </w:tr>
      <w:tr>
        <w:trPr>
          <w:trHeight w:val="246" w:hRule="atLeast"/>
        </w:trPr>
        <w:tc>
          <w:tcPr>
            <w:tcW w:w="2210" w:type="dxa"/>
            <w:tcBorders/>
          </w:tcPr>
          <w:p>
            <w:pPr>
              <w:pStyle w:val="TableContents"/>
              <w:spacing w:before="0" w:after="113"/>
              <w:rPr/>
            </w:pPr>
            <w:r>
              <w:rPr/>
              <w:t>Summer 1991</w:t>
            </w:r>
          </w:p>
        </w:tc>
        <w:tc>
          <w:tcPr>
            <w:tcW w:w="7428" w:type="dxa"/>
            <w:tcBorders/>
          </w:tcPr>
          <w:p>
            <w:pPr>
              <w:pStyle w:val="TableContents"/>
              <w:spacing w:before="0" w:after="113"/>
              <w:rPr/>
            </w:pPr>
            <w:r>
              <w:rPr/>
              <w:t xml:space="preserve">Gene Gaffney and Peter May found a site in northeastern Montana that could be molded and cast to provide </w:t>
            </w:r>
            <w:r>
              <w:rPr/>
              <w:t>a</w:t>
            </w:r>
            <w:r>
              <w:rPr/>
              <w:t xml:space="preserve"> base </w:t>
            </w:r>
            <w:r>
              <w:rPr/>
              <w:t xml:space="preserve">for </w:t>
            </w:r>
            <w:r>
              <w:rPr/>
              <w:t>the skeletons.</w:t>
            </w:r>
          </w:p>
        </w:tc>
      </w:tr>
      <w:tr>
        <w:trPr>
          <w:trHeight w:val="246" w:hRule="atLeast"/>
        </w:trPr>
        <w:tc>
          <w:tcPr>
            <w:tcW w:w="2210" w:type="dxa"/>
            <w:tcBorders/>
          </w:tcPr>
          <w:p>
            <w:pPr>
              <w:pStyle w:val="TableContents"/>
              <w:spacing w:before="0" w:after="113"/>
              <w:rPr/>
            </w:pPr>
            <w:r>
              <w:rPr/>
              <w:t>November 1991</w:t>
            </w:r>
          </w:p>
        </w:tc>
        <w:tc>
          <w:tcPr>
            <w:tcW w:w="7428" w:type="dxa"/>
            <w:tcBorders/>
          </w:tcPr>
          <w:p>
            <w:pPr>
              <w:pStyle w:val="TableContents"/>
              <w:spacing w:before="0" w:after="113"/>
              <w:rPr/>
            </w:pPr>
            <w:r>
              <w:rPr/>
              <w:t>The work in Toronto was complete, and the completed exhibit was transported to New York.</w:t>
            </w:r>
          </w:p>
        </w:tc>
      </w:tr>
      <w:tr>
        <w:trPr>
          <w:trHeight w:val="246" w:hRule="atLeast"/>
        </w:trPr>
        <w:tc>
          <w:tcPr>
            <w:tcW w:w="2210" w:type="dxa"/>
            <w:tcBorders/>
          </w:tcPr>
          <w:p>
            <w:pPr>
              <w:pStyle w:val="TableContents"/>
              <w:spacing w:before="0" w:after="113"/>
              <w:rPr/>
            </w:pPr>
            <w:r>
              <w:rPr/>
              <w:t>29 November 1991</w:t>
            </w:r>
          </w:p>
        </w:tc>
        <w:tc>
          <w:tcPr>
            <w:tcW w:w="7428" w:type="dxa"/>
            <w:tcBorders/>
          </w:tcPr>
          <w:p>
            <w:pPr>
              <w:pStyle w:val="TableContents"/>
              <w:spacing w:before="0" w:after="113"/>
              <w:rPr/>
            </w:pPr>
            <w:r>
              <w:rPr/>
              <w:t xml:space="preserve">The John Gurche painting </w:t>
            </w:r>
            <w:r>
              <w:rPr/>
              <w:t xml:space="preserve">of a rearing </w:t>
            </w:r>
            <w:r>
              <w:rPr>
                <w:i/>
                <w:iCs/>
              </w:rPr>
              <w:t>Barosaurus</w:t>
            </w:r>
            <w:r>
              <w:rPr/>
              <w:t xml:space="preserve">, </w:t>
            </w:r>
            <w:r>
              <w:rPr/>
              <w:t xml:space="preserve">prepared for the exhibit, appeared on the front cover of </w:t>
            </w:r>
            <w:r>
              <w:rPr>
                <w:i/>
                <w:iCs/>
              </w:rPr>
              <w:t>New York Newsday</w:t>
            </w:r>
            <w:r>
              <w:rPr/>
              <w:t>.</w:t>
            </w:r>
          </w:p>
        </w:tc>
      </w:tr>
      <w:tr>
        <w:trPr>
          <w:trHeight w:val="246" w:hRule="atLeast"/>
        </w:trPr>
        <w:tc>
          <w:tcPr>
            <w:tcW w:w="2210" w:type="dxa"/>
            <w:tcBorders/>
          </w:tcPr>
          <w:p>
            <w:pPr>
              <w:pStyle w:val="TableContents"/>
              <w:spacing w:before="0" w:after="113"/>
              <w:rPr/>
            </w:pPr>
            <w:r>
              <w:rPr/>
              <w:t>3 December 1991</w:t>
            </w:r>
          </w:p>
        </w:tc>
        <w:tc>
          <w:tcPr>
            <w:tcW w:w="7428"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10" w:type="dxa"/>
            <w:tcBorders/>
          </w:tcPr>
          <w:p>
            <w:pPr>
              <w:pStyle w:val="TableContents"/>
              <w:spacing w:before="0" w:after="113"/>
              <w:rPr/>
            </w:pPr>
            <w:r>
              <w:rPr/>
              <w:t>4 December 1991</w:t>
            </w:r>
          </w:p>
        </w:tc>
        <w:tc>
          <w:tcPr>
            <w:tcW w:w="7428" w:type="dxa"/>
            <w:tcBorders/>
          </w:tcPr>
          <w:p>
            <w:pPr>
              <w:pStyle w:val="TableContents"/>
              <w:spacing w:before="0" w:after="113"/>
              <w:rPr/>
            </w:pPr>
            <w:r>
              <w:rPr/>
              <w:t>The exhibit was opened to the public.</w:t>
            </w:r>
          </w:p>
        </w:tc>
      </w:tr>
      <w:tr>
        <w:trPr>
          <w:trHeight w:val="246" w:hRule="atLeast"/>
        </w:trPr>
        <w:tc>
          <w:tcPr>
            <w:tcW w:w="2210" w:type="dxa"/>
            <w:tcBorders/>
          </w:tcPr>
          <w:p>
            <w:pPr>
              <w:pStyle w:val="TableContents"/>
              <w:spacing w:before="0" w:after="113"/>
              <w:rPr/>
            </w:pPr>
            <w:r>
              <w:rPr/>
              <w:t>2005</w:t>
            </w:r>
          </w:p>
        </w:tc>
        <w:tc>
          <w:tcPr>
            <w:tcW w:w="7428"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10" w:type="dxa"/>
            <w:tcBorders/>
          </w:tcPr>
          <w:p>
            <w:pPr>
              <w:pStyle w:val="TableContents"/>
              <w:spacing w:before="0" w:after="113"/>
              <w:rPr/>
            </w:pPr>
            <w:r>
              <w:rPr/>
              <w:t>2007</w:t>
            </w:r>
          </w:p>
        </w:tc>
        <w:tc>
          <w:tcPr>
            <w:tcW w:w="7428"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10" w:type="dxa"/>
            <w:tcBorders/>
          </w:tcPr>
          <w:p>
            <w:pPr>
              <w:pStyle w:val="TableContents"/>
              <w:spacing w:before="0" w:after="113"/>
              <w:rPr/>
            </w:pPr>
            <w:r>
              <w:rPr/>
              <w:t>5 December 2007</w:t>
            </w:r>
          </w:p>
        </w:tc>
        <w:tc>
          <w:tcPr>
            <w:tcW w:w="7428"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
    <w:name w:val="Block Quotation"/>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hdl.handle.net/2246/6497" TargetMode="External"/><Relationship Id="rId9" Type="http://schemas.openxmlformats.org/officeDocument/2006/relationships/hyperlink" Target="https://dinotoyblog.com/" TargetMode="External"/><Relationship Id="rId10" Type="http://schemas.openxmlformats.org/officeDocument/2006/relationships/hyperlink" Target="https://github.com/miketaylor/palaeo-superbaro" TargetMode="External"/><Relationship Id="rId11" Type="http://schemas.openxmlformats.org/officeDocument/2006/relationships/hyperlink" Target="https://zenodo.org/records/13732378" TargetMode="External"/><Relationship Id="rId12" Type="http://schemas.openxmlformats.org/officeDocument/2006/relationships/hyperlink" Target="https://doi.org/10.7717/peerj.857"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23767</TotalTime>
  <Application>LibreOffice/26.2.0.3$MacOSX_AARCH64 LibreOffice_project/afbbd0df0edb6d40b450b0337ac646b0913a760c</Application>
  <AppVersion>15.0000</AppVersion>
  <Pages>28</Pages>
  <Words>14107</Words>
  <Characters>74482</Characters>
  <CharactersWithSpaces>88186</CharactersWithSpaces>
  <Paragraphs>339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2026-06-01T17:59:19Z</dcterms:modified>
  <cp:revision>516</cp:revision>
  <dc:subject/>
  <dc:title/>
</cp:coreProperties>
</file>

<file path=docProps/custom.xml><?xml version="1.0" encoding="utf-8"?>
<Properties xmlns="http://schemas.openxmlformats.org/officeDocument/2006/custom-properties" xmlns:vt="http://schemas.openxmlformats.org/officeDocument/2006/docPropsVTypes"/>
</file>