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r>
              <w:rPr>
                <w:rStyle w:val="IndexLink"/>
              </w:rPr>
              <w:t>Introduction</w:t>
            </w:r>
            <w:r>
              <w:rPr>
                <w:rStyle w:val="IndexLink"/>
              </w:rPr>
              <w:tab/>
              <w:t>2</w:t>
            </w:r>
          </w:hyperlink>
        </w:p>
        <w:p>
          <w:pPr>
            <w:pStyle w:val="TOC2"/>
            <w:tabs>
              <w:tab w:val="clear" w:pos="9355"/>
              <w:tab w:val="right" w:pos="9637" w:leader="dot"/>
            </w:tabs>
            <w:rPr/>
          </w:pPr>
          <w:hyperlink w:anchor="__RefHeading___Toc3323_2187837281">
            <w:r>
              <w:rPr>
                <w:rStyle w:val="IndexLink"/>
              </w:rPr>
              <w:t>Anatomical nomenclature</w:t>
              <w:tab/>
              <w:t>3</w:t>
            </w:r>
          </w:hyperlink>
        </w:p>
        <w:p>
          <w:pPr>
            <w:pStyle w:val="TOC2"/>
            <w:tabs>
              <w:tab w:val="clear" w:pos="9355"/>
              <w:tab w:val="right" w:pos="9637" w:leader="dot"/>
            </w:tabs>
            <w:rPr/>
          </w:pPr>
          <w:hyperlink w:anchor="__RefHeading___Toc5349_68767826">
            <w:r>
              <w:rPr>
                <w:rStyle w:val="IndexLink"/>
              </w:rPr>
              <w:t>Institutional abbreviations</w:t>
              <w:tab/>
              <w:t>3</w:t>
            </w:r>
          </w:hyperlink>
        </w:p>
        <w:p>
          <w:pPr>
            <w:pStyle w:val="TOC1"/>
            <w:tabs>
              <w:tab w:val="clear" w:pos="9638"/>
              <w:tab w:val="right" w:pos="9637" w:leader="dot"/>
            </w:tabs>
            <w:rPr/>
          </w:pPr>
          <w:hyperlink w:anchor="__RefHeading___Toc4316_68767826">
            <w:r>
              <w:rPr>
                <w:rStyle w:val="IndexLink"/>
              </w:rPr>
              <w:t>Historical background</w:t>
              <w:tab/>
              <w:t>3</w:t>
            </w:r>
          </w:hyperlink>
        </w:p>
        <w:p>
          <w:pPr>
            <w:pStyle w:val="TOC2"/>
            <w:tabs>
              <w:tab w:val="clear" w:pos="9355"/>
              <w:tab w:val="right" w:pos="9637" w:leader="dot"/>
            </w:tabs>
            <w:rPr/>
          </w:pPr>
          <w:hyperlink w:anchor="__RefHeading___Toc12350_68767826">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r>
              <w:rPr>
                <w:rStyle w:val="IndexLink"/>
              </w:rPr>
              <w:t xml:space="preserve">The AMNH specimen of </w:t>
            </w:r>
            <w:r>
              <w:rPr>
                <w:rStyle w:val="IndexLink"/>
                <w:i/>
                <w:iCs/>
              </w:rPr>
              <w:t>Barosaurus</w:t>
            </w:r>
            <w:r>
              <w:rPr>
                <w:rStyle w:val="IndexLink"/>
              </w:rPr>
              <w:tab/>
              <w:t>4</w:t>
            </w:r>
          </w:hyperlink>
        </w:p>
        <w:p>
          <w:pPr>
            <w:pStyle w:val="TOC1"/>
            <w:tabs>
              <w:tab w:val="clear" w:pos="9638"/>
              <w:tab w:val="right" w:pos="9637" w:leader="dot"/>
            </w:tabs>
            <w:rPr/>
          </w:pPr>
          <w:hyperlink w:anchor="__RefHeading___Toc5351_68767826">
            <w:r>
              <w:rPr>
                <w:rStyle w:val="IndexLink"/>
              </w:rPr>
              <w:t xml:space="preserve">The AMNH mounted </w:t>
            </w:r>
            <w:r>
              <w:rPr>
                <w:rStyle w:val="IndexLink"/>
                <w:i/>
                <w:iCs/>
              </w:rPr>
              <w:t>Barosaurus</w:t>
            </w:r>
            <w:r>
              <w:rPr>
                <w:rStyle w:val="IndexLink"/>
              </w:rPr>
              <w:tab/>
              <w:t>5</w:t>
            </w:r>
          </w:hyperlink>
        </w:p>
        <w:p>
          <w:pPr>
            <w:pStyle w:val="TOC2"/>
            <w:tabs>
              <w:tab w:val="clear" w:pos="9355"/>
              <w:tab w:val="right" w:pos="9637" w:leader="dot"/>
            </w:tabs>
            <w:rPr/>
          </w:pPr>
          <w:hyperlink w:anchor="__RefHeading___Toc5354_68767826">
            <w:r>
              <w:rPr>
                <w:rStyle w:val="IndexLink"/>
              </w:rPr>
              <w:t>The conception of the mount</w:t>
              <w:tab/>
              <w:t>5</w:t>
            </w:r>
          </w:hyperlink>
        </w:p>
        <w:p>
          <w:pPr>
            <w:pStyle w:val="TOC2"/>
            <w:tabs>
              <w:tab w:val="clear" w:pos="9355"/>
              <w:tab w:val="right" w:pos="9637" w:leader="dot"/>
            </w:tabs>
            <w:rPr/>
          </w:pPr>
          <w:hyperlink w:anchor="__RefHeading___Toc1099_1709072779">
            <w:r>
              <w:rPr>
                <w:rStyle w:val="IndexLink"/>
                <w:i w:val="false"/>
                <w:iCs w:val="false"/>
              </w:rPr>
              <w:t>The purpose of the mount</w:t>
            </w:r>
            <w:r>
              <w:rPr>
                <w:rStyle w:val="IndexLink"/>
              </w:rPr>
              <w:tab/>
              <w:t>7</w:t>
            </w:r>
          </w:hyperlink>
        </w:p>
        <w:p>
          <w:pPr>
            <w:pStyle w:val="TOC2"/>
            <w:tabs>
              <w:tab w:val="clear" w:pos="9355"/>
              <w:tab w:val="right" w:pos="9637" w:leader="dot"/>
            </w:tabs>
            <w:rPr/>
          </w:pPr>
          <w:hyperlink w:anchor="__RefHeading___Toc18297_68767826">
            <w:r>
              <w:rPr>
                <w:rStyle w:val="IndexLink"/>
              </w:rPr>
              <w:t>The creation of the mount</w:t>
              <w:tab/>
              <w:t>7</w:t>
            </w:r>
          </w:hyperlink>
        </w:p>
        <w:p>
          <w:pPr>
            <w:pStyle w:val="TOC2"/>
            <w:tabs>
              <w:tab w:val="clear" w:pos="9355"/>
              <w:tab w:val="right" w:pos="9637" w:leader="dot"/>
            </w:tabs>
            <w:rPr/>
          </w:pPr>
          <w:hyperlink w:anchor="__RefHeading___Toc5632_2187837281">
            <w:r>
              <w:rPr>
                <w:rStyle w:val="IndexLink"/>
              </w:rPr>
              <w:t>Photography of the mount</w:t>
              <w:tab/>
              <w:t>10</w:t>
            </w:r>
          </w:hyperlink>
        </w:p>
        <w:p>
          <w:pPr>
            <w:pStyle w:val="TOC2"/>
            <w:tabs>
              <w:tab w:val="clear" w:pos="9355"/>
              <w:tab w:val="right" w:pos="9637" w:leader="dot"/>
            </w:tabs>
            <w:rPr/>
          </w:pPr>
          <w:hyperlink w:anchor="__RefHeading___Toc5356_68767826">
            <w:r>
              <w:rPr>
                <w:rStyle w:val="IndexLink"/>
              </w:rPr>
              <w:t>The composition of the mount</w:t>
              <w:tab/>
              <w:t>10</w:t>
            </w:r>
          </w:hyperlink>
        </w:p>
        <w:p>
          <w:pPr>
            <w:pStyle w:val="TOC3"/>
            <w:tabs>
              <w:tab w:val="clear" w:pos="9072"/>
              <w:tab w:val="right" w:pos="9637" w:leader="dot"/>
            </w:tabs>
            <w:rPr/>
          </w:pPr>
          <w:hyperlink w:anchor="__RefHeading___Toc16585_68767826">
            <w:r>
              <w:rPr>
                <w:rStyle w:val="IndexLink"/>
              </w:rPr>
              <w:t>Overview</w:t>
              <w:tab/>
              <w:t>10</w:t>
            </w:r>
          </w:hyperlink>
        </w:p>
        <w:p>
          <w:pPr>
            <w:pStyle w:val="TOC3"/>
            <w:tabs>
              <w:tab w:val="clear" w:pos="9072"/>
              <w:tab w:val="right" w:pos="9637" w:leader="dot"/>
            </w:tabs>
            <w:rPr/>
          </w:pPr>
          <w:hyperlink w:anchor="__RefHeading___Toc4995_537823704">
            <w:r>
              <w:rPr>
                <w:rStyle w:val="IndexLink"/>
                <w:i/>
                <w:iCs/>
              </w:rPr>
              <w:t>Barosaurus</w:t>
            </w:r>
            <w:r>
              <w:rPr>
                <w:rStyle w:val="IndexLink"/>
              </w:rPr>
              <w:t xml:space="preserve"> material in the mount</w:t>
              <w:tab/>
              <w:t>10</w:t>
            </w:r>
          </w:hyperlink>
        </w:p>
        <w:p>
          <w:pPr>
            <w:pStyle w:val="TOC3"/>
            <w:tabs>
              <w:tab w:val="clear" w:pos="9072"/>
              <w:tab w:val="right" w:pos="9637" w:leader="dot"/>
            </w:tabs>
            <w:rPr/>
          </w:pPr>
          <w:hyperlink w:anchor="__RefHeading___Toc16587_68767826">
            <w:r>
              <w:rPr>
                <w:rStyle w:val="IndexLink"/>
              </w:rPr>
              <w:t>Skull</w:t>
              <w:tab/>
              <w:t>12</w:t>
            </w:r>
          </w:hyperlink>
        </w:p>
        <w:p>
          <w:pPr>
            <w:pStyle w:val="TOC3"/>
            <w:tabs>
              <w:tab w:val="clear" w:pos="9072"/>
              <w:tab w:val="right" w:pos="9637" w:leader="dot"/>
            </w:tabs>
            <w:rPr/>
          </w:pPr>
          <w:hyperlink w:anchor="__RefHeading___Toc16589_68767826">
            <w:r>
              <w:rPr>
                <w:rStyle w:val="IndexLink"/>
              </w:rPr>
              <w:t>Neck</w:t>
              <w:tab/>
              <w:t>12</w:t>
            </w:r>
          </w:hyperlink>
        </w:p>
        <w:p>
          <w:pPr>
            <w:pStyle w:val="TOC3"/>
            <w:tabs>
              <w:tab w:val="clear" w:pos="9072"/>
              <w:tab w:val="right" w:pos="9637" w:leader="dot"/>
            </w:tabs>
            <w:rPr/>
          </w:pPr>
          <w:hyperlink w:anchor="__RefHeading___Toc2466_2187837281">
            <w:r>
              <w:rPr>
                <w:rStyle w:val="IndexLink"/>
              </w:rPr>
              <w:t>Torso, sacrum and tail</w:t>
              <w:tab/>
              <w:t>13</w:t>
            </w:r>
          </w:hyperlink>
        </w:p>
        <w:p>
          <w:pPr>
            <w:pStyle w:val="TOC3"/>
            <w:tabs>
              <w:tab w:val="clear" w:pos="9072"/>
              <w:tab w:val="right" w:pos="9637" w:leader="dot"/>
            </w:tabs>
            <w:rPr/>
          </w:pPr>
          <w:hyperlink w:anchor="__RefHeading___Toc2470_2187837281">
            <w:r>
              <w:rPr>
                <w:rStyle w:val="IndexLink"/>
              </w:rPr>
              <w:t>Forelimbs and girdles</w:t>
              <w:tab/>
              <w:t>13</w:t>
            </w:r>
          </w:hyperlink>
        </w:p>
        <w:p>
          <w:pPr>
            <w:pStyle w:val="TOC3"/>
            <w:tabs>
              <w:tab w:val="clear" w:pos="9072"/>
              <w:tab w:val="right" w:pos="9637" w:leader="dot"/>
            </w:tabs>
            <w:rPr/>
          </w:pPr>
          <w:hyperlink w:anchor="__RefHeading___Toc2472_2187837281">
            <w:r>
              <w:rPr>
                <w:rStyle w:val="IndexLink"/>
              </w:rPr>
              <w:t>Hindlimbs and girdles</w:t>
              <w:tab/>
              <w:t>13</w:t>
            </w:r>
          </w:hyperlink>
        </w:p>
        <w:p>
          <w:pPr>
            <w:pStyle w:val="TOC1"/>
            <w:tabs>
              <w:tab w:val="clear" w:pos="9638"/>
              <w:tab w:val="right" w:pos="9637" w:leader="dot"/>
            </w:tabs>
            <w:rPr/>
          </w:pPr>
          <w:hyperlink w:anchor="__RefHeading___Toc3401_68767826">
            <w:r>
              <w:rPr>
                <w:rStyle w:val="IndexLink"/>
              </w:rPr>
              <w:t>Discussion</w:t>
              <w:tab/>
              <w:t>14</w:t>
            </w:r>
          </w:hyperlink>
        </w:p>
        <w:p>
          <w:pPr>
            <w:pStyle w:val="TOC2"/>
            <w:tabs>
              <w:tab w:val="clear" w:pos="9355"/>
              <w:tab w:val="right" w:pos="9637" w:leader="dot"/>
            </w:tabs>
            <w:rPr/>
          </w:pPr>
          <w:hyperlink w:anchor="__RefHeading___Toc2476_2187837281">
            <w:r>
              <w:rPr>
                <w:rStyle w:val="IndexLink"/>
              </w:rPr>
              <w:t>Rearing pose</w:t>
              <w:tab/>
              <w:t>14</w:t>
            </w:r>
          </w:hyperlink>
        </w:p>
        <w:p>
          <w:pPr>
            <w:pStyle w:val="TOC2"/>
            <w:tabs>
              <w:tab w:val="clear" w:pos="9355"/>
              <w:tab w:val="right" w:pos="9637" w:leader="dot"/>
            </w:tabs>
            <w:rPr/>
          </w:pPr>
          <w:hyperlink w:anchor="__RefHeading___Toc3786_1986291683">
            <w:r>
              <w:rPr>
                <w:rStyle w:val="IndexLink"/>
              </w:rPr>
              <w:t>A short history of a rearing sauropods</w:t>
              <w:tab/>
              <w:t>15</w:t>
            </w:r>
          </w:hyperlink>
        </w:p>
        <w:p>
          <w:pPr>
            <w:pStyle w:val="TOC2"/>
            <w:tabs>
              <w:tab w:val="clear" w:pos="9355"/>
              <w:tab w:val="right" w:pos="9637" w:leader="dot"/>
            </w:tabs>
            <w:rPr/>
          </w:pPr>
          <w:hyperlink w:anchor="__RefHeading___Toc11689_675290491">
            <w:r>
              <w:rPr>
                <w:rStyle w:val="IndexLink"/>
              </w:rPr>
              <w:t>Cultural impact</w:t>
              <w:tab/>
              <w:t>17</w:t>
            </w:r>
          </w:hyperlink>
        </w:p>
        <w:p>
          <w:pPr>
            <w:pStyle w:val="TOC2"/>
            <w:tabs>
              <w:tab w:val="clear" w:pos="9355"/>
              <w:tab w:val="right" w:pos="9637" w:leader="dot"/>
            </w:tabs>
            <w:rPr/>
          </w:pPr>
          <w:hyperlink w:anchor="__RefHeading___Toc21934_68767826">
            <w:r>
              <w:rPr>
                <w:rStyle w:val="IndexLink"/>
              </w:rPr>
              <w:t>Size of the AMNH 6341 animal</w:t>
              <w:tab/>
              <w:t>17</w:t>
            </w:r>
          </w:hyperlink>
        </w:p>
        <w:p>
          <w:pPr>
            <w:pStyle w:val="TOC1"/>
            <w:tabs>
              <w:tab w:val="clear" w:pos="9638"/>
              <w:tab w:val="right" w:pos="9637" w:leader="dot"/>
            </w:tabs>
            <w:rPr/>
          </w:pPr>
          <w:hyperlink w:anchor="__RefHeading___Toc3403_68767826">
            <w:r>
              <w:rPr>
                <w:rStyle w:val="IndexLink"/>
              </w:rPr>
              <w:t>Acknowledgements</w:t>
              <w:tab/>
              <w:t>18</w:t>
            </w:r>
          </w:hyperlink>
        </w:p>
        <w:p>
          <w:pPr>
            <w:pStyle w:val="TOC1"/>
            <w:tabs>
              <w:tab w:val="clear" w:pos="9638"/>
              <w:tab w:val="right" w:pos="9637" w:leader="dot"/>
            </w:tabs>
            <w:rPr/>
          </w:pPr>
          <w:hyperlink w:anchor="__RefHeading___Toc3405_68767826">
            <w:r>
              <w:rPr>
                <w:rStyle w:val="IndexLink"/>
              </w:rPr>
              <w:t>References</w:t>
              <w:tab/>
              <w:t>18</w:t>
            </w:r>
          </w:hyperlink>
        </w:p>
        <w:p>
          <w:pPr>
            <w:pStyle w:val="TOC1"/>
            <w:tabs>
              <w:tab w:val="clear" w:pos="9638"/>
              <w:tab w:val="right" w:pos="9637" w:leader="dot"/>
            </w:tabs>
            <w:rPr/>
          </w:pPr>
          <w:hyperlink w:anchor="__RefHeading___Toc3407_68767826">
            <w:r>
              <w:rPr>
                <w:rStyle w:val="IndexLink"/>
              </w:rPr>
              <w:t>Figure Captions</w:t>
              <w:tab/>
              <w:t>22</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xml:space="preserve">, but has yet to be described in monographic detail </w:t>
      </w:r>
      <w:r>
        <w:rPr/>
        <w:t>(and will not be so described herein)</w:t>
      </w:r>
      <w:r>
        <w:rPr/>
        <w:t>.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w:t>
      </w:r>
      <w:r>
        <w:rPr/>
        <w:t xml:space="preserve">in this section </w:t>
      </w:r>
      <w:r>
        <w:rPr/>
        <w:t xml:space="preserve">are from Douglass 1879–1953.) </w:t>
      </w:r>
      <w:r>
        <w:rPr/>
        <w:t xml:space="preserve">He and Holland had seen a good </w:t>
      </w:r>
      <w:r>
        <w:rPr>
          <w:i/>
          <w:iCs/>
        </w:rPr>
        <w:t>Diplodocus</w:t>
      </w:r>
      <w:r>
        <w:rPr/>
        <w:t xml:space="preserve"> femur </w:t>
      </w:r>
      <w:r>
        <w:rPr/>
        <w:t xml:space="preserve">on an earlier visit to the area </w:t>
      </w:r>
      <w:r>
        <w:rPr/>
        <w:t>but, a</w:t>
      </w:r>
      <w:r>
        <w:rPr/>
        <w:t>rriving on 10 August, he found that “</w:t>
      </w:r>
      <w:r>
        <w:rPr/>
        <w:t>someone had taken the best of the bones that were exposed”</w:t>
      </w:r>
      <w:r>
        <w:rPr/>
        <w:t>.</w:t>
      </w:r>
      <w:r>
        <w:rPr/>
        <w:t xml:space="preserve"> On August 1</w:t>
      </w:r>
      <w:r>
        <w:rPr/>
        <w:t>6</w:t>
      </w:r>
      <w:r>
        <w:rPr/>
        <w:t xml:space="preserve"> </w:t>
      </w:r>
      <w:r>
        <w:rPr/>
        <w:t>he wrote “</w:t>
      </w:r>
      <w:r>
        <w:rPr/>
        <w:t>The bones were terribly broken up and it seemed as if they had been churned up … Felt rather discouraged.”</w:t>
      </w:r>
    </w:p>
    <w:p>
      <w:pPr>
        <w:pStyle w:val="BodyText"/>
        <w:rPr/>
      </w:pPr>
      <w:r>
        <w:rPr/>
        <w:t>However, the very next day — the 17th and not the 19th as stated by Gilmore (1936:178) — Douglass switched to another area and made an important find: “</w:t>
      </w:r>
      <w:r>
        <w:rPr/>
        <w:t xml:space="preserve">At last, in the top of the ledge where the softer overlying beds form a divide, a kind of saddle, I saw eight of the tail bones of </w:t>
      </w:r>
      <w:r>
        <w:rPr/>
        <w:t xml:space="preserve">a </w:t>
      </w:r>
      <w:r>
        <w:rPr>
          <w:i/>
          <w:iCs/>
        </w:rPr>
        <w:t>Brontosaurus</w:t>
      </w:r>
      <w:r>
        <w:rPr/>
        <w:t xml:space="preserve"> </w:t>
      </w:r>
      <w:r>
        <w:rPr/>
        <w:t>in exact position. It was a beautiful sight … several of the vertebra</w:t>
      </w:r>
      <w:r>
        <w:rPr/>
        <w:t>e</w:t>
      </w:r>
      <w:r>
        <w:rPr/>
        <w:t xml:space="preserve"> had weathered out and the beautifully petr</w:t>
      </w:r>
      <w:r>
        <w:rPr/>
        <w:t>i</w:t>
      </w:r>
      <w:r>
        <w:rPr/>
        <w:t xml:space="preserve">fied centra lay on the ground. It is by far the best looking Dinosaur prospect I have ever found.” </w:t>
      </w:r>
      <w:r>
        <w:rPr/>
        <w:t xml:space="preserve">[This skeleton, when excavated, would be described by Holland (1915) as </w:t>
      </w:r>
      <w:r>
        <w:rPr/>
        <w:t xml:space="preserve">CM 3018, </w:t>
      </w:r>
      <w:r>
        <w:rPr/>
        <w:t xml:space="preserve">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w:t>
      </w:r>
      <w:r>
        <w:rPr/>
        <w:t>1</w:t>
      </w:r>
      <w:r>
        <w:rPr/>
        <w:t>3, and described in detail by Gilmore (1936).]</w:t>
      </w:r>
    </w:p>
    <w:p>
      <w:pPr>
        <w:pStyle w:val="BodyText"/>
        <w:rPr/>
      </w:pPr>
      <w:r>
        <w:rPr/>
        <w:t xml:space="preserve">As </w:t>
      </w:r>
      <w:r>
        <w:rPr/>
        <w:t xml:space="preserve">Douglass </w:t>
      </w:r>
      <w:r>
        <w:rPr/>
        <w:t xml:space="preserve">and his colleagues </w:t>
      </w:r>
      <w:r>
        <w:rPr/>
        <w:t>excavat</w:t>
      </w:r>
      <w:r>
        <w:rPr/>
        <w:t xml:space="preserve">ion, it quickly became apparent that there were many more dinosaurs </w:t>
      </w:r>
      <w:r>
        <w:rPr/>
        <w:t>in the rock</w:t>
      </w:r>
      <w:r>
        <w:rPr/>
        <w:t xml:space="preserve">. Excavating these fossils now became Douglass’s full-time job </w:t>
      </w:r>
      <w:r>
        <w:rPr/>
        <w:t>(Figure Q)</w:t>
      </w:r>
      <w:r>
        <w:rPr/>
        <w:t>. T</w:t>
      </w:r>
      <w:r>
        <w:rPr/>
        <w:t xml:space="preserve">he Carnegie Quarry, </w:t>
      </w:r>
      <w:r>
        <w:rPr/>
        <w:t xml:space="preserve">as it was named, would become one of the most fruitful in palaeontological history. </w:t>
      </w:r>
      <w:r>
        <w:rPr/>
        <w:t xml:space="preserve">The </w:t>
      </w:r>
      <w:r>
        <w:rPr/>
        <w:t xml:space="preserve">Museum funded the excavations </w:t>
      </w:r>
      <w:r>
        <w:rPr/>
        <w:t>for 13 years, shipping 700,000 lb of material to Pittsburgh (Gilmore 1936:170) —  318 tonnes.</w:t>
      </w:r>
    </w:p>
    <w:p>
      <w:pPr>
        <w:pStyle w:val="BodyText"/>
        <w:rPr/>
      </w:pPr>
      <w:r>
        <w:rPr/>
        <w:t>XXX Add references for the following section</w:t>
      </w:r>
    </w:p>
    <w:p>
      <w:pPr>
        <w:pStyle w:val="BodyText"/>
        <w:rPr/>
      </w:pPr>
      <w:r>
        <w:rPr/>
        <w:t xml:space="preserve">By </w:t>
      </w:r>
      <w:r>
        <w:rPr/>
        <w:t xml:space="preserve">1922 </w:t>
      </w:r>
      <w:r>
        <w:rPr/>
        <w:t>the Museum had more fossils from this locality than it could use. Douglas Stewart, Holland’s successor as Director of the Carnegie Museum</w:t>
      </w:r>
      <w:r>
        <w:rPr/>
        <w:t xml:space="preserve">, evidently favoured turning the quarry over to the USNM, writing to Arthur S. Coggeshall on 6 September, 1922 to acknowledge the latter’s recommendation that Douglass finish the excavation of a Stegosaurus </w:t>
      </w:r>
      <w:r>
        <w:rPr/>
        <w:t xml:space="preserve">and a small dinosaur skeleton, but to leave two partially exposed specimens of </w:t>
      </w:r>
      <w:r>
        <w:rPr>
          <w:i/>
          <w:iCs/>
        </w:rPr>
        <w:t>Diplodocus</w:t>
      </w:r>
      <w:r>
        <w:rPr/>
        <w:t xml:space="preserve"> to the Smithsonian to excavate (Stewart to Coggeshall, 6 September, 1922, </w:t>
      </w:r>
      <w:r>
        <w:rPr/>
        <w:t>cited by Carpenter 2018:13).</w:t>
      </w:r>
    </w:p>
    <w:p>
      <w:pPr>
        <w:pStyle w:val="BodyText"/>
        <w:rPr/>
      </w:pPr>
      <w:r>
        <w:rPr/>
        <w:t xml:space="preserve">George Perkins Merrill, Head Curator </w:t>
      </w:r>
      <w:r>
        <w:rPr/>
        <w:t>of the</w:t>
      </w:r>
      <w:r>
        <w:rPr/>
        <w:t xml:space="preserve"> Department of Geology </w:t>
      </w:r>
      <w:r>
        <w:rPr/>
        <w:t>at the USNM</w:t>
      </w:r>
      <w:r>
        <w:rPr/>
        <w:t xml:space="preserve">, </w:t>
      </w:r>
      <w:r>
        <w:rPr/>
        <w:t xml:space="preserve">learned from </w:t>
      </w:r>
      <w:r>
        <w:rPr/>
        <w:t>Stewart</w:t>
      </w:r>
      <w:r>
        <w:rPr/>
        <w:t xml:space="preserve"> that the Carnegie Museum was ready to relinquish its claim, and wrote on 6 November 1922 to William de Chastignier Ravenel, Secretary of the USNM, </w:t>
      </w:r>
      <w:r>
        <w:rPr/>
        <w:t xml:space="preserve">urging him to take on the quarry as “There are few </w:t>
      </w:r>
      <w:r>
        <w:rPr/>
        <w:t xml:space="preserve">objects that would yield greater attractiveness to the main hall of this department than the restored skeleton of one of the monsters of the dinosaur group that these beds yield” </w:t>
      </w:r>
      <w:r>
        <w:rPr/>
        <w:t xml:space="preserve">(Merrill 1922). </w:t>
      </w:r>
      <w:r>
        <w:rPr/>
        <w:t>[By coincidence, the next day Stewart wrote to Merrill to confirm the offer and provide details (Stewart 1922).]</w:t>
      </w:r>
    </w:p>
    <w:p>
      <w:pPr>
        <w:pStyle w:val="BodyText"/>
        <w:rPr/>
      </w:pPr>
      <w:r>
        <w:rPr/>
        <w:t xml:space="preserve">On 11 November, Merrill wrote to Earl Douglass requesting technical and logistical information and Douglass replied on 22 November (Douglass 1922b) </w:t>
      </w:r>
      <w:r>
        <w:rPr/>
        <w:t xml:space="preserve">with a long and helpful letter </w:t>
      </w:r>
      <w:r>
        <w:rPr/>
        <w:t xml:space="preserve">explaining how two </w:t>
      </w:r>
      <w:r>
        <w:rPr/>
        <w:t xml:space="preserve">sauropod </w:t>
      </w:r>
      <w:r>
        <w:rPr/>
        <w:t xml:space="preserve">skeletons, </w:t>
      </w:r>
      <w:r>
        <w:rPr/>
        <w:t xml:space="preserve">both thought to be </w:t>
      </w:r>
      <w:r>
        <w:rPr>
          <w:i/>
          <w:iCs/>
        </w:rPr>
        <w:t>Diplodocus</w:t>
      </w:r>
      <w:r>
        <w:rPr/>
        <w:t xml:space="preserve">, were positioned — </w:t>
      </w:r>
      <w:r>
        <w:rPr/>
        <w:t>#</w:t>
      </w:r>
      <w:r>
        <w:rPr/>
        <w:t xml:space="preserve">355 and </w:t>
      </w:r>
      <w:r>
        <w:rPr/>
        <w:t>#</w:t>
      </w:r>
      <w:r>
        <w:rPr/>
        <w:t xml:space="preserve">340, the former lying partly above the latter (Figure P); </w:t>
      </w:r>
      <w:r>
        <w:rPr/>
        <w:t xml:space="preserve">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w:t>
      </w:r>
      <w:r>
        <w:rPr/>
        <w:t>3</w:t>
      </w:r>
      <w:r>
        <w:rPr/>
        <w:t>). Douglass listed 10 skeletons that had been partly or completely taken out during the year. Among those listed was “No. 340 — </w:t>
      </w:r>
      <w:r>
        <w:rPr>
          <w:i/>
          <w:iCs/>
        </w:rPr>
        <w:t>Diplodocus</w:t>
      </w:r>
      <w:r>
        <w:rPr/>
        <w:t>. Apparently ne</w:t>
      </w:r>
      <w:r>
        <w:rPr/>
        <w:t>a</w:t>
      </w:r>
      <w:r>
        <w:rPr/>
        <w:t>rly complete skeleton but only neck taken out. The remainder still in the ledge” (Douglass 1922</w:t>
      </w:r>
      <w:r>
        <w:rPr/>
        <w:t>c</w:t>
      </w:r>
      <w:r>
        <w:rPr/>
        <w:t>).</w:t>
      </w:r>
    </w:p>
    <w:p>
      <w:pPr>
        <w:pStyle w:val="BodyText"/>
        <w:rPr/>
      </w:pPr>
      <w:r>
        <w:rPr/>
        <w:t xml:space="preserve">Charles W. Gilmore arrived at the quarry on 14 May 1923 to work it for the USNM and was shown around by Douglass, who was about to leave for Colorado (Gilmore 1923).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Douglass handed over to Gilmore four large blocks and several smaller ones containing much of the neck of #340, which ha</w:t>
      </w:r>
      <w:r>
        <w:rPr/>
        <w:t>d</w:t>
      </w:r>
      <w:r>
        <w:rPr/>
        <w:t xml:space="preserve"> been extracted from the quarry as noted above but not prepared out. It was Gilmore’s intention to extract #355 (the most complete of the two) for the USNM, then secure the parts of #340 necessary to complete the skeleton (Gilmore 1923). (#355 was subsequently accessioned as USNM 10865 and mounted in Washington D.C, where it remains in the public gallery to this day; </w:t>
      </w:r>
      <w:r>
        <w:rPr/>
        <w:t>missing elements were supplied as plaster casts by the Carnegie Museum</w:t>
      </w:r>
      <w:r>
        <w:rPr/>
        <w:t xml:space="preserve">). </w:t>
      </w:r>
    </w:p>
    <w:p>
      <w:pPr>
        <w:pStyle w:val="BodyText"/>
        <w:rPr/>
      </w:pPr>
      <w:r>
        <w:rPr/>
        <w:t xml:space="preserve">On 8 August 1923, Gilmore wrote briefly to Ravenel to say that work in the quarry was complete and the extracted blocks would be shipped to the USNM soon after 19 August (Gilmore 1923a), and send a more comprehensive report in 30 August (Gilmore 1923b). </w:t>
      </w:r>
      <w:r>
        <w:rPr/>
        <w:t>In 1924, all excavation at the quarry ended.</w:t>
      </w:r>
    </w:p>
    <w:p>
      <w:pPr>
        <w:pStyle w:val="BodyText"/>
        <w:rPr/>
      </w:pPr>
      <w:r>
        <w:rPr/>
        <w:t>XXXXX segue into next bit. Reconcile McIntosh 2005 with Gilmore 1923 and Brown 1929 quoted in Dingus 1996.</w:t>
      </w:r>
    </w:p>
    <w:p>
      <w:pPr>
        <w:pStyle w:val="BodyText"/>
        <w:rPr/>
      </w:pPr>
      <w:r>
        <w:rPr/>
        <w:t xml:space="preserve">The other, designated #340 and thought at that time also to be </w:t>
      </w:r>
      <w:r>
        <w:rPr>
          <w:i/>
          <w:iCs/>
        </w:rPr>
        <w:t>Diplodocus,</w:t>
      </w:r>
      <w:r>
        <w:rPr/>
        <w:t xml:space="preserve"> was destined to go with Douglass to the University of Utah, though to further complicate matters nine or ten caudal vertebrae were sent to the Carnegie Museum. However, when it became clear that the USNM </w:t>
      </w:r>
      <w:r>
        <w:rPr>
          <w:i/>
          <w:iCs/>
        </w:rPr>
        <w:t>Diplodocus</w:t>
      </w:r>
      <w:r>
        <w:rPr/>
        <w:t xml:space="preserve"> lacked a neck, it was arranged to supplement this material with the neck, anterior dorsals and scapulocoracoid and humerus from the University of Utah specimen. This left the skeleton now spread across three institutions in Salt Lake City, Pittsburgh, and Washington, D.C. It is perhaps for this reason that, although the rest of this specimen was excavated, sent to the University of Utah and prepared, it was never mounted. Meanwhile, the neck that had been sent to Washington, D.C. proved when prepared not to belong to </w:t>
      </w:r>
      <w:r>
        <w:rPr>
          <w:i/>
          <w:iCs/>
        </w:rPr>
        <w:t>Diplodocus</w:t>
      </w:r>
      <w:r>
        <w:rPr/>
        <w:t xml:space="preserve"> after all but to </w:t>
      </w:r>
      <w:r>
        <w:rPr>
          <w:i/>
          <w:iCs/>
        </w:rPr>
        <w:t>Barosaurus</w:t>
      </w:r>
      <w:r>
        <w:rPr/>
        <w:t xml:space="preserve"> (Gilmore 1932:4). It was therefore not used after all in the mount of USNM 10865, which was instead completed with casts of the Carnegie </w:t>
      </w:r>
      <w:r>
        <w:rPr>
          <w:i/>
          <w:iCs/>
        </w:rPr>
        <w:t>Diplodocus</w:t>
      </w:r>
      <w:r>
        <w:rPr/>
        <w:t xml:space="preserve"> CM 84 and unveiled in 1932 (Gilmore 1932).</w:t>
      </w:r>
    </w:p>
    <w:p>
      <w:pPr>
        <w:pStyle w:val="BodyText"/>
        <w:rPr/>
      </w:pPr>
      <w:r>
        <w:rPr/>
        <w:t xml:space="preserve">In 1929, Barnum Brown, acting for the American Museum of Natural History, visited most of the nation’s major natural history museums to assess their collections. He realised that the neck, anterior torso, scapulocoracoid and humerus at the USNM, and the tail segment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the University of Utah made a cash-plus-fossils deal in which they were paid $2,500 cash plus the equivalent value in fossil mammal specimens (Brown 1929). The reunited skeleton was given the specimen number AMNH 6341. (See Norell et al. 1991:36–38, Dingus 1996:21–22, McIntosh 2005:42–43).</w:t>
      </w:r>
    </w:p>
    <w:p>
      <w:pPr>
        <w:pStyle w:val="BodyText"/>
        <w:rPr/>
      </w:pPr>
      <w:r>
        <w:rPr/>
        <w:t xml:space="preserve">There is some evidence that the last ten cervical vertebrae (C7–16) were preserved in the specimen as first excavated: Brown (1929) says that the material then at the USNM included “the last ten cervical vertebrae with ribs”, and the quarry map of Gilmore (1932:figure 1) shows nine dorsals and ten cervicals belonging to the </w:t>
      </w:r>
      <w:r>
        <w:rPr>
          <w:i/>
          <w:iCs/>
        </w:rPr>
        <w:t>Barosaurus</w:t>
      </w:r>
      <w:r>
        <w:rPr/>
        <w:t xml:space="preserve"> skeleton. If this is correct, though, the most anterior of these (C7) seems to have been lost or destroyed, as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7" w:name="__RefHeading___Toc5351_68767826"/>
      <w:bookmarkEnd w:id="7"/>
      <w:r>
        <w:rPr/>
        <w:t xml:space="preserve">The AMNH mounted </w:t>
      </w:r>
      <w:r>
        <w:rPr>
          <w:i/>
          <w:iCs/>
        </w:rPr>
        <w:t>Barosaurus</w:t>
      </w:r>
    </w:p>
    <w:p>
      <w:pPr>
        <w:pStyle w:val="Heading2"/>
        <w:rPr/>
      </w:pPr>
      <w:bookmarkStart w:id="8" w:name="__RefHeading___Toc5354_68767826"/>
      <w:bookmarkEnd w:id="8"/>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9" w:name="__RefHeading___Toc1099_1709072779"/>
      <w:bookmarkEnd w:id="9"/>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0" w:name="__RefHeading___Toc18297_68767826"/>
      <w:bookmarkEnd w:id="10"/>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1" w:name="__RefHeading___Toc5632_2187837281"/>
      <w:bookmarkEnd w:id="11"/>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2" w:name="__RefHeading___Toc5356_68767826"/>
      <w:bookmarkEnd w:id="12"/>
      <w:r>
        <w:rPr/>
        <w:t>The composition of the mount</w:t>
      </w:r>
    </w:p>
    <w:p>
      <w:pPr>
        <w:pStyle w:val="Heading3"/>
        <w:numPr>
          <w:ilvl w:val="2"/>
          <w:numId w:val="5"/>
        </w:numPr>
        <w:ind w:hanging="0" w:left="0" w:right="0"/>
        <w:rPr/>
      </w:pPr>
      <w:bookmarkStart w:id="13" w:name="__RefHeading___Toc16585_68767826"/>
      <w:bookmarkEnd w:id="13"/>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4" w:name="__RefHeading___Toc4995_537823704"/>
      <w:bookmarkEnd w:id="14"/>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5" w:name="__DdeLink__31298_802501007"/>
      <w:r>
        <w:rPr/>
        <w:t>six partial ribs, of which one is the first or possibly second on the left side, and another is probably its counterpart</w:t>
      </w:r>
      <w:bookmarkEnd w:id="15"/>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16" w:name="__RefHeading___Toc16587_68767826"/>
      <w:bookmarkEnd w:id="16"/>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17" w:name="__RefHeading___Toc16589_68767826"/>
      <w:bookmarkEnd w:id="17"/>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18" w:name="__RefHeading___Toc2466_2187837281"/>
      <w:bookmarkEnd w:id="18"/>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19" w:name="__RefHeading___Toc2470_2187837281"/>
      <w:bookmarkEnd w:id="19"/>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0" w:name="__RefHeading___Toc3401_68767826"/>
      <w:bookmarkEnd w:id="20"/>
      <w:r>
        <w:rPr/>
        <w:t>Discussion</w:t>
      </w:r>
    </w:p>
    <w:p>
      <w:pPr>
        <w:pStyle w:val="Heading2"/>
        <w:rPr/>
      </w:pPr>
      <w:bookmarkStart w:id="21" w:name="__RefHeading___Toc2476_2187837281"/>
      <w:bookmarkEnd w:id="21"/>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2" w:name="__RefHeading___Toc3786_1986291683"/>
      <w:bookmarkEnd w:id="22"/>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3" w:name="__RefHeading___Toc11689_675290491"/>
      <w:bookmarkEnd w:id="23"/>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4" w:name="__RefHeading___Toc21934_68767826"/>
      <w:bookmarkEnd w:id="24"/>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25" w:name="__RefHeading___Toc3403_68767826"/>
      <w:bookmarkEnd w:id="25"/>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w:t>
      </w:r>
    </w:p>
    <w:p>
      <w:pPr>
        <w:pStyle w:val="Heading1"/>
        <w:numPr>
          <w:ilvl w:val="0"/>
          <w:numId w:val="3"/>
        </w:numPr>
        <w:ind w:hanging="0" w:left="0" w:right="0"/>
        <w:rPr/>
      </w:pPr>
      <w:bookmarkStart w:id="26" w:name="__RefHeading___Toc3405_68767826"/>
      <w:bookmarkEnd w:id="26"/>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w:t>
      </w:r>
      <w:r>
        <w:rPr/>
        <w:t>3</w:t>
      </w:r>
      <w:r>
        <w:rPr/>
        <w:t xml:space="preserve">. Report of Work Done by the Carnegie Museum at the Dinosaur National Monument in Uinta County, Utah, under the Supervision of Earl Dougless, in the year 1922. </w:t>
      </w:r>
      <w:r>
        <w:rPr/>
        <w:t xml:space="preserve">24 March 1923. </w:t>
      </w:r>
      <w:r>
        <w:rPr/>
        <w:t>2 pages.</w:t>
      </w:r>
    </w:p>
    <w:p>
      <w:pPr>
        <w:pStyle w:val="Reference"/>
        <w:rPr/>
      </w:pPr>
      <w:r>
        <w:rPr/>
        <w:t>Gilmore, Charles W. 1923.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27" w:name="__DdeLink__2788_55120580"/>
      <w:r>
        <w:rPr>
          <w:i/>
          <w:iCs/>
        </w:rPr>
        <w:t>Proceedings of the United States National Museum</w:t>
      </w:r>
      <w:bookmarkEnd w:id="27"/>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28" w:name="__DdeLink__16582_68767826"/>
      <w:r>
        <w:rPr/>
        <w:t>Nieuwland</w:t>
      </w:r>
      <w:bookmarkEnd w:id="28"/>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:247-387 and plates LX–LXXXV. doi:10.1130/GSAB-30-379</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0">
        <w:r>
          <w:rPr>
            <w:rStyle w:val="Hyperlink"/>
          </w:rPr>
          <w:t>https://dinotoyblog.com/</w:t>
        </w:r>
      </w:hyperlink>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1">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2">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3">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29" w:name="__RefHeading___Toc3407_68767826"/>
      <w:bookmarkEnd w:id="29"/>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w:t>
      </w:r>
      <w:r>
        <w:rPr>
          <w:b w:val="false"/>
          <w:bCs w:val="false"/>
          <w:i w:val="false"/>
          <w:iCs w:val="false"/>
        </w:rPr>
        <w:t>two iconic sauropod specimens:</w:t>
      </w:r>
      <w:r>
        <w:rPr>
          <w:b w:val="false"/>
          <w:bCs w:val="false"/>
          <w:i w:val="false"/>
          <w:iCs w:val="false"/>
        </w:rPr>
        <w:t xml:space="preserve">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t>
      </w:r>
      <w:r>
        <w:rPr>
          <w:b w:val="false"/>
          <w:bCs w:val="false"/>
          <w:i w:val="false"/>
          <w:iCs w:val="false"/>
        </w:rPr>
        <w:t xml:space="preserve">would become </w:t>
      </w:r>
      <w:r>
        <w:rPr>
          <w:b w:val="false"/>
          <w:bCs w:val="false"/>
          <w:i w:val="false"/>
          <w:iCs w:val="false"/>
        </w:rPr>
        <w:t>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val="false"/>
          <w:bCs w:val="false"/>
          <w:i w:val="false"/>
          <w:iCs w:val="false"/>
        </w:rPr>
      </w:r>
    </w:p>
    <w:p>
      <w:pPr>
        <w:pStyle w:val="Heading1"/>
        <w:rPr/>
      </w:pPr>
      <w:r>
        <w:rPr/>
        <w:t>Tables</w:t>
      </w:r>
    </w:p>
    <w:p>
      <w:pPr>
        <w:pStyle w:val="Heading2"/>
        <w:rPr/>
      </w:pPr>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8"/>
        <w:gridCol w:w="7430"/>
      </w:tblGrid>
      <w:tr>
        <w:trPr>
          <w:tblHeader w:val="true"/>
        </w:trPr>
        <w:tc>
          <w:tcPr>
            <w:tcW w:w="2208" w:type="dxa"/>
            <w:tcBorders/>
          </w:tcPr>
          <w:p>
            <w:pPr>
              <w:pStyle w:val="TableHeading"/>
              <w:spacing w:before="0" w:after="113"/>
              <w:rPr/>
            </w:pPr>
            <w:r>
              <w:rPr/>
              <w:t>Date</w:t>
            </w:r>
          </w:p>
        </w:tc>
        <w:tc>
          <w:tcPr>
            <w:tcW w:w="7430" w:type="dxa"/>
            <w:tcBorders/>
          </w:tcPr>
          <w:p>
            <w:pPr>
              <w:pStyle w:val="TableHeading"/>
              <w:spacing w:before="0" w:after="113"/>
              <w:rPr/>
            </w:pPr>
            <w:r>
              <w:rPr/>
              <w:t>Event</w:t>
            </w:r>
          </w:p>
        </w:tc>
      </w:tr>
      <w:tr>
        <w:trPr>
          <w:trHeight w:val="235" w:hRule="atLeast"/>
        </w:trPr>
        <w:tc>
          <w:tcPr>
            <w:tcW w:w="2208" w:type="dxa"/>
            <w:tcBorders/>
          </w:tcPr>
          <w:p>
            <w:pPr>
              <w:pStyle w:val="TableContents"/>
              <w:spacing w:before="0" w:after="113"/>
              <w:rPr/>
            </w:pPr>
            <w:r>
              <w:rPr/>
              <w:t>1880s</w:t>
            </w:r>
          </w:p>
        </w:tc>
        <w:tc>
          <w:tcPr>
            <w:tcW w:w="7430"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8" w:type="dxa"/>
            <w:tcBorders/>
          </w:tcPr>
          <w:p>
            <w:pPr>
              <w:pStyle w:val="TableContents"/>
              <w:spacing w:before="0" w:after="113"/>
              <w:rPr/>
            </w:pPr>
            <w:r>
              <w:rPr/>
              <w:t>Summer 1889</w:t>
            </w:r>
          </w:p>
        </w:tc>
        <w:tc>
          <w:tcPr>
            <w:tcW w:w="7430"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8" w:type="dxa"/>
            <w:tcBorders/>
          </w:tcPr>
          <w:p>
            <w:pPr>
              <w:pStyle w:val="TableContents"/>
              <w:spacing w:before="0" w:after="113"/>
              <w:rPr/>
            </w:pPr>
            <w:r>
              <w:rPr/>
              <w:t>1890</w:t>
            </w:r>
          </w:p>
        </w:tc>
        <w:tc>
          <w:tcPr>
            <w:tcW w:w="7430"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8" w:type="dxa"/>
            <w:tcBorders/>
          </w:tcPr>
          <w:p>
            <w:pPr>
              <w:pStyle w:val="TableContents"/>
              <w:spacing w:before="0" w:after="113"/>
              <w:rPr/>
            </w:pPr>
            <w:r>
              <w:rPr/>
              <w:t>Late August 1898</w:t>
            </w:r>
          </w:p>
        </w:tc>
        <w:tc>
          <w:tcPr>
            <w:tcW w:w="7430" w:type="dxa"/>
            <w:tcBorders/>
          </w:tcPr>
          <w:p>
            <w:pPr>
              <w:pStyle w:val="TableContents"/>
              <w:spacing w:before="0" w:after="113"/>
              <w:rPr/>
            </w:pPr>
            <w:r>
              <w:rPr/>
              <w:t>Marsh sent George Wieland to collect the rest of the skeleton.</w:t>
            </w:r>
          </w:p>
        </w:tc>
      </w:tr>
      <w:tr>
        <w:trPr>
          <w:trHeight w:val="235" w:hRule="atLeast"/>
        </w:trPr>
        <w:tc>
          <w:tcPr>
            <w:tcW w:w="2208" w:type="dxa"/>
            <w:tcBorders/>
          </w:tcPr>
          <w:p>
            <w:pPr>
              <w:pStyle w:val="TableContents"/>
              <w:spacing w:before="0" w:after="113"/>
              <w:rPr/>
            </w:pPr>
            <w:r>
              <w:rPr/>
              <w:t>1899</w:t>
            </w:r>
          </w:p>
        </w:tc>
        <w:tc>
          <w:tcPr>
            <w:tcW w:w="7430"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8" w:type="dxa"/>
            <w:tcBorders/>
          </w:tcPr>
          <w:p>
            <w:pPr>
              <w:pStyle w:val="TableContents"/>
              <w:spacing w:before="0" w:after="113"/>
              <w:rPr/>
            </w:pPr>
            <w:r>
              <w:rPr/>
              <w:t>1907</w:t>
            </w:r>
          </w:p>
        </w:tc>
        <w:tc>
          <w:tcPr>
            <w:tcW w:w="7430"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8" w:type="dxa"/>
            <w:tcBorders/>
          </w:tcPr>
          <w:p>
            <w:pPr>
              <w:pStyle w:val="TableContents"/>
              <w:spacing w:before="0" w:after="113"/>
              <w:rPr/>
            </w:pPr>
            <w:r>
              <w:rPr/>
              <w:t>Late 1916</w:t>
            </w:r>
          </w:p>
        </w:tc>
        <w:tc>
          <w:tcPr>
            <w:tcW w:w="7430"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8" w:type="dxa"/>
            <w:tcBorders/>
          </w:tcPr>
          <w:p>
            <w:pPr>
              <w:pStyle w:val="TableContents"/>
              <w:spacing w:before="0" w:after="113"/>
              <w:rPr/>
            </w:pPr>
            <w:r>
              <w:rPr/>
              <w:t>1917</w:t>
            </w:r>
          </w:p>
        </w:tc>
        <w:tc>
          <w:tcPr>
            <w:tcW w:w="7430" w:type="dxa"/>
            <w:tcBorders/>
          </w:tcPr>
          <w:p>
            <w:pPr>
              <w:pStyle w:val="TableContents"/>
              <w:spacing w:before="0" w:after="113"/>
              <w:rPr/>
            </w:pPr>
            <w:r>
              <w:rPr/>
              <w:t>Lull’s published abstract very briefly described the type specimen.</w:t>
            </w:r>
          </w:p>
        </w:tc>
      </w:tr>
      <w:tr>
        <w:trPr>
          <w:trHeight w:val="235" w:hRule="atLeast"/>
        </w:trPr>
        <w:tc>
          <w:tcPr>
            <w:tcW w:w="2208" w:type="dxa"/>
            <w:tcBorders/>
          </w:tcPr>
          <w:p>
            <w:pPr>
              <w:pStyle w:val="TableContents"/>
              <w:spacing w:before="0" w:after="113"/>
              <w:rPr/>
            </w:pPr>
            <w:r>
              <w:rPr/>
              <w:t>1919</w:t>
            </w:r>
          </w:p>
        </w:tc>
        <w:tc>
          <w:tcPr>
            <w:tcW w:w="7430" w:type="dxa"/>
            <w:tcBorders/>
          </w:tcPr>
          <w:p>
            <w:pPr>
              <w:pStyle w:val="TableContents"/>
              <w:spacing w:before="0" w:after="113"/>
              <w:rPr/>
            </w:pPr>
            <w:r>
              <w:rPr/>
              <w:t>Lull’s detailed monographic description of the type specimen.</w:t>
            </w:r>
          </w:p>
        </w:tc>
      </w:tr>
      <w:tr>
        <w:trPr>
          <w:trHeight w:val="235" w:hRule="atLeast"/>
        </w:trPr>
        <w:tc>
          <w:tcPr>
            <w:tcW w:w="2208" w:type="dxa"/>
            <w:tcBorders/>
          </w:tcPr>
          <w:p>
            <w:pPr>
              <w:pStyle w:val="TableContents"/>
              <w:spacing w:before="0" w:after="113"/>
              <w:rPr/>
            </w:pPr>
            <w:r>
              <w:rPr/>
              <w:t>1922</w:t>
            </w:r>
          </w:p>
        </w:tc>
        <w:tc>
          <w:tcPr>
            <w:tcW w:w="7430"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8" w:type="dxa"/>
            <w:tcBorders/>
          </w:tcPr>
          <w:p>
            <w:pPr>
              <w:pStyle w:val="TableContents"/>
              <w:spacing w:before="0" w:after="113"/>
              <w:rPr/>
            </w:pPr>
            <w:r>
              <w:rPr/>
              <w:t>1922–1923</w:t>
            </w:r>
          </w:p>
        </w:tc>
        <w:tc>
          <w:tcPr>
            <w:tcW w:w="7430"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8" w:type="dxa"/>
            <w:tcBorders/>
          </w:tcPr>
          <w:p>
            <w:pPr>
              <w:pStyle w:val="TableContents"/>
              <w:spacing w:before="0" w:after="113"/>
              <w:rPr/>
            </w:pPr>
            <w:r>
              <w:rPr/>
              <w:t>Mid-1920s</w:t>
            </w:r>
          </w:p>
        </w:tc>
        <w:tc>
          <w:tcPr>
            <w:tcW w:w="7430"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8" w:type="dxa"/>
            <w:tcBorders/>
          </w:tcPr>
          <w:p>
            <w:pPr>
              <w:pStyle w:val="TableContents"/>
              <w:spacing w:before="0" w:after="113"/>
              <w:rPr/>
            </w:pPr>
            <w:r>
              <w:rPr/>
              <w:t>1929</w:t>
            </w:r>
          </w:p>
        </w:tc>
        <w:tc>
          <w:tcPr>
            <w:tcW w:w="7430" w:type="dxa"/>
            <w:tcBorders/>
          </w:tcPr>
          <w:p>
            <w:pPr>
              <w:pStyle w:val="TableContents"/>
              <w:spacing w:before="0" w:after="113"/>
              <w:rPr/>
            </w:pPr>
            <w:r>
              <w:rPr/>
              <w:t>Barnum Brown realised that the USNM neck and the Carnegie tail belonged to the same individual as the partial skeleton at the University of Utah. He acquired all three three portions of this skeleton and reunited them at the American Museum of Natural History (AMNH) in New York. The reunited skeleton was given the specimen number AMNH 6341.</w:t>
            </w:r>
          </w:p>
        </w:tc>
      </w:tr>
      <w:tr>
        <w:trPr>
          <w:trHeight w:val="246" w:hRule="atLeast"/>
        </w:trPr>
        <w:tc>
          <w:tcPr>
            <w:tcW w:w="2208" w:type="dxa"/>
            <w:tcBorders/>
          </w:tcPr>
          <w:p>
            <w:pPr>
              <w:pStyle w:val="TableContents"/>
              <w:spacing w:before="0" w:after="113"/>
              <w:rPr/>
            </w:pPr>
            <w:r>
              <w:rPr/>
              <w:t>1931</w:t>
            </w:r>
          </w:p>
        </w:tc>
        <w:tc>
          <w:tcPr>
            <w:tcW w:w="7430"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8" w:type="dxa"/>
            <w:tcBorders/>
          </w:tcPr>
          <w:p>
            <w:pPr>
              <w:pStyle w:val="TableContents"/>
              <w:spacing w:before="0" w:after="113"/>
              <w:rPr/>
            </w:pPr>
            <w:r>
              <w:rPr/>
              <w:t>17 April 1939</w:t>
            </w:r>
          </w:p>
        </w:tc>
        <w:tc>
          <w:tcPr>
            <w:tcW w:w="7430"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8" w:type="dxa"/>
            <w:tcBorders/>
          </w:tcPr>
          <w:p>
            <w:pPr>
              <w:pStyle w:val="TableContents"/>
              <w:spacing w:before="0" w:after="113"/>
              <w:rPr/>
            </w:pPr>
            <w:r>
              <w:rPr/>
              <w:t>Early 1950s</w:t>
            </w:r>
          </w:p>
        </w:tc>
        <w:tc>
          <w:tcPr>
            <w:tcW w:w="7430"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8" w:type="dxa"/>
            <w:tcBorders/>
          </w:tcPr>
          <w:p>
            <w:pPr>
              <w:pStyle w:val="TableContents"/>
              <w:spacing w:before="0" w:after="113"/>
              <w:rPr/>
            </w:pPr>
            <w:r>
              <w:rPr/>
              <w:t>1952</w:t>
            </w:r>
          </w:p>
        </w:tc>
        <w:tc>
          <w:tcPr>
            <w:tcW w:w="7430"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8" w:type="dxa"/>
            <w:tcBorders/>
          </w:tcPr>
          <w:p>
            <w:pPr>
              <w:pStyle w:val="TableContents"/>
              <w:spacing w:before="0" w:after="113"/>
              <w:rPr/>
            </w:pPr>
            <w:r>
              <w:rPr/>
              <w:t>8 June, 1957</w:t>
            </w:r>
          </w:p>
        </w:tc>
        <w:tc>
          <w:tcPr>
            <w:tcW w:w="7430"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8" w:type="dxa"/>
            <w:tcBorders/>
          </w:tcPr>
          <w:p>
            <w:pPr>
              <w:pStyle w:val="TableContents"/>
              <w:spacing w:before="0" w:after="113"/>
              <w:rPr/>
            </w:pPr>
            <w:r>
              <w:rPr/>
              <w:t>1970</w:t>
            </w:r>
          </w:p>
        </w:tc>
        <w:tc>
          <w:tcPr>
            <w:tcW w:w="7430"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8" w:type="dxa"/>
            <w:tcBorders/>
          </w:tcPr>
          <w:p>
            <w:pPr>
              <w:pStyle w:val="TableContents"/>
              <w:spacing w:before="0" w:after="113"/>
              <w:rPr/>
            </w:pPr>
            <w:r>
              <w:rPr/>
              <w:t>1977</w:t>
            </w:r>
          </w:p>
        </w:tc>
        <w:tc>
          <w:tcPr>
            <w:tcW w:w="7430" w:type="dxa"/>
            <w:tcBorders/>
          </w:tcPr>
          <w:p>
            <w:pPr>
              <w:pStyle w:val="TableContents"/>
              <w:spacing w:before="0" w:after="113"/>
              <w:rPr/>
            </w:pPr>
            <w:r>
              <w:rPr/>
              <w:t>Peter May began working with skeletal mounts at the Royal Ontario Museum.</w:t>
            </w:r>
          </w:p>
        </w:tc>
      </w:tr>
      <w:tr>
        <w:trPr>
          <w:trHeight w:val="246" w:hRule="atLeast"/>
        </w:trPr>
        <w:tc>
          <w:tcPr>
            <w:tcW w:w="2208" w:type="dxa"/>
            <w:tcBorders/>
          </w:tcPr>
          <w:p>
            <w:pPr>
              <w:pStyle w:val="TableContents"/>
              <w:spacing w:before="0" w:after="113"/>
              <w:rPr/>
            </w:pPr>
            <w:r>
              <w:rPr/>
              <w:t>1978</w:t>
            </w:r>
          </w:p>
        </w:tc>
        <w:tc>
          <w:tcPr>
            <w:tcW w:w="7430"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8" w:type="dxa"/>
            <w:tcBorders/>
          </w:tcPr>
          <w:p>
            <w:pPr>
              <w:pStyle w:val="TableContents"/>
              <w:spacing w:before="0" w:after="113"/>
              <w:rPr/>
            </w:pPr>
            <w:r>
              <w:rPr/>
              <w:t>1986</w:t>
            </w:r>
          </w:p>
        </w:tc>
        <w:tc>
          <w:tcPr>
            <w:tcW w:w="7430" w:type="dxa"/>
            <w:tcBorders/>
          </w:tcPr>
          <w:p>
            <w:pPr>
              <w:pStyle w:val="TableContents"/>
              <w:spacing w:before="0" w:after="113"/>
              <w:rPr/>
            </w:pPr>
            <w:r>
              <w:rPr/>
              <w:t>The AMNH began planning an extensive renovation of its fossil halls.</w:t>
            </w:r>
          </w:p>
        </w:tc>
      </w:tr>
      <w:tr>
        <w:trPr>
          <w:trHeight w:val="246" w:hRule="atLeast"/>
        </w:trPr>
        <w:tc>
          <w:tcPr>
            <w:tcW w:w="2208" w:type="dxa"/>
            <w:tcBorders/>
          </w:tcPr>
          <w:p>
            <w:pPr>
              <w:pStyle w:val="TableContents"/>
              <w:spacing w:before="0" w:after="113"/>
              <w:rPr/>
            </w:pPr>
            <w:r>
              <w:rPr/>
              <w:t>1989</w:t>
            </w:r>
          </w:p>
        </w:tc>
        <w:tc>
          <w:tcPr>
            <w:tcW w:w="7430"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8" w:type="dxa"/>
            <w:tcBorders/>
          </w:tcPr>
          <w:p>
            <w:pPr>
              <w:pStyle w:val="TableContents"/>
              <w:spacing w:before="0" w:after="113"/>
              <w:rPr/>
            </w:pPr>
            <w:r>
              <w:rPr/>
              <w:t>1990</w:t>
            </w:r>
          </w:p>
        </w:tc>
        <w:tc>
          <w:tcPr>
            <w:tcW w:w="7430" w:type="dxa"/>
            <w:tcBorders/>
          </w:tcPr>
          <w:p>
            <w:pPr>
              <w:pStyle w:val="TableContents"/>
              <w:spacing w:before="0" w:after="113"/>
              <w:rPr/>
            </w:pPr>
            <w:r>
              <w:rPr/>
              <w:t>Peter May went full time with his company Research Casting International (RCI).</w:t>
            </w:r>
          </w:p>
        </w:tc>
      </w:tr>
      <w:tr>
        <w:trPr>
          <w:trHeight w:val="246" w:hRule="atLeast"/>
        </w:trPr>
        <w:tc>
          <w:tcPr>
            <w:tcW w:w="2208" w:type="dxa"/>
            <w:tcBorders/>
          </w:tcPr>
          <w:p>
            <w:pPr>
              <w:pStyle w:val="TableContents"/>
              <w:spacing w:before="0" w:after="113"/>
              <w:rPr/>
            </w:pPr>
            <w:r>
              <w:rPr/>
              <w:t>28 March 1990</w:t>
            </w:r>
          </w:p>
        </w:tc>
        <w:tc>
          <w:tcPr>
            <w:tcW w:w="7430"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8" w:type="dxa"/>
            <w:tcBorders/>
          </w:tcPr>
          <w:p>
            <w:pPr>
              <w:pStyle w:val="TableContents"/>
              <w:spacing w:before="0" w:after="113"/>
              <w:rPr/>
            </w:pPr>
            <w:r>
              <w:rPr/>
              <w:t>Fall 1990</w:t>
            </w:r>
          </w:p>
        </w:tc>
        <w:tc>
          <w:tcPr>
            <w:tcW w:w="7430"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8" w:type="dxa"/>
            <w:tcBorders/>
          </w:tcPr>
          <w:p>
            <w:pPr>
              <w:pStyle w:val="TableContents"/>
              <w:spacing w:before="0" w:after="113"/>
              <w:rPr/>
            </w:pPr>
            <w:r>
              <w:rPr/>
              <w:t>Late 1990/early 1991</w:t>
            </w:r>
          </w:p>
        </w:tc>
        <w:tc>
          <w:tcPr>
            <w:tcW w:w="7430"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8" w:type="dxa"/>
            <w:tcBorders/>
          </w:tcPr>
          <w:p>
            <w:pPr>
              <w:pStyle w:val="TableContents"/>
              <w:spacing w:before="0" w:after="113"/>
              <w:rPr/>
            </w:pPr>
            <w:r>
              <w:rPr/>
              <w:t>Spring 1991</w:t>
            </w:r>
          </w:p>
        </w:tc>
        <w:tc>
          <w:tcPr>
            <w:tcW w:w="7430"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8" w:type="dxa"/>
            <w:tcBorders/>
          </w:tcPr>
          <w:p>
            <w:pPr>
              <w:pStyle w:val="TableContents"/>
              <w:spacing w:before="0" w:after="113"/>
              <w:rPr/>
            </w:pPr>
            <w:r>
              <w:rPr/>
              <w:t>Summer 1991</w:t>
            </w:r>
          </w:p>
        </w:tc>
        <w:tc>
          <w:tcPr>
            <w:tcW w:w="7430"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8" w:type="dxa"/>
            <w:tcBorders/>
          </w:tcPr>
          <w:p>
            <w:pPr>
              <w:pStyle w:val="TableContents"/>
              <w:spacing w:before="0" w:after="113"/>
              <w:rPr/>
            </w:pPr>
            <w:r>
              <w:rPr/>
              <w:t>November 1991</w:t>
            </w:r>
          </w:p>
        </w:tc>
        <w:tc>
          <w:tcPr>
            <w:tcW w:w="7430"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8" w:type="dxa"/>
            <w:tcBorders/>
          </w:tcPr>
          <w:p>
            <w:pPr>
              <w:pStyle w:val="TableContents"/>
              <w:spacing w:before="0" w:after="113"/>
              <w:rPr/>
            </w:pPr>
            <w:r>
              <w:rPr/>
              <w:t>29 November 1991</w:t>
            </w:r>
          </w:p>
        </w:tc>
        <w:tc>
          <w:tcPr>
            <w:tcW w:w="7430"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8" w:type="dxa"/>
            <w:tcBorders/>
          </w:tcPr>
          <w:p>
            <w:pPr>
              <w:pStyle w:val="TableContents"/>
              <w:spacing w:before="0" w:after="113"/>
              <w:rPr/>
            </w:pPr>
            <w:r>
              <w:rPr/>
              <w:t>3 December 1991</w:t>
            </w:r>
          </w:p>
        </w:tc>
        <w:tc>
          <w:tcPr>
            <w:tcW w:w="7430"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8" w:type="dxa"/>
            <w:tcBorders/>
          </w:tcPr>
          <w:p>
            <w:pPr>
              <w:pStyle w:val="TableContents"/>
              <w:spacing w:before="0" w:after="113"/>
              <w:rPr/>
            </w:pPr>
            <w:r>
              <w:rPr/>
              <w:t>4 December 1991</w:t>
            </w:r>
          </w:p>
        </w:tc>
        <w:tc>
          <w:tcPr>
            <w:tcW w:w="7430" w:type="dxa"/>
            <w:tcBorders/>
          </w:tcPr>
          <w:p>
            <w:pPr>
              <w:pStyle w:val="TableContents"/>
              <w:spacing w:before="0" w:after="113"/>
              <w:rPr/>
            </w:pPr>
            <w:r>
              <w:rPr/>
              <w:t>The exhibit was opened to the public.</w:t>
            </w:r>
          </w:p>
        </w:tc>
      </w:tr>
      <w:tr>
        <w:trPr>
          <w:trHeight w:val="246" w:hRule="atLeast"/>
        </w:trPr>
        <w:tc>
          <w:tcPr>
            <w:tcW w:w="2208" w:type="dxa"/>
            <w:tcBorders/>
          </w:tcPr>
          <w:p>
            <w:pPr>
              <w:pStyle w:val="TableContents"/>
              <w:spacing w:before="0" w:after="113"/>
              <w:rPr/>
            </w:pPr>
            <w:r>
              <w:rPr/>
              <w:t>2005</w:t>
            </w:r>
          </w:p>
        </w:tc>
        <w:tc>
          <w:tcPr>
            <w:tcW w:w="7430"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8" w:type="dxa"/>
            <w:tcBorders/>
          </w:tcPr>
          <w:p>
            <w:pPr>
              <w:pStyle w:val="TableContents"/>
              <w:spacing w:before="0" w:after="113"/>
              <w:rPr/>
            </w:pPr>
            <w:r>
              <w:rPr/>
              <w:t>2007</w:t>
            </w:r>
          </w:p>
        </w:tc>
        <w:tc>
          <w:tcPr>
            <w:tcW w:w="7430"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8" w:type="dxa"/>
            <w:tcBorders/>
          </w:tcPr>
          <w:p>
            <w:pPr>
              <w:pStyle w:val="TableContents"/>
              <w:spacing w:before="0" w:after="113"/>
              <w:rPr/>
            </w:pPr>
            <w:r>
              <w:rPr/>
              <w:t>5 December 2007</w:t>
            </w:r>
          </w:p>
        </w:tc>
        <w:tc>
          <w:tcPr>
            <w:tcW w:w="7430"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inotoyblog.com/" TargetMode="External"/><Relationship Id="rId11" Type="http://schemas.openxmlformats.org/officeDocument/2006/relationships/hyperlink" Target="https://github.com/miketaylor/palaeo-superbaro" TargetMode="External"/><Relationship Id="rId12" Type="http://schemas.openxmlformats.org/officeDocument/2006/relationships/hyperlink" Target="https://zenodo.org/records/13732378" TargetMode="External"/><Relationship Id="rId13" Type="http://schemas.openxmlformats.org/officeDocument/2006/relationships/hyperlink" Target="https://doi.org/10.7717/peerj.857"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24211</TotalTime>
  <Application>LibreOffice/26.2.0.3$MacOSX_AARCH64 LibreOffice_project/afbbd0df0edb6d40b450b0337ac646b0913a760c</Application>
  <AppVersion>15.0000</AppVersion>
  <Pages>29</Pages>
  <Words>15139</Words>
  <Characters>79712</Characters>
  <CharactersWithSpaces>94433</CharactersWithSpaces>
  <Paragraphs>358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2026-06-07T00:10:53Z</dcterms:modified>
  <cp:revision>539</cp:revision>
  <dc:subject/>
  <dc:title/>
</cp:coreProperties>
</file>

<file path=docProps/custom.xml><?xml version="1.0" encoding="utf-8"?>
<Properties xmlns="http://schemas.openxmlformats.org/officeDocument/2006/custom-properties" xmlns:vt="http://schemas.openxmlformats.org/officeDocument/2006/docPropsVTypes"/>
</file>