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632_2187837281">
        <w:r>
          <w:rPr>
            <w:rStyle w:val="IndexLink"/>
          </w:rPr>
          <w:t>Photography of the mount</w:t>
          <w:tab/>
          <w:t>8</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13</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3407_68767826">
        <w:r>
          <w:rPr>
            <w:rStyle w:val="IndexLink"/>
          </w:rPr>
          <w:t>Figure Captions</w:t>
          <w:tab/>
          <w:t>16</w:t>
        </w:r>
      </w:hyperlink>
    </w:p>
    <w:p>
      <w:pPr>
        <w:pStyle w:val="Heading1"/>
        <w:numPr>
          <w:ilvl w:val="0"/>
          <w:numId w:val="3"/>
        </w:numPr>
        <w:ind w:left="0" w:right="0" w:hanging="0"/>
        <w:rPr/>
      </w:pPr>
      <w:bookmarkStart w:id="0" w:name="__RefHeading___Toc21931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will filled in with casts taken from the Utah Field House’s copy of the Carnegie </w:t>
      </w:r>
      <w:r>
        <w:rPr>
          <w:i/>
          <w:iCs/>
        </w:rPr>
        <w:t>Diplodocus</w:t>
      </w:r>
      <w:r>
        <w:rPr/>
        <w:t>; the date that that copy was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entirely missing.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a superset of that listed as belonging to the USNM’s part of the specimen in Brown’s (1929) account of reuniting the parts of the skeleton, aside from Brown’s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The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w:t>
      </w:r>
      <w:r>
        <w:rPr/>
        <w:t>though</w:t>
      </w:r>
      <w:r>
        <w:rPr/>
        <w:t xml:space="preserve"> </w:t>
      </w:r>
      <w:r>
        <w:rPr/>
        <w:t xml:space="preserve">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w:t>
      </w:r>
      <w:r>
        <w:rPr/>
        <w:t xml:space="preserve">I like the mount now, it may have been the way the males displayed. Would have been spectacular!” </w:t>
      </w:r>
      <w:r>
        <w:rPr/>
        <w:t>(Jack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18344</TotalTime>
  <Application>LibreOffice/6.1.3.2$MacOSX_X86_64 LibreOffice_project/86daf60bf00efa86ad547e59e09d6bb77c699acb</Application>
  <Pages>17</Pages>
  <Words>8494</Words>
  <Characters>44328</Characters>
  <CharactersWithSpaces>52579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2022-04-04T21:50:16Z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