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10</w:t>
        </w:r>
      </w:hyperlink>
    </w:p>
    <w:p>
      <w:pPr>
        <w:pStyle w:val="Contents3"/>
        <w:tabs>
          <w:tab w:val="clear" w:pos="9072"/>
          <w:tab w:val="right" w:pos="9638" w:leader="dot"/>
        </w:tabs>
        <w:rPr/>
      </w:pPr>
      <w:hyperlink w:anchor="__RefHeading___Toc16589_68767826">
        <w:r>
          <w:rPr>
            <w:rStyle w:val="IndexLink"/>
          </w:rPr>
          <w:t>Neck</w:t>
          <w:tab/>
          <w:t>10</w:t>
        </w:r>
      </w:hyperlink>
    </w:p>
    <w:p>
      <w:pPr>
        <w:pStyle w:val="Contents3"/>
        <w:tabs>
          <w:tab w:val="clear" w:pos="9072"/>
          <w:tab w:val="right" w:pos="9638" w:leader="dot"/>
        </w:tabs>
        <w:rPr/>
      </w:pPr>
      <w:hyperlink w:anchor="__RefHeading___Toc2466_2187837281">
        <w:r>
          <w:rPr>
            <w:rStyle w:val="IndexLink"/>
          </w:rPr>
          <w:t>Torso and sacrum</w:t>
          <w:tab/>
          <w:t>11</w:t>
        </w:r>
      </w:hyperlink>
    </w:p>
    <w:p>
      <w:pPr>
        <w:pStyle w:val="Contents3"/>
        <w:tabs>
          <w:tab w:val="clear" w:pos="9072"/>
          <w:tab w:val="right" w:pos="9638" w:leader="dot"/>
        </w:tabs>
        <w:rPr/>
      </w:pPr>
      <w:hyperlink w:anchor="__RefHeading___Toc2468_2187837281">
        <w:r>
          <w:rPr>
            <w:rStyle w:val="IndexLink"/>
          </w:rPr>
          <w:t>Tail</w:t>
          <w:tab/>
          <w:t>11</w:t>
        </w:r>
      </w:hyperlink>
    </w:p>
    <w:p>
      <w:pPr>
        <w:pStyle w:val="Contents3"/>
        <w:tabs>
          <w:tab w:val="clear" w:pos="9072"/>
          <w:tab w:val="right" w:pos="9638" w:leader="dot"/>
        </w:tabs>
        <w:rPr/>
      </w:pPr>
      <w:hyperlink w:anchor="__RefHeading___Toc2470_2187837281">
        <w:r>
          <w:rPr>
            <w:rStyle w:val="IndexLink"/>
          </w:rPr>
          <w:t>Forelimbs and girdles</w:t>
          <w:tab/>
          <w:t>11</w:t>
        </w:r>
      </w:hyperlink>
    </w:p>
    <w:p>
      <w:pPr>
        <w:pStyle w:val="Contents3"/>
        <w:tabs>
          <w:tab w:val="clear" w:pos="9072"/>
          <w:tab w:val="right" w:pos="9638" w:leader="dot"/>
        </w:tabs>
        <w:rPr/>
      </w:pPr>
      <w:hyperlink w:anchor="__RefHeading___Toc2472_2187837281">
        <w:r>
          <w:rPr>
            <w:rStyle w:val="IndexLink"/>
          </w:rPr>
          <w:t>Hindlimbs and girdles</w:t>
          <w:tab/>
          <w:t>11</w:t>
        </w:r>
      </w:hyperlink>
    </w:p>
    <w:p>
      <w:pPr>
        <w:pStyle w:val="Contents3"/>
        <w:tabs>
          <w:tab w:val="clear" w:pos="9072"/>
          <w:tab w:val="right" w:pos="9638" w:leader="dot"/>
        </w:tabs>
        <w:rPr/>
      </w:pPr>
      <w:hyperlink w:anchor="__RefHeading___Toc2474_2187837281">
        <w:r>
          <w:rPr>
            <w:rStyle w:val="IndexLink"/>
          </w:rPr>
          <w:t>Summary</w:t>
          <w:tab/>
          <w:t>11</w:t>
        </w:r>
      </w:hyperlink>
    </w:p>
    <w:p>
      <w:pPr>
        <w:pStyle w:val="Contents1"/>
        <w:tabs>
          <w:tab w:val="right" w:pos="9638" w:leader="dot"/>
        </w:tabs>
        <w:rPr/>
      </w:pPr>
      <w:hyperlink w:anchor="__RefHeading___Toc3401_68767826">
        <w:r>
          <w:rPr>
            <w:rStyle w:val="IndexLink"/>
          </w:rPr>
          <w:t>Discussion</w:t>
          <w:tab/>
          <w:t>11</w:t>
        </w:r>
      </w:hyperlink>
    </w:p>
    <w:p>
      <w:pPr>
        <w:pStyle w:val="Contents2"/>
        <w:tabs>
          <w:tab w:val="clear" w:pos="9355"/>
          <w:tab w:val="right" w:pos="9638" w:leader="dot"/>
        </w:tabs>
        <w:rPr/>
      </w:pPr>
      <w:hyperlink w:anchor="__RefHeading___Toc2476_2187837281">
        <w:r>
          <w:rPr>
            <w:rStyle w:val="IndexLink"/>
          </w:rPr>
          <w:t>Rearing pose</w:t>
          <w:tab/>
          <w:t>11</w:t>
        </w:r>
      </w:hyperlink>
    </w:p>
    <w:p>
      <w:pPr>
        <w:pStyle w:val="Contents2"/>
        <w:tabs>
          <w:tab w:val="clear" w:pos="9355"/>
          <w:tab w:val="right" w:pos="9638" w:leader="dot"/>
        </w:tabs>
        <w:rPr/>
      </w:pPr>
      <w:hyperlink w:anchor="__RefHeading___Toc21934_68767826">
        <w:r>
          <w:rPr>
            <w:rStyle w:val="IndexLink"/>
          </w:rPr>
          <w:t>Size of the AMNH 6341 animal</w:t>
          <w:tab/>
          <w:t>12</w:t>
        </w:r>
      </w:hyperlink>
    </w:p>
    <w:p>
      <w:pPr>
        <w:pStyle w:val="Contents1"/>
        <w:tabs>
          <w:tab w:val="right" w:pos="9638" w:leader="dot"/>
        </w:tabs>
        <w:rPr/>
      </w:pPr>
      <w:hyperlink w:anchor="__RefHeading___Toc3403_68767826">
        <w:r>
          <w:rPr>
            <w:rStyle w:val="IndexLink"/>
          </w:rPr>
          <w:t>Acknowledgements</w:t>
          <w:tab/>
          <w:t>13</w:t>
        </w:r>
      </w:hyperlink>
    </w:p>
    <w:p>
      <w:pPr>
        <w:pStyle w:val="Contents1"/>
        <w:tabs>
          <w:tab w:val="right" w:pos="9638" w:leader="dot"/>
        </w:tabs>
        <w:rPr/>
      </w:pPr>
      <w:hyperlink w:anchor="__RefHeading___Toc3405_68767826">
        <w:r>
          <w:rPr>
            <w:rStyle w:val="IndexLink"/>
          </w:rPr>
          <w:t>References</w:t>
          <w:tab/>
          <w:t>13</w:t>
        </w:r>
      </w:hyperlink>
    </w:p>
    <w:p>
      <w:pPr>
        <w:pStyle w:val="Contents1"/>
        <w:tabs>
          <w:tab w:val="right" w:pos="9638" w:leader="dot"/>
        </w:tabs>
        <w:rPr/>
      </w:pPr>
      <w:hyperlink w:anchor="__RefHeading___Toc3407_68767826">
        <w:r>
          <w:rPr>
            <w:rStyle w:val="IndexLink"/>
          </w:rPr>
          <w:t>Figure Captions</w:t>
          <w:tab/>
          <w:t>15</w:t>
        </w:r>
      </w:hyperlink>
    </w:p>
    <w:p>
      <w:pPr>
        <w:pStyle w:val="Normal"/>
        <w:numPr>
          <w:ilvl w:val="0"/>
          <w:numId w:val="3"/>
        </w:numPr>
        <w:rPr/>
      </w:pPr>
      <w:r>
        <w:rPr/>
      </w:r>
      <w:r>
        <w:rPr/>
        <w:fldChar w:fldCharType="end"/>
      </w:r>
    </w:p>
    <w:p>
      <w:pPr>
        <w:pStyle w:val="Heading1"/>
        <w:numPr>
          <w:ilvl w:val="0"/>
          <w:numId w:val="3"/>
        </w:numPr>
        <w:ind w:left="0" w:right="0" w:hanging="0"/>
        <w:rPr/>
      </w:pPr>
      <w:bookmarkStart w:id="0" w:name="__RefHeading___Toc21931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3323_2187837281"/>
      <w:bookmarkEnd w:id="1"/>
      <w:r>
        <w:rPr/>
        <w:t xml:space="preserve">Anatomical </w:t>
      </w:r>
      <w:r>
        <w:rPr/>
        <w:t>n</w:t>
      </w:r>
      <w:r>
        <w:rPr/>
        <w:t>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 xml:space="preserve">Institutional </w:t>
      </w:r>
      <w:r>
        <w:rPr/>
        <w:t>a</w:t>
      </w:r>
      <w:r>
        <w:rPr/>
        <w:t>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356_68767826"/>
      <w:bookmarkEnd w:id="10"/>
      <w:r>
        <w:rPr/>
        <w:t>The composition of the mount</w:t>
      </w:r>
    </w:p>
    <w:p>
      <w:pPr>
        <w:pStyle w:val="Heading3"/>
        <w:numPr>
          <w:ilvl w:val="2"/>
          <w:numId w:val="8"/>
        </w:numPr>
        <w:ind w:left="0" w:right="0" w:hanging="0"/>
        <w:rPr/>
      </w:pPr>
      <w:bookmarkStart w:id="11" w:name="__RefHeading___Toc16585_68767826"/>
      <w:bookmarkEnd w:id="11"/>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 replacements were based on. A certain amount of detective work is therefore required.</w:t>
      </w:r>
    </w:p>
    <w:p>
      <w:pPr>
        <w:pStyle w:val="TextBody"/>
        <w:rPr/>
      </w:pPr>
      <w:r>
        <w:rPr/>
        <w:t xml:space="preserve">There is some evidence that the last ten cervical vertebrae (C7–16) were preserved </w:t>
      </w:r>
      <w:r>
        <w:rPr/>
        <w:t>in the specimen as first excavated</w:t>
      </w:r>
      <w:r>
        <w:rPr/>
        <w:t xml:space="preserve">: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w:t>
      </w:r>
      <w:r>
        <w:rPr/>
        <w:t xml:space="preserve">McIntosh’s unpublished 1962 notes, his published </w:t>
      </w:r>
      <w:r>
        <w:rPr/>
        <w:t xml:space="preserve">account </w:t>
      </w:r>
      <w:r>
        <w:rPr/>
        <w:t>(</w:t>
      </w:r>
      <w:r>
        <w:rPr/>
        <w:t xml:space="preserve">McIntosh 2005) and the present fossil display at the AMNH </w:t>
      </w:r>
      <w:r>
        <w:rPr/>
        <w:t xml:space="preserve">all </w:t>
      </w:r>
      <w:r>
        <w:rPr/>
        <w:t xml:space="preserve">include only nine cervical vertebrae, C8–16. Carl Mehling (pers. comm., </w:t>
      </w:r>
      <w:r>
        <w:rPr/>
        <w:t>2022</w:t>
      </w:r>
      <w:r>
        <w:rPr/>
        <w:t>)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TextBody"/>
        <w:rPr/>
      </w:pPr>
      <w:r>
        <w:rPr/>
        <w:t>McIntosh’s (2005:43) catalogue of element</w:t>
      </w:r>
      <w:r>
        <w:rPr/>
        <w:t>s</w:t>
      </w:r>
      <w:r>
        <w:rPr/>
        <w:t xml:space="preserve"> in the referred specimen AMNH 6341 </w:t>
      </w:r>
      <w:r>
        <w:rPr/>
        <w:t>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w:t>
      </w:r>
      <w:r>
        <w:rPr/>
        <w:t xml:space="preserve">he posterior part of the neck (cervicals </w:t>
      </w:r>
      <w:r>
        <w:rPr/>
        <w:t>8</w:t>
      </w:r>
      <w:r>
        <w:rPr/>
        <w:t>–16)</w:t>
      </w:r>
    </w:p>
    <w:p>
      <w:pPr>
        <w:pStyle w:val="TextBody"/>
        <w:numPr>
          <w:ilvl w:val="0"/>
          <w:numId w:val="11"/>
        </w:numPr>
        <w:rPr/>
      </w:pPr>
      <w:r>
        <w:rPr/>
        <w:t xml:space="preserve">all nine dorsal </w:t>
      </w:r>
      <w:r>
        <w:rPr/>
        <w:t>vertebrae</w:t>
      </w:r>
      <w:r>
        <w:rPr/>
        <w:t xml:space="preserve"> </w:t>
      </w:r>
      <w:r>
        <w:rPr/>
        <w:t xml:space="preserve">(dorsals </w:t>
      </w:r>
      <w:r>
        <w:rPr/>
        <w:t>1–9</w:t>
      </w:r>
      <w:r>
        <w:rPr/>
        <w:t>)</w:t>
      </w:r>
    </w:p>
    <w:p>
      <w:pPr>
        <w:pStyle w:val="TextBody"/>
        <w:numPr>
          <w:ilvl w:val="0"/>
          <w:numId w:val="11"/>
        </w:numPr>
        <w:rPr/>
      </w:pPr>
      <w:r>
        <w:rPr/>
        <w:t xml:space="preserve">the complete sacrum (sacral vertebrae </w:t>
      </w:r>
      <w:r>
        <w:rPr/>
        <w:t>1–5</w:t>
      </w:r>
      <w:r>
        <w:rPr/>
        <w:t>)</w:t>
      </w:r>
    </w:p>
    <w:p>
      <w:pPr>
        <w:pStyle w:val="TextBody"/>
        <w:numPr>
          <w:ilvl w:val="0"/>
          <w:numId w:val="11"/>
        </w:numPr>
        <w:rPr/>
      </w:pPr>
      <w:r>
        <w:rPr/>
        <w:t>the anterior part of the tail (caudals 1–29)</w:t>
      </w:r>
    </w:p>
    <w:p>
      <w:pPr>
        <w:pStyle w:val="TextBody"/>
        <w:numPr>
          <w:ilvl w:val="0"/>
          <w:numId w:val="11"/>
        </w:numPr>
        <w:rPr/>
      </w:pPr>
      <w:r>
        <w:rPr/>
        <w:t xml:space="preserve">six </w:t>
      </w:r>
      <w:r>
        <w:rPr/>
        <w:t>partial ribs</w:t>
      </w:r>
      <w:r>
        <w:rPr/>
        <w:t xml:space="preserve">, </w:t>
      </w:r>
      <w:r>
        <w:rPr/>
        <w:t>of which one is the first or possibly second on the left side, and another is probably its counterpart</w:t>
      </w:r>
    </w:p>
    <w:p>
      <w:pPr>
        <w:pStyle w:val="TextBody"/>
        <w:numPr>
          <w:ilvl w:val="0"/>
          <w:numId w:val="11"/>
        </w:numPr>
        <w:rPr/>
      </w:pPr>
      <w:r>
        <w:rPr/>
        <w:t>a single</w:t>
      </w:r>
      <w:r>
        <w:rPr/>
        <w:t xml:space="preserve"> chevron, </w:t>
      </w:r>
      <w:r>
        <w:rPr/>
        <w:t>from further back than Ca13 and likely in the region Ca22–Ca28.</w:t>
      </w:r>
    </w:p>
    <w:p>
      <w:pPr>
        <w:pStyle w:val="TextBody"/>
        <w:numPr>
          <w:ilvl w:val="0"/>
          <w:numId w:val="11"/>
        </w:numPr>
        <w:rPr/>
      </w:pPr>
      <w:r>
        <w:rPr/>
        <w:t xml:space="preserve">right (not left as in McIntosh 2005:43) </w:t>
      </w:r>
      <w:r>
        <w:rPr/>
        <w:t xml:space="preserve">scapulocoracoid, </w:t>
      </w:r>
      <w:r>
        <w:rPr/>
        <w:t xml:space="preserve">fully fused together; distal end </w:t>
      </w:r>
      <w:r>
        <w:rPr/>
        <w:t xml:space="preserve">of </w:t>
      </w:r>
      <w:r>
        <w:rPr/>
        <w:t xml:space="preserve">left </w:t>
      </w:r>
      <w:r>
        <w:rPr/>
        <w:t xml:space="preserve">scapula; </w:t>
      </w:r>
      <w:r>
        <w:rPr/>
        <w:t>left coracoid</w:t>
      </w:r>
    </w:p>
    <w:p>
      <w:pPr>
        <w:pStyle w:val="TextBody"/>
        <w:numPr>
          <w:ilvl w:val="0"/>
          <w:numId w:val="11"/>
        </w:numPr>
        <w:rPr/>
      </w:pPr>
      <w:r>
        <w:rPr/>
        <w:t xml:space="preserve">right (not left as in McIntosh 2005:43) </w:t>
      </w:r>
      <w:r>
        <w:rPr/>
        <w:t>humerus</w:t>
      </w:r>
    </w:p>
    <w:p>
      <w:pPr>
        <w:pStyle w:val="TextBody"/>
        <w:numPr>
          <w:ilvl w:val="0"/>
          <w:numId w:val="11"/>
        </w:numPr>
        <w:rPr/>
      </w:pPr>
      <w:r>
        <w:rPr/>
        <w:t xml:space="preserve">largely </w:t>
      </w:r>
      <w:r>
        <w:rPr/>
        <w:t xml:space="preserve">complete pelvis: right ilium complete except </w:t>
      </w:r>
      <w:r>
        <w:rPr/>
        <w:t xml:space="preserve">small </w:t>
      </w:r>
      <w:r>
        <w:rPr/>
        <w:t xml:space="preserve">part of the upper border; acetabular portion </w:t>
      </w:r>
      <w:r>
        <w:rPr/>
        <w:t>and “distal ends” of left ilium;</w:t>
      </w:r>
      <w:r>
        <w:rPr/>
        <w:t xml:space="preserve"> </w:t>
      </w:r>
      <w:r>
        <w:rPr/>
        <w:t>b</w:t>
      </w:r>
      <w:r>
        <w:rPr/>
        <w:t xml:space="preserve">oth pubes and ischia complete except </w:t>
      </w:r>
      <w:r>
        <w:rPr/>
        <w:t xml:space="preserve">parts </w:t>
      </w:r>
      <w:r>
        <w:rPr/>
        <w:t xml:space="preserve">of the proximal ends of </w:t>
      </w:r>
      <w:r>
        <w:rPr/>
        <w:t xml:space="preserve">both </w:t>
      </w:r>
      <w:r>
        <w:rPr/>
        <w:t>pubes and the right ischi</w:t>
      </w:r>
      <w:r>
        <w:rPr/>
        <w:t>um</w:t>
      </w:r>
    </w:p>
    <w:p>
      <w:pPr>
        <w:pStyle w:val="TextBody"/>
        <w:numPr>
          <w:ilvl w:val="0"/>
          <w:numId w:val="11"/>
        </w:numPr>
        <w:rPr/>
      </w:pPr>
      <w:r>
        <w:rPr/>
        <w:t xml:space="preserve">complete </w:t>
      </w:r>
      <w:r>
        <w:rPr/>
        <w:t xml:space="preserve">right hindlimb </w:t>
      </w:r>
      <w:r>
        <w:rPr/>
        <w:t>(femur, tibia, fibula, astragalus)</w:t>
      </w:r>
    </w:p>
    <w:p>
      <w:pPr>
        <w:pStyle w:val="TextBody"/>
        <w:numPr>
          <w:ilvl w:val="0"/>
          <w:numId w:val="11"/>
        </w:numPr>
        <w:rPr/>
      </w:pPr>
      <w:r>
        <w:rPr/>
        <w:t xml:space="preserve">elements of the right </w:t>
      </w:r>
      <w:r>
        <w:rPr/>
        <w:t xml:space="preserve">pes: </w:t>
      </w:r>
      <w:r>
        <w:rPr/>
        <w:t>metatarsals</w:t>
      </w:r>
      <w:r>
        <w:rPr/>
        <w:t xml:space="preserve"> I, II and V, phalanges I-I and V-I, </w:t>
      </w:r>
      <w:r>
        <w:rPr/>
        <w:t>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w:t>
      </w:r>
      <w:r>
        <w:rPr/>
        <w:t>clavicles</w:t>
      </w:r>
      <w:r>
        <w:rPr/>
        <w:t xml:space="preserve"> and lower forelimb (ulna, radius, carpals and manus) are the only parts of the skeleton entirely missing. Figure B </w:t>
      </w:r>
      <w:r>
        <w:rPr/>
        <w:t xml:space="preserve">shows a skeletal inventory of </w:t>
      </w:r>
      <w:r>
        <w:rPr>
          <w:i/>
          <w:iCs/>
        </w:rPr>
        <w:t>Barosaurus lentus</w:t>
      </w:r>
      <w:r>
        <w:rPr/>
        <w:t xml:space="preserve"> with the portions of the skeleton preserved by AMNH 6341 in white and the missing bones in grey.</w:t>
      </w:r>
    </w:p>
    <w:p>
      <w:pPr>
        <w:pStyle w:val="TextBody"/>
        <w:rPr/>
      </w:pPr>
      <w:r>
        <w:rPr/>
        <w:t>This list of material is a superset of that listed as belonging to the USNM’s part of the specimen in Brown’s (1929) account of reuniting the parts of the skeleton, aside from Brown’s statement that “the last ten cervical vertebrae” (not just the last nine) were at that time present. But Brown state</w:t>
      </w:r>
      <w:r>
        <w:rPr/>
        <w:t>d</w:t>
      </w:r>
      <w:r>
        <w:rPr/>
        <w:t xml:space="preserve"> that the left scapulocoracoid and humerus are present </w:t>
      </w:r>
      <w:r>
        <w:rPr/>
        <w:t>(and the material list of McIntosh 2005:43 followed this error, contradicting his description and illustration later in the same chapter). But</w:t>
      </w:r>
      <w:r>
        <w:rPr/>
        <w:t xml:space="preserve"> the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from specimens of </w:t>
      </w:r>
      <w:r>
        <w:rPr>
          <w:i/>
          <w:iCs/>
        </w:rPr>
        <w:t>Diplodocus</w:t>
      </w:r>
      <w:r>
        <w:rPr/>
        <w:t xml:space="preserve">.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TextBody"/>
        <w:rPr/>
      </w:pPr>
      <w:r>
        <w:rPr>
          <w:lang w:val="en-US"/>
        </w:rPr>
        <w:t>We will now consider the source of specific elements of the cast.</w:t>
      </w:r>
    </w:p>
    <w:p>
      <w:pPr>
        <w:pStyle w:val="Heading3"/>
        <w:numPr>
          <w:ilvl w:val="2"/>
          <w:numId w:val="9"/>
        </w:numPr>
        <w:ind w:left="0" w:right="0" w:hanging="0"/>
        <w:rPr/>
      </w:pPr>
      <w:bookmarkStart w:id="12" w:name="__RefHeading___Toc16587_68767826"/>
      <w:bookmarkEnd w:id="12"/>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10"/>
        </w:numPr>
        <w:ind w:left="0" w:right="0" w:hanging="0"/>
        <w:rPr/>
      </w:pPr>
      <w:bookmarkStart w:id="13" w:name="__RefHeading___Toc16589_68767826"/>
      <w:bookmarkEnd w:id="13"/>
      <w:r>
        <w:rPr/>
        <w:t>Neck</w:t>
      </w:r>
    </w:p>
    <w:p>
      <w:pPr>
        <w:pStyle w:val="TextBody"/>
        <w:rPr/>
      </w:pPr>
      <w:r>
        <w:rPr/>
        <w:t xml:space="preserve">McIntosh (2005:45) considered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These are the atlas of AMNH 969, part of a specimen including a skull that is now referred to </w:t>
      </w:r>
      <w:r>
        <w:rPr>
          <w:i/>
          <w:iCs/>
        </w:rPr>
        <w:t>Galeamopus</w:t>
      </w:r>
      <w:r>
        <w:rPr/>
        <w:t xml:space="preserve"> sp. (Tschopp et al. 2015:219); and the unidentified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4" w:name="__RefHeading___Toc2466_2187837281"/>
      <w:bookmarkEnd w:id="14"/>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5" w:name="__RefHeading___Toc2468_2187837281"/>
      <w:bookmarkEnd w:id="15"/>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6" w:name="__RefHeading___Toc2470_2187837281"/>
      <w:bookmarkEnd w:id="16"/>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w:t>
      </w:r>
      <w:r>
        <w:rPr/>
        <w:t>Holland (1906) makes no comment on how the forelimbs were obtained for the skeletal mount sent to England. XXXXX so?</w:t>
      </w:r>
    </w:p>
    <w:p>
      <w:pPr>
        <w:pStyle w:val="Heading3"/>
        <w:numPr>
          <w:ilvl w:val="2"/>
          <w:numId w:val="2"/>
        </w:numPr>
        <w:ind w:left="0" w:right="0" w:hanging="0"/>
        <w:rPr/>
      </w:pPr>
      <w:bookmarkStart w:id="17" w:name="__RefHeading___Toc2472_2187837281"/>
      <w:bookmarkEnd w:id="17"/>
      <w:r>
        <w:rPr/>
        <w:t>Hindlimbs and girdles</w:t>
      </w:r>
    </w:p>
    <w:p>
      <w:pPr>
        <w:pStyle w:val="TextBody"/>
        <w:rPr/>
      </w:pPr>
      <w:r>
        <w:rPr/>
        <w:t>XXX</w:t>
      </w:r>
    </w:p>
    <w:p>
      <w:pPr>
        <w:pStyle w:val="Heading1"/>
        <w:numPr>
          <w:ilvl w:val="0"/>
          <w:numId w:val="5"/>
        </w:numPr>
        <w:ind w:left="0" w:right="0" w:hanging="0"/>
        <w:rPr/>
      </w:pPr>
      <w:bookmarkStart w:id="18" w:name="__RefHeading___Toc3401_68767826"/>
      <w:bookmarkEnd w:id="18"/>
      <w:r>
        <w:rPr/>
        <w:t>Discussion</w:t>
      </w:r>
    </w:p>
    <w:p>
      <w:pPr>
        <w:pStyle w:val="Heading2"/>
        <w:rPr/>
      </w:pPr>
      <w:bookmarkStart w:id="19" w:name="__RefHeading___Toc2476_2187837281"/>
      <w:bookmarkEnd w:id="19"/>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0" w:name="__RefHeading___Toc21934_68767826"/>
      <w:bookmarkEnd w:id="20"/>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1" w:name="__RefHeading___Toc3403_68767826"/>
      <w:bookmarkEnd w:id="21"/>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w:t>
      </w:r>
    </w:p>
    <w:p>
      <w:pPr>
        <w:pStyle w:val="Heading1"/>
        <w:numPr>
          <w:ilvl w:val="0"/>
          <w:numId w:val="5"/>
        </w:numPr>
        <w:ind w:left="0" w:right="0" w:hanging="0"/>
        <w:rPr/>
      </w:pPr>
      <w:bookmarkStart w:id="22" w:name="__RefHeading___Toc3405_68767826"/>
      <w:bookmarkEnd w:id="22"/>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4" w:name="__RefHeading___Toc3407_68767826"/>
      <w:bookmarkEnd w:id="24"/>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w:t>
      </w:r>
      <w:r>
        <w:rPr/>
        <w:t xml:space="preserve">it is </w:t>
      </w:r>
      <w:r>
        <w:rPr/>
        <w:t xml:space="preserve">not </w:t>
      </w:r>
      <w:r>
        <w:rPr/>
        <w:t xml:space="preserve">possible to </w:t>
      </w:r>
      <w:r>
        <w:rPr/>
        <w:t>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16893</TotalTime>
  <Application>LibreOffice/6.1.3.2$MacOSX_X86_64 LibreOffice_project/86daf60bf00efa86ad547e59e09d6bb77c699acb</Application>
  <Pages>15</Pages>
  <Words>7407</Words>
  <Characters>38643</Characters>
  <CharactersWithSpaces>45827</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2022-03-26T00:41:45Z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