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rPr/>
          </w:pPr>
          <w:hyperlink w:anchor="__RefHeading___Toc3403_68767826">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17</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(Figures D.A, G).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7"/>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0"/>
        </w:numPr>
        <w:ind w:left="720" w:right="0" w:hanging="360"/>
        <w:rPr/>
      </w:pPr>
      <w:r>
        <w:rPr/>
        <w:t>the posterior part of the neck (cervicals 8–16)</w:t>
      </w:r>
    </w:p>
    <w:p>
      <w:pPr>
        <w:pStyle w:val="TextBody"/>
        <w:numPr>
          <w:ilvl w:val="0"/>
          <w:numId w:val="10"/>
        </w:numPr>
        <w:ind w:left="720" w:right="0" w:hanging="360"/>
        <w:rPr/>
      </w:pPr>
      <w:r>
        <w:rPr/>
        <w:t>all nine dorsal vertebrae (dorsals 1–9)</w:t>
      </w:r>
    </w:p>
    <w:p>
      <w:pPr>
        <w:pStyle w:val="TextBody"/>
        <w:numPr>
          <w:ilvl w:val="0"/>
          <w:numId w:val="10"/>
        </w:numPr>
        <w:ind w:left="720" w:right="0" w:hanging="360"/>
        <w:rPr/>
      </w:pPr>
      <w:r>
        <w:rPr/>
        <w:t>the complete sacrum (sacral vertebrae 1–5)</w:t>
      </w:r>
    </w:p>
    <w:p>
      <w:pPr>
        <w:pStyle w:val="TextBody"/>
        <w:numPr>
          <w:ilvl w:val="0"/>
          <w:numId w:val="10"/>
        </w:numPr>
        <w:ind w:left="720" w:right="0" w:hanging="360"/>
        <w:rPr/>
      </w:pPr>
      <w:r>
        <w:rPr/>
        <w:t>the anterior part of the tail (caudals 1–29)</w:t>
      </w:r>
    </w:p>
    <w:p>
      <w:pPr>
        <w:pStyle w:val="TextBody"/>
        <w:numPr>
          <w:ilvl w:val="0"/>
          <w:numId w:val="10"/>
        </w:numPr>
        <w:ind w:left="720" w:right="0" w:hanging="360"/>
        <w:rPr/>
      </w:pPr>
      <w:bookmarkStart w:id="13" w:name="__DdeLink__31298_802501007"/>
      <w:r>
        <w:rPr/>
        <w:t>six partial ribs, of which one is the first or possibly second on the left side, and another is probably its counterpart</w:t>
      </w:r>
      <w:bookmarkEnd w:id="13"/>
    </w:p>
    <w:p>
      <w:pPr>
        <w:pStyle w:val="TextBody"/>
        <w:numPr>
          <w:ilvl w:val="0"/>
          <w:numId w:val="10"/>
        </w:numPr>
        <w:ind w:left="720" w:right="0" w:hanging="360"/>
        <w:rPr/>
      </w:pPr>
      <w:r>
        <w:rPr/>
        <w:t>a single chevron, from further back than Ca13 and likely in the region Ca22–Ca28.</w:t>
      </w:r>
    </w:p>
    <w:p>
      <w:pPr>
        <w:pStyle w:val="TextBody"/>
        <w:numPr>
          <w:ilvl w:val="0"/>
          <w:numId w:val="10"/>
        </w:numPr>
        <w:ind w:left="720" w:right="0" w:hanging="360"/>
        <w:rPr/>
      </w:pPr>
      <w:r>
        <w:rPr/>
        <w:t>right (not left as in McIntosh 2005:43) scapulocoracoid, fully fused together; distal end of left scapula; left coracoid</w:t>
      </w:r>
    </w:p>
    <w:p>
      <w:pPr>
        <w:pStyle w:val="TextBody"/>
        <w:numPr>
          <w:ilvl w:val="0"/>
          <w:numId w:val="10"/>
        </w:numPr>
        <w:ind w:left="720" w:right="0" w:hanging="360"/>
        <w:rPr/>
      </w:pPr>
      <w:r>
        <w:rPr/>
        <w:t>right (not left as in McIntosh 2005:43) humerus</w:t>
      </w:r>
    </w:p>
    <w:p>
      <w:pPr>
        <w:pStyle w:val="TextBody"/>
        <w:numPr>
          <w:ilvl w:val="0"/>
          <w:numId w:val="10"/>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0"/>
        </w:numPr>
        <w:ind w:left="720" w:right="0" w:hanging="360"/>
        <w:rPr/>
      </w:pPr>
      <w:r>
        <w:rPr/>
        <w:t>complete right hindlimb (femur, tibia, fibula, astragalus)</w:t>
      </w:r>
    </w:p>
    <w:p>
      <w:pPr>
        <w:pStyle w:val="TextBody"/>
        <w:numPr>
          <w:ilvl w:val="0"/>
          <w:numId w:val="10"/>
        </w:numPr>
        <w:ind w:left="720" w:right="0" w:hanging="360"/>
        <w:rPr/>
      </w:pPr>
      <w:r>
        <w:rPr/>
        <w:t>elements of the right pes: metatarsals I, II and V, phalanges I-I and V-I, two 2nd phalanges, one ungual</w:t>
      </w:r>
    </w:p>
    <w:p>
      <w:pPr>
        <w:pStyle w:val="TextBody"/>
        <w:numPr>
          <w:ilvl w:val="0"/>
          <w:numId w:val="10"/>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8"/>
        </w:numPr>
        <w:ind w:left="0" w:right="0" w:hanging="0"/>
        <w:rPr/>
      </w:pPr>
      <w:bookmarkStart w:id="14" w:name="__RefHeading___Toc16587_68767826"/>
      <w:bookmarkEnd w:id="14"/>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9"/>
        </w:numPr>
        <w:ind w:left="0" w:right="0" w:hanging="0"/>
        <w:rPr/>
      </w:pPr>
      <w:bookmarkStart w:id="15" w:name="__RefHeading___Toc16589_68767826"/>
      <w:bookmarkEnd w:id="15"/>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6" w:name="__RefHeading___Toc2466_2187837281"/>
      <w:bookmarkEnd w:id="16"/>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7" w:name="__RefHeading___Toc2468_2187837281"/>
      <w:bookmarkEnd w:id="17"/>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8" w:name="__RefHeading___Toc2470_2187837281"/>
      <w:bookmarkEnd w:id="18"/>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19" w:name="__RefHeading___Toc2472_2187837281"/>
      <w:bookmarkEnd w:id="19"/>
      <w:r>
        <w:rPr/>
        <w:t>Hindlimbs and girdles</w:t>
      </w:r>
    </w:p>
    <w:p>
      <w:pPr>
        <w:pStyle w:val="TextBody"/>
        <w:rPr/>
      </w:pPr>
      <w:r>
        <w:rPr/>
        <w:t>XXX</w:t>
      </w:r>
    </w:p>
    <w:p>
      <w:pPr>
        <w:pStyle w:val="Heading1"/>
        <w:numPr>
          <w:ilvl w:val="0"/>
          <w:numId w:val="4"/>
        </w:numPr>
        <w:ind w:left="0" w:right="0" w:hanging="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2" w:name="__RefHeading___Toc21934_68767826"/>
      <w:bookmarkEnd w:id="2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23" w:name="__RefHeading___Toc3403_68767826"/>
      <w:bookmarkEnd w:id="23"/>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 Mick Ellison (AMNH) kindly photographed the prototype model for us, having had it repaired.</w:t>
      </w:r>
    </w:p>
    <w:p>
      <w:pPr>
        <w:pStyle w:val="Heading1"/>
        <w:numPr>
          <w:ilvl w:val="0"/>
          <w:numId w:val="4"/>
        </w:numPr>
        <w:ind w:left="0" w:right="0" w:hanging="0"/>
        <w:rPr/>
      </w:pPr>
      <w:bookmarkStart w:id="24" w:name="__RefHeading___Toc3405_68767826"/>
      <w:bookmarkEnd w:id="24"/>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5" w:name="__DdeLink__2788_55120580"/>
      <w:r>
        <w:rPr>
          <w:i/>
          <w:iCs/>
        </w:rPr>
        <w:t>Proceedings of the United States National Museum</w:t>
      </w:r>
      <w:bookmarkEnd w:id="25"/>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6" w:name="__DdeLink__16582_68767826"/>
      <w:r>
        <w:rPr/>
        <w:t>Nieuwland</w:t>
      </w:r>
      <w:bookmarkEnd w:id="2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7" w:name="__RefHeading___Toc3407_68767826"/>
      <w:bookmarkEnd w:id="27"/>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xml:space="preserve">, </w:t>
      </w:r>
      <w:r>
        <w:rPr/>
        <w:t>and the base is 44 inches</w:t>
      </w:r>
      <w:r>
        <w:rPr/>
        <w:t xml:space="preserve"> </w:t>
      </w:r>
      <w:r>
        <w:rPr/>
        <w:t xml:space="preserve">(112 cm) long. </w:t>
      </w:r>
      <w:r>
        <w:rPr/>
        <w:t>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i w:val="false"/>
      <w:iCs w:val="false"/>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18417</TotalTime>
  <Application>LibreOffice/6.1.3.2$MacOSX_X86_64 LibreOffice_project/86daf60bf00efa86ad547e59e09d6bb77c699acb</Application>
  <Pages>19</Pages>
  <Words>9079</Words>
  <Characters>47489</Characters>
  <CharactersWithSpaces>56306</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2022-08-12T19:25:17Z</dcterms:modified>
  <cp:revision>304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