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1018_1496310381">
            <w:r>
              <w:rPr>
                <w:rStyle w:val="IndexLink"/>
              </w:rPr>
              <w:t>Introduction</w:t>
            </w:r>
            <w:r>
              <w:rPr>
                <w:rStyle w:val="IndexLink"/>
              </w:rPr>
              <w:tab/>
              <w:t>2</w:t>
            </w:r>
          </w:hyperlink>
        </w:p>
        <w:p>
          <w:pPr>
            <w:pStyle w:val="TOC2"/>
            <w:tabs>
              <w:tab w:val="clear" w:pos="9355"/>
              <w:tab w:val="right" w:pos="9638" w:leader="dot"/>
            </w:tabs>
            <w:rPr/>
          </w:pPr>
          <w:hyperlink w:anchor="__RefHeading___Toc3323_2187837281">
            <w:r>
              <w:rPr>
                <w:rStyle w:val="IndexLink"/>
              </w:rPr>
              <w:t>Anatomical 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3</w:t>
            </w:r>
          </w:hyperlink>
        </w:p>
        <w:p>
          <w:pPr>
            <w:pStyle w:val="TOC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8" w:leader="dot"/>
            </w:tabs>
            <w:rPr/>
          </w:pPr>
          <w:hyperlink w:anchor="__RefHeading___Toc5354_68767826">
            <w:r>
              <w:rPr>
                <w:rStyle w:val="IndexLink"/>
              </w:rPr>
              <w:t>The conception of the mount</w:t>
              <w:tab/>
              <w:t>5</w:t>
            </w:r>
          </w:hyperlink>
        </w:p>
        <w:p>
          <w:pPr>
            <w:pStyle w:val="TOC2"/>
            <w:tabs>
              <w:tab w:val="clear" w:pos="9355"/>
              <w:tab w:val="right" w:pos="9638"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8" w:leader="dot"/>
            </w:tabs>
            <w:rPr/>
          </w:pPr>
          <w:hyperlink w:anchor="__RefHeading___Toc18297_68767826">
            <w:r>
              <w:rPr>
                <w:rStyle w:val="IndexLink"/>
              </w:rPr>
              <w:t>The creation of the mount</w:t>
              <w:tab/>
              <w:t>7</w:t>
            </w:r>
          </w:hyperlink>
        </w:p>
        <w:p>
          <w:pPr>
            <w:pStyle w:val="TOC2"/>
            <w:tabs>
              <w:tab w:val="clear" w:pos="9355"/>
              <w:tab w:val="right" w:pos="9638" w:leader="dot"/>
            </w:tabs>
            <w:rPr/>
          </w:pPr>
          <w:hyperlink w:anchor="__RefHeading___Toc5632_2187837281">
            <w:r>
              <w:rPr>
                <w:rStyle w:val="IndexLink"/>
              </w:rPr>
              <w:t>Photography of the mount</w:t>
              <w:tab/>
              <w:t>9</w:t>
            </w:r>
          </w:hyperlink>
        </w:p>
        <w:p>
          <w:pPr>
            <w:pStyle w:val="TOC2"/>
            <w:tabs>
              <w:tab w:val="clear" w:pos="9355"/>
              <w:tab w:val="right" w:pos="9638" w:leader="dot"/>
            </w:tabs>
            <w:rPr/>
          </w:pPr>
          <w:hyperlink w:anchor="__RefHeading___Toc5356_68767826">
            <w:r>
              <w:rPr>
                <w:rStyle w:val="IndexLink"/>
              </w:rPr>
              <w:t>The composition of the mount</w:t>
              <w:tab/>
              <w:t>9</w:t>
            </w:r>
          </w:hyperlink>
        </w:p>
        <w:p>
          <w:pPr>
            <w:pStyle w:val="TOC3"/>
            <w:tabs>
              <w:tab w:val="clear" w:pos="9072"/>
              <w:tab w:val="right" w:pos="9638" w:leader="dot"/>
            </w:tabs>
            <w:rPr/>
          </w:pPr>
          <w:hyperlink w:anchor="__RefHeading___Toc16585_68767826">
            <w:r>
              <w:rPr>
                <w:rStyle w:val="IndexLink"/>
              </w:rPr>
              <w:t>Overview</w:t>
              <w:tab/>
              <w:t>9</w:t>
            </w:r>
          </w:hyperlink>
        </w:p>
        <w:p>
          <w:pPr>
            <w:pStyle w:val="TOC3"/>
            <w:tabs>
              <w:tab w:val="clear" w:pos="9072"/>
              <w:tab w:val="right" w:pos="9638" w:leader="dot"/>
            </w:tabs>
            <w:rPr/>
          </w:pPr>
          <w:hyperlink w:anchor="__RefHeading___Toc16587_68767826">
            <w:r>
              <w:rPr>
                <w:rStyle w:val="IndexLink"/>
              </w:rPr>
              <w:t>Skull</w:t>
              <w:tab/>
              <w:t>11</w:t>
            </w:r>
          </w:hyperlink>
        </w:p>
        <w:p>
          <w:pPr>
            <w:pStyle w:val="TOC3"/>
            <w:tabs>
              <w:tab w:val="clear" w:pos="9072"/>
              <w:tab w:val="right" w:pos="9638" w:leader="dot"/>
            </w:tabs>
            <w:rPr/>
          </w:pPr>
          <w:hyperlink w:anchor="__RefHeading___Toc16589_68767826">
            <w:r>
              <w:rPr>
                <w:rStyle w:val="IndexLink"/>
              </w:rPr>
              <w:t>Neck</w:t>
              <w:tab/>
              <w:t>12</w:t>
            </w:r>
          </w:hyperlink>
        </w:p>
        <w:p>
          <w:pPr>
            <w:pStyle w:val="TOC3"/>
            <w:tabs>
              <w:tab w:val="clear" w:pos="9072"/>
              <w:tab w:val="right" w:pos="9638" w:leader="dot"/>
            </w:tabs>
            <w:rPr/>
          </w:pPr>
          <w:hyperlink w:anchor="__RefHeading___Toc2466_2187837281">
            <w:r>
              <w:rPr>
                <w:rStyle w:val="IndexLink"/>
              </w:rPr>
              <w:t>Torso and sacrum</w:t>
              <w:tab/>
              <w:t>12</w:t>
            </w:r>
          </w:hyperlink>
        </w:p>
        <w:p>
          <w:pPr>
            <w:pStyle w:val="TOC3"/>
            <w:tabs>
              <w:tab w:val="clear" w:pos="9072"/>
              <w:tab w:val="right" w:pos="9638" w:leader="dot"/>
            </w:tabs>
            <w:rPr/>
          </w:pPr>
          <w:hyperlink w:anchor="__RefHeading___Toc2468_2187837281">
            <w:r>
              <w:rPr>
                <w:rStyle w:val="IndexLink"/>
              </w:rPr>
              <w:t>Tail</w:t>
              <w:tab/>
              <w:t>12</w:t>
            </w:r>
          </w:hyperlink>
        </w:p>
        <w:p>
          <w:pPr>
            <w:pStyle w:val="TOC3"/>
            <w:tabs>
              <w:tab w:val="clear" w:pos="9072"/>
              <w:tab w:val="right" w:pos="9638" w:leader="dot"/>
            </w:tabs>
            <w:rPr/>
          </w:pPr>
          <w:hyperlink w:anchor="__RefHeading___Toc2470_2187837281">
            <w:r>
              <w:rPr>
                <w:rStyle w:val="IndexLink"/>
              </w:rPr>
              <w:t>Forelimbs and girdles</w:t>
              <w:tab/>
              <w:t>12</w:t>
            </w:r>
          </w:hyperlink>
        </w:p>
        <w:p>
          <w:pPr>
            <w:pStyle w:val="TOC3"/>
            <w:tabs>
              <w:tab w:val="clear" w:pos="9072"/>
              <w:tab w:val="right" w:pos="9638" w:leader="dot"/>
            </w:tabs>
            <w:rPr/>
          </w:pPr>
          <w:hyperlink w:anchor="__RefHeading___Toc2472_2187837281">
            <w:r>
              <w:rPr>
                <w:rStyle w:val="IndexLink"/>
              </w:rPr>
              <w:t>Hindlimbs and girdles</w:t>
              <w:tab/>
              <w:t>12</w:t>
            </w:r>
          </w:hyperlink>
        </w:p>
        <w:p>
          <w:pPr>
            <w:pStyle w:val="TOC1"/>
            <w:rPr/>
          </w:pPr>
          <w:hyperlink w:anchor="__RefHeading___Toc3401_68767826">
            <w:r>
              <w:rPr>
                <w:rStyle w:val="IndexLink"/>
              </w:rPr>
              <w:t>Discussion</w:t>
              <w:tab/>
              <w:t>13</w:t>
            </w:r>
          </w:hyperlink>
        </w:p>
        <w:p>
          <w:pPr>
            <w:pStyle w:val="TOC2"/>
            <w:tabs>
              <w:tab w:val="clear" w:pos="9355"/>
              <w:tab w:val="right" w:pos="9638" w:leader="dot"/>
            </w:tabs>
            <w:rPr/>
          </w:pPr>
          <w:hyperlink w:anchor="__RefHeading___Toc2476_2187837281">
            <w:r>
              <w:rPr>
                <w:rStyle w:val="IndexLink"/>
              </w:rPr>
              <w:t>Rearing pose</w:t>
              <w:tab/>
              <w:t>13</w:t>
            </w:r>
          </w:hyperlink>
        </w:p>
        <w:p>
          <w:pPr>
            <w:pStyle w:val="TOC2"/>
            <w:tabs>
              <w:tab w:val="clear" w:pos="9355"/>
              <w:tab w:val="right" w:pos="9638" w:leader="dot"/>
            </w:tabs>
            <w:rPr/>
          </w:pPr>
          <w:hyperlink w:anchor="__RefHeading___Toc21934_68767826">
            <w:r>
              <w:rPr>
                <w:rStyle w:val="IndexLink"/>
              </w:rPr>
              <w:t>Size of the AMNH 6341 animal</w:t>
              <w:tab/>
              <w:t>15</w:t>
            </w:r>
          </w:hyperlink>
        </w:p>
        <w:p>
          <w:pPr>
            <w:pStyle w:val="TOC1"/>
            <w:rPr/>
          </w:pPr>
          <w:hyperlink w:anchor="__RefHeading___Toc3403_68767826">
            <w:r>
              <w:rPr>
                <w:rStyle w:val="IndexLink"/>
              </w:rPr>
              <w:t>Acknowledgements</w:t>
              <w:tab/>
              <w:t>15</w:t>
            </w:r>
          </w:hyperlink>
        </w:p>
        <w:p>
          <w:pPr>
            <w:pStyle w:val="TOC1"/>
            <w:rPr/>
          </w:pPr>
          <w:hyperlink w:anchor="__RefHeading___Toc3405_68767826">
            <w:r>
              <w:rPr>
                <w:rStyle w:val="IndexLink"/>
              </w:rPr>
              <w:t>References</w:t>
              <w:tab/>
              <w:t>16</w:t>
            </w:r>
          </w:hyperlink>
        </w:p>
        <w:p>
          <w:pPr>
            <w:pStyle w:val="TOC1"/>
            <w:rPr/>
          </w:pPr>
          <w:hyperlink w:anchor="__RefHeading___Toc3407_68767826">
            <w:r>
              <w:rPr>
                <w:rStyle w:val="IndexLink"/>
              </w:rPr>
              <w:t>Figure Captions</w:t>
              <w:tab/>
              <w:t>19</w:t>
            </w:r>
          </w:hyperlink>
        </w:p>
        <w:p>
          <w:pPr>
            <w:pStyle w:val="Heading1"/>
            <w:numPr>
              <w:ilvl w:val="0"/>
              <w:numId w:val="1"/>
            </w:numPr>
            <w:ind w:hanging="0" w:left="0" w:right="0"/>
            <w:rPr/>
          </w:pPr>
          <w:bookmarkStart w:id="1" w:name="__RefHeading___Toc1018_1496310381"/>
          <w:bookmarkEnd w:id="1"/>
          <w:r>
            <w:rPr/>
            <w:t>Introduction</w:t>
          </w:r>
          <w:r>
            <w:rPr/>
            <w:fldChar w:fldCharType="end"/>
          </w:r>
        </w:p>
      </w:sdtContent>
    </w:sdt>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w:t>
      </w:r>
      <w:ins w:id="0" w:author="Mike Taylor" w:date="2024-08-29T22:21:10Z">
        <w:r>
          <w:rPr/>
          <w:t xml:space="preserve">the </w:t>
        </w:r>
      </w:ins>
      <w:r>
        <w:rPr/>
        <w:t xml:space="preserve">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2" w:name="__RefHeading___Toc3323_2187837281"/>
      <w:bookmarkEnd w:id="2"/>
      <w:r>
        <w:rPr/>
        <w:t>Anatomical nomenclature</w:t>
      </w:r>
    </w:p>
    <w:p>
      <w:pPr>
        <w:pStyle w:val="BodyText"/>
        <w:rPr>
          <w:ins w:id="1" w:author="Mike Taylor" w:date="2024-08-29T23:15:58Z"/>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ins w:id="2" w:author="Mike Taylor" w:date="2024-08-29T23:15:58Z">
        <w:r>
          <w:rPr>
            <w:rFonts w:eastAsia="Songti SC" w:cs="Arial Unicode MS"/>
            <w:color w:val="auto"/>
            <w:kern w:val="2"/>
            <w:sz w:val="24"/>
            <w:szCs w:val="24"/>
            <w:lang w:val="en-GB" w:eastAsia="zh-CN" w:bidi="hi-IN"/>
          </w:rPr>
          <w:t xml:space="preserve">We follow McIntosh’s (2005) interpretation of the presacral vertebrae of </w:t>
        </w:r>
      </w:ins>
      <w:ins w:id="3" w:author="Mike Taylor" w:date="2024-08-29T23:15:58Z">
        <w:r>
          <w:rPr>
            <w:rFonts w:eastAsia="Songti SC" w:cs="Arial Unicode MS"/>
            <w:i/>
            <w:iCs/>
            <w:color w:val="auto"/>
            <w:kern w:val="2"/>
            <w:sz w:val="24"/>
            <w:szCs w:val="24"/>
            <w:lang w:val="en-GB" w:eastAsia="zh-CN" w:bidi="hi-IN"/>
          </w:rPr>
          <w:t>Barosaurus</w:t>
        </w:r>
      </w:ins>
      <w:ins w:id="4" w:author="Mike Taylor" w:date="2024-08-29T23:15:58Z">
        <w:r>
          <w:rPr>
            <w:rFonts w:eastAsia="Songti SC" w:cs="Arial Unicode MS"/>
            <w:color w:val="auto"/>
            <w:kern w:val="2"/>
            <w:sz w:val="24"/>
            <w:szCs w:val="24"/>
            <w:lang w:val="en-GB" w:eastAsia="zh-CN" w:bidi="hi-IN"/>
          </w:rPr>
          <w:t xml:space="preserve"> consisting of 16 cervicals and nine dorsal, rather then 15 and 10 as in </w:t>
        </w:r>
      </w:ins>
      <w:ins w:id="5" w:author="Mike Taylor" w:date="2024-08-29T23:15:58Z">
        <w:r>
          <w:rPr>
            <w:rFonts w:eastAsia="Songti SC" w:cs="Arial Unicode MS"/>
            <w:i/>
            <w:iCs/>
            <w:color w:val="auto"/>
            <w:kern w:val="2"/>
            <w:sz w:val="24"/>
            <w:szCs w:val="24"/>
            <w:lang w:val="en-GB" w:eastAsia="zh-CN" w:bidi="hi-IN"/>
          </w:rPr>
          <w:t>Diplodocus</w:t>
        </w:r>
      </w:ins>
      <w:ins w:id="6" w:author="Mike Taylor" w:date="2024-08-29T23:15:58Z">
        <w:r>
          <w:rPr>
            <w:rFonts w:eastAsia="Songti SC" w:cs="Arial Unicode MS"/>
            <w:color w:val="auto"/>
            <w:kern w:val="2"/>
            <w:sz w:val="24"/>
            <w:szCs w:val="24"/>
            <w:lang w:val="en-GB" w:eastAsia="zh-CN" w:bidi="hi-IN"/>
          </w:rPr>
          <w:t>.</w:t>
        </w:r>
      </w:ins>
    </w:p>
    <w:p>
      <w:pPr>
        <w:pStyle w:val="Heading2"/>
        <w:rPr/>
      </w:pPr>
      <w:bookmarkStart w:id="3" w:name="__RefHeading___Toc5349_68767826"/>
      <w:bookmarkEnd w:id="3"/>
      <w:r>
        <w:rPr/>
        <w:t>Institutional abbreviations</w:t>
      </w:r>
    </w:p>
    <w:p>
      <w:pPr>
        <w:pStyle w:val="BodyText"/>
        <w:numPr>
          <w:ilvl w:val="0"/>
          <w:numId w:val="5"/>
        </w:numPr>
        <w:ind w:hanging="360" w:left="720" w:right="0"/>
        <w:rPr/>
      </w:pPr>
      <w:r>
        <w:rPr/>
        <w:t>AMNH — American Museum of Natural History, New York, New York, USA.</w:t>
      </w:r>
    </w:p>
    <w:p>
      <w:pPr>
        <w:pStyle w:val="BodyText"/>
        <w:numPr>
          <w:ilvl w:val="0"/>
          <w:numId w:val="5"/>
        </w:numPr>
        <w:ind w:hanging="360" w:left="720" w:right="0"/>
        <w:rPr/>
      </w:pPr>
      <w:r>
        <w:rPr/>
        <w:t>CM — Carnegie Museum of Natural History, Pittsburgh, Pennsylvania, USA.</w:t>
      </w:r>
    </w:p>
    <w:p>
      <w:pPr>
        <w:pStyle w:val="BodyText"/>
        <w:numPr>
          <w:ilvl w:val="0"/>
          <w:numId w:val="5"/>
        </w:numPr>
        <w:ind w:hanging="360" w:left="720" w:right="0"/>
        <w:rPr/>
      </w:pPr>
      <w:r>
        <w:rPr/>
        <w:t>HMNS — Houston Museum of Nature and Science, Houston, Texas, USA.</w:t>
      </w:r>
    </w:p>
    <w:p>
      <w:pPr>
        <w:pStyle w:val="BodyText"/>
        <w:numPr>
          <w:ilvl w:val="0"/>
          <w:numId w:val="5"/>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5"/>
        </w:numPr>
        <w:ind w:hanging="360" w:left="720" w:right="0"/>
        <w:rPr/>
      </w:pPr>
      <w:r>
        <w:rPr/>
        <w:t>USNM – United States National Museum, Washington, D.C., USA.</w:t>
      </w:r>
    </w:p>
    <w:p>
      <w:pPr>
        <w:pStyle w:val="BodyText"/>
        <w:numPr>
          <w:ilvl w:val="0"/>
          <w:numId w:val="5"/>
        </w:numPr>
        <w:ind w:hanging="360" w:left="720" w:right="0"/>
        <w:rPr/>
      </w:pPr>
      <w:r>
        <w:rPr/>
        <w:t>YPM — Yale Peabody Museum, New Haven, Connecticut, USA.</w:t>
      </w:r>
    </w:p>
    <w:p>
      <w:pPr>
        <w:pStyle w:val="Heading1"/>
        <w:numPr>
          <w:ilvl w:val="0"/>
          <w:numId w:val="3"/>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w:t>
      </w:r>
      <w:ins w:id="7" w:author="Mike Taylor" w:date="2024-08-29T22:39:48Z">
        <w:r>
          <w:rPr/>
          <w:t xml:space="preserve">diplodocine </w:t>
        </w:r>
      </w:ins>
      <w:r>
        <w:rPr/>
        <w:t xml:space="preserve">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D.A,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w:t>
      </w:r>
      <w:del w:id="8" w:author="Mike Taylor" w:date="2024-08-29T22:48:13Z">
        <w:r>
          <w:rPr/>
          <w:delText>g</w:delText>
        </w:r>
      </w:del>
      <w:ins w:id="9" w:author="Mike Taylor" w:date="2024-08-29T22:48:13Z">
        <w:r>
          <w:rPr/>
          <w:t>c</w:t>
        </w:r>
      </w:ins>
      <w:r>
        <w:rPr/>
        <w:t>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w:t>
      </w:r>
      <w:ins w:id="10" w:author="Mike Taylor" w:date="2024-08-29T22:50:29Z">
        <w:r>
          <w:rPr/>
          <w:t xml:space="preserve">leading </w:t>
        </w:r>
      </w:ins>
      <w:r>
        <w:rPr/>
        <w:t xml:space="preserve">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It would be the perfect specimen to use as the basis of the rearing mount. Early in the design of the exhibit, Dingus and Gaffney asked McIntosh what he thought about the pose. When he gave an enthusiastic “</w:t>
      </w:r>
      <w:del w:id="11" w:author="Mike Taylor" w:date="2024-08-29T22:51:36Z">
        <w:r>
          <w:rPr/>
          <w:delText>y</w:delText>
        </w:r>
      </w:del>
      <w:ins w:id="12" w:author="Mike Taylor" w:date="2024-08-29T22:51:36Z">
        <w:r>
          <w:rPr/>
          <w:t>Y</w:t>
        </w:r>
      </w:ins>
      <w:r>
        <w:rPr/>
        <w:t xml:space="preserve">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del w:id="13" w:author="Mike Taylor" w:date="2024-08-29T22:52:26Z">
        <w:r>
          <w:rPr>
            <w:i w:val="false"/>
            <w:iCs w:val="false"/>
          </w:rPr>
          <w:delText>"</w:delText>
        </w:r>
      </w:del>
      <w:ins w:id="14" w:author="Mike Taylor" w:date="2024-08-29T22:52:36Z">
        <w:r>
          <w:rPr>
            <w:rFonts w:eastAsia="Songti SC" w:cs="Arial Unicode MS"/>
            <w:i w:val="false"/>
            <w:iCs w:val="false"/>
            <w:color w:val="auto"/>
            <w:kern w:val="2"/>
            <w:sz w:val="24"/>
            <w:szCs w:val="24"/>
            <w:lang w:val="en-GB" w:eastAsia="zh-CN" w:bidi="hi-IN"/>
          </w:rPr>
          <w:t>“</w:t>
        </w:r>
      </w:ins>
      <w:r>
        <w:rPr>
          <w:i w:val="false"/>
          <w:iCs w:val="false"/>
        </w:rPr>
        <w:t>Did this really happen?</w:t>
      </w:r>
      <w:del w:id="15" w:author="Mike Taylor" w:date="2024-08-29T22:52:39Z">
        <w:r>
          <w:rPr>
            <w:i w:val="false"/>
            <w:iCs w:val="false"/>
          </w:rPr>
          <w:delText>"</w:delText>
        </w:r>
      </w:del>
      <w:ins w:id="16" w:author="Mike Taylor" w:date="2024-08-29T22:52:39Z">
        <w:r>
          <w:rPr>
            <w:rFonts w:eastAsia="Songti SC" w:cs="Arial Unicode MS"/>
            <w:i w:val="false"/>
            <w:iCs w:val="false"/>
            <w:color w:val="auto"/>
            <w:kern w:val="2"/>
            <w:sz w:val="24"/>
            <w:szCs w:val="24"/>
            <w:lang w:val="en-GB" w:eastAsia="zh-CN" w:bidi="hi-IN"/>
          </w:rPr>
          <w:t>”</w:t>
        </w:r>
      </w:ins>
      <w:r>
        <w:rPr>
          <w:i w:val="false"/>
          <w:iCs w:val="false"/>
        </w:rPr>
        <w:t>:</w:t>
      </w:r>
    </w:p>
    <w:p>
      <w:pPr>
        <w:pStyle w:val="BlockQuotation"/>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t>
      </w:r>
      <w:ins w:id="17" w:author="Mike Taylor" w:date="2024-08-29T22:53:59Z">
        <w:r>
          <w:rPr/>
          <w:t xml:space="preserve">of the skeletal elements </w:t>
        </w:r>
      </w:ins>
      <w:r>
        <w:rPr/>
        <w:t>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w:t>
      </w:r>
      <w:moveTo w:id="18" w:author="Mike Taylor" w:date="2024-08-29T22:58:23Z">
        <w:r>
          <w:rPr/>
          <w:t xml:space="preserve"> in a semi-truck</w:t>
        </w:r>
      </w:moveTo>
      <w:del w:id="19" w:author="Mike Taylor" w:date="2024-08-29T22:58:33Z">
        <w:r>
          <w:rPr/>
          <w:delText xml:space="preserve"> back</w:delText>
        </w:r>
      </w:del>
      <w:r>
        <w:rPr/>
        <w:t xml:space="preserve"> from New York to Toronto</w:t>
      </w:r>
      <w:moveFrom w:id="20" w:author="Mike Taylor" w:date="2024-08-29T22:58:17Z">
        <w:r>
          <w:rPr/>
          <w:t xml:space="preserve"> in a semi-truck</w:t>
        </w:r>
      </w:moveFrom>
      <w:r>
        <w:rPr/>
        <w:t xml:space="preserve">,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w:t>
      </w:r>
      <w:bookmarkStart w:id="11" w:name="__DdeLink__20117_68767826"/>
      <w:r>
        <w:rPr/>
        <w:t>Psihoyos</w:t>
      </w:r>
      <w:bookmarkEnd w:id="11"/>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 xml:space="preserve">In November 1991, the work in Toronto was complete, and the completed exhibit was transported to New York in sections for mounting. Unlike the trial mounting </w:t>
      </w:r>
      <w:del w:id="21" w:author="Mike Taylor" w:date="2024-08-29T23:06:23Z">
        <w:r>
          <w:rPr/>
          <w:delText>o</w:delText>
        </w:r>
      </w:del>
      <w:ins w:id="22" w:author="Mike Taylor" w:date="2024-08-29T23:06:23Z">
        <w:r>
          <w:rPr/>
          <w:t>i</w:t>
        </w:r>
      </w:ins>
      <w:r>
        <w:rPr/>
        <w:t xml:space="preserve">n Toronto, when the neck was attached in three sections, in New York the three sections were first joined together and then fitted as a unit. This large unit, about nine meters in length, proved difficult to manoeuvre, it was difficult to raise it to </w:t>
      </w:r>
      <w:ins w:id="23" w:author="Mike Taylor" w:date="2024-08-29T23:06:37Z">
        <w:r>
          <w:rPr/>
          <w:t xml:space="preserve">a </w:t>
        </w:r>
      </w:ins>
      <w:r>
        <w:rPr/>
        <w:t>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BodyText"/>
        <w:rPr/>
      </w:pPr>
      <w:r>
        <w:rPr/>
        <w:t xml:space="preserve">The total budget for the mounting project was $250,000. </w:t>
      </w:r>
      <w:r>
        <w:rPr>
          <w:highlight w:val="yellow"/>
        </w:rPr>
        <w:t>XXX Peter, is this correct, and are you happy for it to be known or is it commercial-confidential?</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2" w:name="__RefHeading___Toc5632_2187837281"/>
      <w:bookmarkEnd w:id="12"/>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 xml:space="preserve">The main hall at the AMNH is huge, unevenly and dimly lit, so to get clear bright shots I placed several 2400 and 5000 watt second Comet strobe packs and bare-bulb heads around the hall, synchronizing </w:t>
      </w:r>
      <w:del w:id="24" w:author="Mike Taylor" w:date="2024-08-29T23:10:53Z">
        <w:r>
          <w:rPr/>
          <w:delText xml:space="preserve">ing </w:delText>
        </w:r>
      </w:del>
      <w:r>
        <w:rPr/>
        <w:t>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3" w:name="__RefHeading___Toc5356_68767826"/>
      <w:bookmarkEnd w:id="13"/>
      <w:r>
        <w:rPr/>
        <w:t>The composition of the mount</w:t>
      </w:r>
    </w:p>
    <w:p>
      <w:pPr>
        <w:pStyle w:val="Heading3"/>
        <w:numPr>
          <w:ilvl w:val="2"/>
          <w:numId w:val="7"/>
        </w:numPr>
        <w:ind w:hanging="0" w:left="0" w:right="0"/>
        <w:rPr/>
      </w:pPr>
      <w:bookmarkStart w:id="14" w:name="__RefHeading___Toc16585_68767826"/>
      <w:bookmarkEnd w:id="14"/>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10"/>
        </w:numPr>
        <w:ind w:hanging="360" w:left="720" w:right="0"/>
        <w:rPr/>
      </w:pPr>
      <w:r>
        <w:rPr/>
        <w:t>the posterior part of the neck (cervicals 8–16)</w:t>
      </w:r>
    </w:p>
    <w:p>
      <w:pPr>
        <w:pStyle w:val="BodyText"/>
        <w:numPr>
          <w:ilvl w:val="0"/>
          <w:numId w:val="10"/>
        </w:numPr>
        <w:ind w:hanging="360" w:left="720" w:right="0"/>
        <w:rPr/>
      </w:pPr>
      <w:r>
        <w:rPr/>
        <w:t>all nine dorsal vertebrae (dorsals 1–9)</w:t>
      </w:r>
    </w:p>
    <w:p>
      <w:pPr>
        <w:pStyle w:val="BodyText"/>
        <w:numPr>
          <w:ilvl w:val="0"/>
          <w:numId w:val="10"/>
        </w:numPr>
        <w:ind w:hanging="360" w:left="720" w:right="0"/>
        <w:rPr/>
      </w:pPr>
      <w:r>
        <w:rPr/>
        <w:t>the complete sacrum (sacral vertebrae 1–5)</w:t>
      </w:r>
    </w:p>
    <w:p>
      <w:pPr>
        <w:pStyle w:val="BodyText"/>
        <w:numPr>
          <w:ilvl w:val="0"/>
          <w:numId w:val="10"/>
        </w:numPr>
        <w:ind w:hanging="360" w:left="720" w:right="0"/>
        <w:rPr/>
      </w:pPr>
      <w:r>
        <w:rPr/>
        <w:t>the anterior part of the tail (caudals 1–29)</w:t>
      </w:r>
    </w:p>
    <w:p>
      <w:pPr>
        <w:pStyle w:val="BodyText"/>
        <w:numPr>
          <w:ilvl w:val="0"/>
          <w:numId w:val="10"/>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10"/>
        </w:numPr>
        <w:ind w:hanging="360" w:left="720" w:right="0"/>
        <w:rPr/>
      </w:pPr>
      <w:r>
        <w:rPr/>
        <w:t>a single chevron, from further back than Ca13 and likely in the region Ca22–Ca28.</w:t>
      </w:r>
    </w:p>
    <w:p>
      <w:pPr>
        <w:pStyle w:val="BodyText"/>
        <w:numPr>
          <w:ilvl w:val="0"/>
          <w:numId w:val="10"/>
        </w:numPr>
        <w:ind w:hanging="360" w:left="720" w:right="0"/>
        <w:rPr/>
      </w:pPr>
      <w:r>
        <w:rPr/>
        <w:t>right (not left as in McIntosh 2005:43) scapulocoracoid, fully fused together; distal end of left scapula; left coracoid</w:t>
      </w:r>
    </w:p>
    <w:p>
      <w:pPr>
        <w:pStyle w:val="BodyText"/>
        <w:numPr>
          <w:ilvl w:val="0"/>
          <w:numId w:val="10"/>
        </w:numPr>
        <w:ind w:hanging="360" w:left="720" w:right="0"/>
        <w:rPr/>
      </w:pPr>
      <w:r>
        <w:rPr/>
        <w:t>right (not left as in McIntosh 2005:43) humerus</w:t>
      </w:r>
    </w:p>
    <w:p>
      <w:pPr>
        <w:pStyle w:val="BodyText"/>
        <w:numPr>
          <w:ilvl w:val="0"/>
          <w:numId w:val="10"/>
        </w:numPr>
        <w:ind w:hanging="360" w:left="720" w:right="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BodyText"/>
        <w:numPr>
          <w:ilvl w:val="0"/>
          <w:numId w:val="10"/>
        </w:numPr>
        <w:ind w:hanging="360" w:left="720" w:right="0"/>
        <w:rPr/>
      </w:pPr>
      <w:r>
        <w:rPr/>
        <w:t>complete right hindlimb (femur, tibia, fibula, astragalus)</w:t>
      </w:r>
    </w:p>
    <w:p>
      <w:pPr>
        <w:pStyle w:val="BodyText"/>
        <w:numPr>
          <w:ilvl w:val="0"/>
          <w:numId w:val="10"/>
        </w:numPr>
        <w:ind w:hanging="360" w:left="720" w:right="0"/>
        <w:rPr/>
      </w:pPr>
      <w:r>
        <w:rPr/>
        <w:t>elements of the right pes: metatarsals I, II and V, phalanges I-I and V-I, two 2nd phalanges, one ungual</w:t>
      </w:r>
    </w:p>
    <w:p>
      <w:pPr>
        <w:pStyle w:val="BodyText"/>
        <w:numPr>
          <w:ilvl w:val="0"/>
          <w:numId w:val="10"/>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BodyText"/>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were filled in with </w:t>
      </w:r>
      <w:r>
        <w:rPr>
          <w:i/>
          <w:iCs/>
        </w:rPr>
        <w:t>Diplodocus</w:t>
      </w:r>
      <w:r>
        <w:rPr/>
        <w:t xml:space="preserve"> casts that have a curious provenance. As recounted in detail by Taylor et al. (</w:t>
      </w:r>
      <w:del w:id="25" w:author="Mike Taylor" w:date="2024-08-29T23:21:51Z">
        <w:r>
          <w:rPr/>
          <w:delText>in prep, b</w:delText>
        </w:r>
      </w:del>
      <w:ins w:id="26" w:author="Mike Taylor" w:date="2024-08-29T23:21:51Z">
        <w:r>
          <w:rPr/>
          <w:t>2023</w:t>
        </w:r>
      </w:ins>
      <w:r>
        <w:rPr/>
        <w:t xml:space="preserve">),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used this concrete cast to create second-generation molds with the immediate goal of providing the Field House with a new, lightweight cast to be exhibited indoors at its new building. These new molds have also been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BodyText"/>
        <w:rPr/>
      </w:pPr>
      <w:r>
        <w:rPr>
          <w:lang w:val="en-US"/>
        </w:rPr>
        <w:t>With this in mind, we will now consider the source of specific elements of the cast.</w:t>
      </w:r>
    </w:p>
    <w:p>
      <w:pPr>
        <w:pStyle w:val="Heading3"/>
        <w:numPr>
          <w:ilvl w:val="2"/>
          <w:numId w:val="8"/>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However, CM 84, the specimen from which the Carnegie mount is mostly assembled, does not itself include a skull. As documented in Taylor et al. (in prep.</w:t>
      </w:r>
      <w:del w:id="27" w:author="Mike Taylor" w:date="2024-08-29T23:23:06Z">
        <w:r>
          <w:rPr/>
          <w:delText>, a</w:delText>
        </w:r>
      </w:del>
      <w:r>
        <w:rPr/>
        <w:t xml:space="preserve">),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BodyText"/>
        <w:numPr>
          <w:ilvl w:val="0"/>
          <w:numId w:val="6"/>
        </w:numPr>
        <w:ind w:hanging="360" w:left="720" w:right="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BodyText"/>
        <w:numPr>
          <w:ilvl w:val="0"/>
          <w:numId w:val="6"/>
        </w:numPr>
        <w:ind w:hanging="360" w:left="720" w:right="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BodyText"/>
        <w:rPr/>
      </w:pPr>
      <w:r>
        <w:rPr/>
        <w:t xml:space="preserve">The skull used in the </w:t>
      </w:r>
      <w:r>
        <w:rPr>
          <w:i/>
          <w:iCs/>
        </w:rPr>
        <w:t>Barosaurus</w:t>
      </w:r>
      <w:r>
        <w:rPr/>
        <w:t xml:space="preserve"> mount is shown in a 1991 photograph (Figure C). It can be </w:t>
      </w:r>
      <w:del w:id="28" w:author="Mike Taylor" w:date="2024-08-30T19:51:24Z">
        <w:r>
          <w:rPr/>
          <w:delText xml:space="preserve">fairly </w:delText>
        </w:r>
      </w:del>
      <w:r>
        <w:rPr/>
        <w:t>confidently confirmed as the same composite illustrated by Holland (1906:figure 1) “as placed in the restoration at the British Museum”, and by Nieuwland (2019:figure 5.3) in a photograph of a worker at the Muséum Nat</w:t>
      </w:r>
      <w:ins w:id="29" w:author="Mike Taylor" w:date="2024-08-30T19:51:34Z">
        <w:r>
          <w:rPr/>
          <w:t>i</w:t>
        </w:r>
      </w:ins>
      <w:r>
        <w:rPr/>
        <w:t>onal</w:t>
      </w:r>
      <w:ins w:id="30" w:author="Mike Taylor" w:date="2024-08-30T19:51:36Z">
        <w:r>
          <w:rPr/>
          <w:t>e</w:t>
        </w:r>
      </w:ins>
      <w:r>
        <w:rPr/>
        <w:t xml:space="preserve"> d’Histoire Naturelle, Paris, France, with the plaster skull of their </w:t>
      </w:r>
      <w:r>
        <w:rPr>
          <w:i/>
          <w:iCs/>
        </w:rPr>
        <w:t>Diplodocus</w:t>
      </w:r>
      <w:r>
        <w:rPr/>
        <w:t xml:space="preserve"> cast in 1908.</w:t>
      </w:r>
    </w:p>
    <w:p>
      <w:pPr>
        <w:pStyle w:val="Heading3"/>
        <w:numPr>
          <w:ilvl w:val="2"/>
          <w:numId w:val="9"/>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xml:space="preserve">. Whether or not there may at some point have been a tenth cervical vertebra </w:t>
      </w:r>
      <w:ins w:id="31" w:author="Mike Taylor" w:date="2024-08-30T19:54:59Z">
        <w:r>
          <w:rPr/>
          <w:t xml:space="preserve">(C7) </w:t>
        </w:r>
      </w:ins>
      <w:r>
        <w:rPr/>
        <w:t>included in AMNH 6341, at present it preserves the last nine cervical vertebrae. These are therefore considered to be C8–C16.</w:t>
      </w:r>
    </w:p>
    <w:p>
      <w:pPr>
        <w:pStyle w:val="BodyText"/>
        <w:rPr/>
      </w:pPr>
      <w:r>
        <w:rPr/>
        <w:t xml:space="preserve">The anterior part of neck of the mount was completed using </w:t>
      </w:r>
      <w:ins w:id="32" w:author="Mike Taylor" w:date="2024-08-30T19:55:24Z">
        <w:r>
          <w:rPr/>
          <w:t xml:space="preserve">seven </w:t>
        </w:r>
      </w:ins>
      <w:r>
        <w:rPr/>
        <w:t xml:space="preserve">casts of </w:t>
      </w:r>
      <w:del w:id="33" w:author="Mike Taylor" w:date="2024-08-30T19:55:27Z">
        <w:r>
          <w:rPr/>
          <w:delText xml:space="preserve">seven </w:delText>
        </w:r>
      </w:del>
      <w:r>
        <w:rPr/>
        <w:t xml:space="preserve">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w:t>
      </w:r>
      <w:ins w:id="34" w:author="Mike Taylor" w:date="2024-08-30T20:01:09Z">
        <w:r>
          <w:rPr/>
          <w:t xml:space="preserve">: </w:t>
        </w:r>
      </w:ins>
      <w:ins w:id="35" w:author="Mike Taylor" w:date="2024-08-30T20:01:09Z">
        <w:r>
          <w:rPr/>
          <w:t>one of us (May) believes they were</w:t>
        </w:r>
      </w:ins>
      <w:r>
        <w:rPr/>
        <w:t xml:space="preserve"> probably cervicals 10, 8, 6 and 4–1</w:t>
      </w:r>
      <w:ins w:id="36" w:author="Mike Taylor" w:date="2024-08-30T20:01:20Z">
        <w:r>
          <w:rPr/>
          <w:t xml:space="preserve">, </w:t>
        </w:r>
      </w:ins>
      <w:ins w:id="37" w:author="Mike Taylor" w:date="2024-08-30T20:01:20Z">
        <w:r>
          <w:rPr/>
          <w:t>and the relative sizes of the vertebrae corroborate this identification</w:t>
        </w:r>
      </w:ins>
      <w:r>
        <w:rPr/>
        <w:t>.</w:t>
      </w:r>
    </w:p>
    <w:p>
      <w:pPr>
        <w:pStyle w:val="BodyText"/>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neither paper identifies it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 xml:space="preserve">XXX Update from Carnegie </w:t>
      </w:r>
      <w:r>
        <w:rPr>
          <w:i/>
          <w:iCs/>
          <w:highlight w:val="yellow"/>
        </w:rPr>
        <w:t>Diplodocus</w:t>
      </w:r>
      <w:r>
        <w:rPr>
          <w:highlight w:val="yellow"/>
        </w:rPr>
        <w:t xml:space="preserve"> manuscript if I ever get to the bottom of this</w:t>
      </w:r>
    </w:p>
    <w:p>
      <w:pPr>
        <w:pStyle w:val="Heading3"/>
        <w:numPr>
          <w:ilvl w:val="2"/>
          <w:numId w:val="2"/>
        </w:numPr>
        <w:ind w:hanging="0" w:left="0" w:right="0"/>
        <w:rPr/>
      </w:pPr>
      <w:bookmarkStart w:id="18" w:name="__RefHeading___Toc2466_2187837281"/>
      <w:bookmarkEnd w:id="18"/>
      <w:r>
        <w:rPr/>
        <w:t>Torso and sacrum</w:t>
      </w:r>
    </w:p>
    <w:p>
      <w:pPr>
        <w:pStyle w:val="BodyText"/>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hanging="0" w:left="0" w:right="0"/>
        <w:rPr/>
      </w:pPr>
      <w:bookmarkStart w:id="19" w:name="__RefHeading___Toc2468_2187837281"/>
      <w:bookmarkEnd w:id="19"/>
      <w:r>
        <w:rPr/>
        <w:t>Tail</w:t>
      </w:r>
    </w:p>
    <w:p>
      <w:pPr>
        <w:pStyle w:val="BodyText"/>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hanging="0" w:left="0" w:right="0"/>
        <w:rPr/>
      </w:pPr>
      <w:bookmarkStart w:id="20" w:name="__RefHeading___Toc2470_2187837281"/>
      <w:bookmarkEnd w:id="20"/>
      <w:r>
        <w:rPr/>
        <w:t>Forelimbs and girdles</w:t>
      </w:r>
    </w:p>
    <w:p>
      <w:pPr>
        <w:pStyle w:val="BodyText"/>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hanging="0" w:left="0" w:right="0"/>
        <w:rPr/>
      </w:pPr>
      <w:bookmarkStart w:id="21" w:name="__RefHeading___Toc2472_2187837281"/>
      <w:bookmarkEnd w:id="21"/>
      <w:r>
        <w:rPr/>
        <w:t>Hindlimbs and girdles</w:t>
      </w:r>
    </w:p>
    <w:p>
      <w:pPr>
        <w:pStyle w:val="BodyText"/>
        <w:rPr/>
      </w:pPr>
      <w:r>
        <w:rPr/>
        <w:t>XXX</w:t>
      </w:r>
    </w:p>
    <w:p>
      <w:pPr>
        <w:pStyle w:val="Heading1"/>
        <w:numPr>
          <w:ilvl w:val="0"/>
          <w:numId w:val="4"/>
        </w:numPr>
        <w:ind w:hanging="0" w:left="0" w:right="0"/>
        <w:rPr/>
      </w:pPr>
      <w:bookmarkStart w:id="22" w:name="__RefHeading___Toc3401_68767826"/>
      <w:bookmarkEnd w:id="22"/>
      <w:r>
        <w:rPr/>
        <w:t>Discussion</w:t>
      </w:r>
    </w:p>
    <w:p>
      <w:pPr>
        <w:pStyle w:val="Heading2"/>
        <w:rPr/>
      </w:pPr>
      <w:bookmarkStart w:id="23" w:name="__RefHeading___Toc2476_2187837281"/>
      <w:bookmarkEnd w:id="23"/>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w:t>
      </w:r>
      <w:ins w:id="38" w:author="Mike Taylor" w:date="2024-08-30T20:37:53Z">
        <w:r>
          <w:rPr/>
          <w:t xml:space="preserve">Berlin cast of the </w:t>
        </w:r>
      </w:ins>
      <w:r>
        <w:rPr/>
        <w:t xml:space="preserve">Carnegie </w:t>
      </w:r>
      <w:r>
        <w:rPr>
          <w:i/>
          <w:iCs/>
          <w:u w:val="none"/>
        </w:rPr>
        <w:t>Diplodocus</w:t>
      </w:r>
      <w:r>
        <w:rPr/>
        <w:t xml:space="preserve"> in 1908 </w:t>
      </w:r>
      <w:del w:id="39" w:author="Mike Taylor" w:date="2024-08-30T20:38:02Z">
        <w:r>
          <w:rPr/>
          <w:delText>catalysed</w:delText>
        </w:r>
      </w:del>
      <w:ins w:id="40" w:author="Mike Taylor" w:date="2024-08-30T20:38:02Z">
        <w:r>
          <w:rPr/>
          <w:t>had provoked</w:t>
        </w:r>
      </w:ins>
      <w:r>
        <w:rPr/>
        <w:t xml:space="preserve">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w:t>
      </w:r>
      <w:ins w:id="41" w:author="Mike Taylor" w:date="2024-08-30T20:40:49Z">
        <w:r>
          <w:rPr/>
          <w:t xml:space="preserve">it was </w:t>
        </w:r>
      </w:ins>
      <w:r>
        <w:rPr/>
        <w:t>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w:t>
      </w:r>
      <w:del w:id="42" w:author="Mike Taylor" w:date="2024-08-30T20:41:16Z">
        <w:r>
          <w:rPr/>
          <w:delText>,</w:delText>
        </w:r>
      </w:del>
      <w:ins w:id="43" w:author="Mike Taylor" w:date="2024-08-30T20:41:16Z">
        <w:r>
          <w:rPr/>
          <w:t xml:space="preserve"> </w:t>
        </w:r>
      </w:ins>
      <w:ins w:id="44" w:author="Mike Taylor" w:date="2024-08-30T20:41:16Z">
        <w:r>
          <w:rPr/>
          <w:t>and</w:t>
        </w:r>
      </w:ins>
      <w:r>
        <w:rPr/>
        <w:t xml:space="preserve">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w:t>
      </w:r>
      <w:del w:id="45" w:author="Mike Taylor" w:date="2024-08-30T20:49:54Z">
        <w:r>
          <w:rPr/>
          <w:delText>substantial</w:delText>
        </w:r>
      </w:del>
      <w:ins w:id="46" w:author="Mike Taylor" w:date="2024-08-30T20:49:54Z">
        <w:r>
          <w:rPr/>
          <w:t>specific</w:t>
        </w:r>
      </w:ins>
      <w:r>
        <w:rPr/>
        <w:t xml:space="preserve">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noted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w:t>
      </w:r>
      <w:ins w:id="47" w:author="Mike Taylor" w:date="2024-08-30T20:50:35Z">
        <w:r>
          <w:rPr/>
          <w:t xml:space="preserve">, </w:t>
        </w:r>
      </w:ins>
      <w:ins w:id="48" w:author="Mike Taylor" w:date="2024-08-30T20:50:35Z">
        <w:r>
          <w:rPr/>
          <w:t>despite the discrediting of that notion (e.g. Coombs 1975)</w:t>
        </w:r>
      </w:ins>
      <w:r>
        <w:rPr/>
        <w:t>.</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w:t>
      </w:r>
      <w:ins w:id="49" w:author="Mike Taylor" w:date="2024-08-30T20:54:14Z">
        <w:r>
          <w:rPr/>
          <w:t xml:space="preserve"> </w:t>
        </w:r>
      </w:ins>
      <w:ins w:id="50" w:author="Mike Taylor" w:date="2024-08-30T20:54:14Z">
        <w:r>
          <w:rPr/>
          <w:t>(see Kermack 1951)</w:t>
        </w:r>
      </w:ins>
      <w:r>
        <w:rPr/>
        <w:t>.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 xml:space="preserve">However, the notion of rearing sauropods has a </w:t>
      </w:r>
      <w:r>
        <w:rPr/>
        <w:t xml:space="preserve">long </w:t>
      </w:r>
      <w:r>
        <w:rPr/>
        <w:t xml:space="preserve">heritage. </w:t>
      </w:r>
      <w:r>
        <w:rPr/>
        <w:t xml:space="preserve">The </w:t>
      </w:r>
      <w:r>
        <w:rPr/>
        <w:t xml:space="preserve">first ever </w:t>
      </w:r>
      <w:r>
        <w:rPr/>
        <w:t xml:space="preserve">life </w:t>
      </w:r>
      <w:r>
        <w:rPr/>
        <w:t xml:space="preserve">restoration </w:t>
      </w:r>
      <w:r>
        <w:rPr/>
        <w:t>featuring sauropods is</w:t>
      </w:r>
      <w:r>
        <w:rPr/>
        <w:t xml:space="preserve"> </w:t>
      </w:r>
      <w:r>
        <w:rPr/>
        <w:t xml:space="preserve">Charles R. Knight’s </w:t>
      </w:r>
      <w:r>
        <w:rPr/>
        <w:t xml:space="preserve">1897 </w:t>
      </w:r>
      <w:r>
        <w:rPr/>
        <w:t>drawing</w:t>
      </w:r>
      <w:r>
        <w:rPr/>
        <w:t xml:space="preserve">, </w:t>
      </w:r>
      <w:r>
        <w:rPr/>
        <w:t>created under the supervision of E. D. Cope, appearing in Ballou (1897:20) and</w:t>
      </w:r>
      <w:r>
        <w:rPr/>
        <w:t xml:space="preserve"> reproduced in Osborn and Mook </w:t>
      </w:r>
      <w:r>
        <w:rPr/>
        <w:t>(</w:t>
      </w:r>
      <w:r>
        <w:rPr/>
        <w:t xml:space="preserve">1921:figure 127). </w:t>
      </w:r>
      <w:r>
        <w:rPr/>
        <w:t xml:space="preserve">This shows </w:t>
      </w:r>
      <w:r>
        <w:rPr/>
        <w:t xml:space="preserve">several </w:t>
      </w:r>
      <w:r>
        <w:rPr>
          <w:i/>
          <w:iCs/>
        </w:rPr>
        <w:t>Amphicoelias</w:t>
      </w:r>
      <w:r>
        <w:rPr/>
        <w:t xml:space="preserve"> individuals </w:t>
      </w:r>
      <w:r>
        <w:rPr/>
        <w:t xml:space="preserve">in </w:t>
      </w:r>
      <w:r>
        <w:rPr/>
        <w:t>mostly submerged rearing postures.</w:t>
      </w:r>
    </w:p>
    <w:p>
      <w:pPr>
        <w:pStyle w:val="BodyText"/>
        <w:rPr/>
      </w:pPr>
      <w:r>
        <w:rPr/>
        <w:t xml:space="preserve">Scientific support for the plausibility of rearing </w:t>
      </w:r>
      <w:r>
        <w:rPr/>
        <w:t>go</w:t>
      </w:r>
      <w:r>
        <w:rPr/>
        <w:t>es</w:t>
      </w:r>
      <w:r>
        <w:rPr/>
        <w:t xml:space="preserve">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t>
      </w:r>
      <w:r>
        <w:rPr/>
        <w:t xml:space="preserve">“We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w:t>
      </w:r>
      <w:r>
        <w:rPr/>
        <w:t>reproduced in</w:t>
      </w:r>
      <w:r>
        <w:rPr/>
        <w:t xml:space="preserve">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w:t>
      </w:r>
      <w:r>
        <w:rPr/>
        <w:t>(</w:t>
      </w:r>
      <w:r>
        <w:rPr/>
        <w:t xml:space="preserve">1977:51) </w:t>
      </w:r>
      <w:r>
        <w:rPr/>
        <w:t>proposed</w:t>
      </w:r>
      <w:r>
        <w:rPr/>
        <w:t xml:space="preserve"> </w:t>
      </w:r>
      <w:r>
        <w:rPr/>
        <w:t xml:space="preserve">that the robust titanosaur </w:t>
      </w:r>
      <w:r>
        <w:rPr>
          <w:i/>
          <w:iCs/>
        </w:rPr>
        <w:t>Opisthocoelicaudia</w:t>
      </w:r>
      <w:r>
        <w:rPr/>
        <w:t xml:space="preserve"> </w:t>
      </w:r>
      <w:r>
        <w:rPr/>
        <w:t>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In a landmark paper on dinosaur biomechanics, R. McNeill Alexander (1985:</w:t>
      </w:r>
      <w:r>
        <w:rPr/>
        <w:t xml:space="preserve">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Bakker </w:t>
      </w:r>
      <w:r>
        <w:rPr/>
        <w:t>(</w:t>
      </w:r>
      <w:r>
        <w:rPr/>
        <w:t xml:space="preserve">1986:190–192) </w:t>
      </w:r>
      <w:r>
        <w:rPr/>
        <w:t>reiterated and expanded his own argument that d</w:t>
      </w:r>
      <w:r>
        <w:rPr/>
        <w:t xml:space="preserve">iplodocids, including </w:t>
      </w:r>
      <w:r>
        <w:rPr>
          <w:i/>
          <w:iCs/>
          <w:u w:val="none"/>
        </w:rPr>
        <w:t>Barosaurus</w:t>
      </w:r>
      <w:r>
        <w:rPr/>
        <w:t xml:space="preserve"> itself, </w:t>
      </w:r>
      <w:r>
        <w:rPr/>
        <w:t>not only could rear but habitually did so when feeding.</w:t>
      </w:r>
    </w:p>
    <w:p>
      <w:pPr>
        <w:pStyle w:val="BodyText"/>
        <w:rPr/>
      </w:pPr>
      <w:r>
        <w:rPr>
          <w:i w:val="false"/>
          <w:iCs w:val="false"/>
        </w:rPr>
        <w:t xml:space="preserve">XXX </w:t>
      </w:r>
      <w:r>
        <w:rPr>
          <w:i/>
          <w:iCs/>
        </w:rPr>
        <w:t>Cathetosaurus</w:t>
      </w:r>
      <w:r>
        <w:rPr/>
        <w:t xml:space="preserve"> (Jensen 1988:124–128)</w:t>
      </w:r>
    </w:p>
    <w:p>
      <w:pPr>
        <w:pStyle w:val="BodyText"/>
        <w:rPr/>
      </w:pPr>
      <w:r>
        <w:rPr/>
        <w:t>XXX Baromount</w:t>
      </w:r>
    </w:p>
    <w:p>
      <w:pPr>
        <w:pStyle w:val="BodyText"/>
        <w:rPr/>
      </w:pPr>
      <w:r>
        <w:rPr/>
        <w:t>XXX Jurassic Park 1993</w:t>
      </w:r>
    </w:p>
    <w:p>
      <w:pPr>
        <w:pStyle w:val="BodyText"/>
        <w:rPr/>
      </w:pPr>
      <w:r>
        <w:rPr/>
        <w:t>XXX WWD 1999</w:t>
      </w:r>
    </w:p>
    <w:p>
      <w:pPr>
        <w:pStyle w:val="BodyText"/>
        <w:rPr/>
      </w:pPr>
      <w:r>
        <w:rPr/>
        <w:t>XXX I</w:t>
      </w:r>
      <w:r>
        <w:rPr/>
        <w:t xml:space="preserve">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BodyText"/>
        <w:rPr/>
      </w:pPr>
      <w:r>
        <w:rPr/>
        <w:t xml:space="preserve">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and to John Gurche for permission to reproduce his life restoration of the rearing </w:t>
      </w:r>
      <w:r>
        <w:rPr>
          <w:i/>
          <w:iCs/>
        </w:rPr>
        <w:t>Barosaurus</w:t>
      </w:r>
      <w:r>
        <w:rPr/>
        <w:t xml:space="preserve">.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4"/>
        </w:numPr>
        <w:ind w:hanging="0" w:left="0" w:right="0"/>
        <w:rPr/>
      </w:pPr>
      <w:bookmarkStart w:id="26" w:name="__RefHeading___Toc3405_68767826"/>
      <w:bookmarkEnd w:id="26"/>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6">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ins w:id="60" w:author="Mike Taylor" w:date="2024-08-30T20:52:51Z"/>
        </w:rPr>
      </w:pPr>
      <w:ins w:id="51" w:author="Mike Taylor" w:date="2024-08-30T20:52:51Z">
        <w:r>
          <w:rPr/>
          <w:t xml:space="preserve">Coombs, W. 1975. Sauropod </w:t>
        </w:r>
      </w:ins>
      <w:ins w:id="52" w:author="Mike Taylor" w:date="2024-08-30T20:52:51Z">
        <w:r>
          <w:rPr/>
          <w:t>h</w:t>
        </w:r>
      </w:ins>
      <w:ins w:id="53" w:author="Mike Taylor" w:date="2024-08-30T20:52:51Z">
        <w:r>
          <w:rPr/>
          <w:t xml:space="preserve">abits and </w:t>
        </w:r>
      </w:ins>
      <w:ins w:id="54" w:author="Mike Taylor" w:date="2024-08-30T20:52:51Z">
        <w:r>
          <w:rPr/>
          <w:t>h</w:t>
        </w:r>
      </w:ins>
      <w:ins w:id="55" w:author="Mike Taylor" w:date="2024-08-30T20:52:51Z">
        <w:r>
          <w:rPr/>
          <w:t xml:space="preserve">abitats. </w:t>
        </w:r>
      </w:ins>
      <w:ins w:id="56" w:author="Mike Taylor" w:date="2024-08-30T20:52:51Z">
        <w:r>
          <w:rPr>
            <w:i/>
            <w:iCs/>
          </w:rPr>
          <w:t>Palaeogeography, Palaeoclimatology, Palaeoecology</w:t>
        </w:r>
      </w:ins>
      <w:ins w:id="57" w:author="Mike Taylor" w:date="2024-08-30T20:52:51Z">
        <w:r>
          <w:rPr/>
          <w:t xml:space="preserve"> </w:t>
        </w:r>
      </w:ins>
      <w:ins w:id="58" w:author="Mike Taylor" w:date="2024-08-30T20:52:51Z">
        <w:r>
          <w:rPr>
            <w:b/>
            <w:bCs/>
          </w:rPr>
          <w:t>17</w:t>
        </w:r>
      </w:ins>
      <w:ins w:id="59" w:author="Mike Taylor" w:date="2024-08-30T20:52:51Z">
        <w:r>
          <w:rPr/>
          <w:t>:1-33. doi:10.1016/0031-0182(75)90027-9</w:t>
        </w:r>
      </w:ins>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ins w:id="61" w:author="Mike Taylor" w:date="2024-08-30T20:54:31Z"/>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ins w:id="67" w:author="Mike Taylor" w:date="2024-08-30T20:56:57Z"/>
        </w:rPr>
      </w:pPr>
      <w:ins w:id="62" w:author="Mike Taylor" w:date="2024-08-30T20:56:57Z">
        <w:r>
          <w:rPr/>
          <w:t xml:space="preserve">Kermack, Kenneth A. 1951. A note on the habits of sauropods. </w:t>
        </w:r>
      </w:ins>
      <w:ins w:id="63" w:author="Mike Taylor" w:date="2024-08-30T20:56:57Z">
        <w:r>
          <w:rPr>
            <w:i/>
            <w:iCs/>
          </w:rPr>
          <w:t>Annals and Magazine of Natural History</w:t>
        </w:r>
      </w:ins>
      <w:ins w:id="64" w:author="Mike Taylor" w:date="2024-08-30T20:56:57Z">
        <w:r>
          <w:rPr/>
          <w:t xml:space="preserve">, series 12, </w:t>
        </w:r>
      </w:ins>
      <w:ins w:id="65" w:author="Mike Taylor" w:date="2024-08-30T20:56:57Z">
        <w:r>
          <w:rPr>
            <w:b/>
            <w:bCs/>
          </w:rPr>
          <w:t>4</w:t>
        </w:r>
      </w:ins>
      <w:ins w:id="66" w:author="Mike Taylor" w:date="2024-08-30T20:56:57Z">
        <w:r>
          <w:rPr/>
          <w:t>:830–832. doi:10.1080/00222935108654213</w:t>
        </w:r>
      </w:ins>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Taylor, Michael P., Matthew C. Lamanna, Amy Henrici, Linsly Church and Ilja Nieuwland. In prep</w:t>
      </w:r>
      <w:del w:id="68" w:author="Mike Taylor" w:date="2024-08-29T23:23:11Z">
        <w:r>
          <w:rPr/>
          <w:delText>, a</w:delText>
        </w:r>
      </w:del>
      <w:r>
        <w:rPr/>
        <w:t xml:space="preserve">. The history and composition of the Carnegie </w:t>
      </w:r>
      <w:r>
        <w:rPr>
          <w:i/>
          <w:iCs/>
        </w:rPr>
        <w:t>Diplodocus</w:t>
      </w:r>
      <w:r>
        <w:rPr/>
        <w:t xml:space="preserve">. </w:t>
      </w:r>
      <w:r>
        <w:rPr>
          <w:highlight w:val="yellow"/>
        </w:rPr>
        <w:t>XXX replace with reference to preprint when available.</w:t>
      </w:r>
    </w:p>
    <w:p>
      <w:pPr>
        <w:pStyle w:val="Reference"/>
        <w:rPr>
          <w:highlight w:val="yellow"/>
        </w:rPr>
      </w:pPr>
      <w:r>
        <w:rPr/>
        <w:t xml:space="preserve">Taylor, Michael P., Steven Sroka and Kenneth Carpenter. </w:t>
      </w:r>
      <w:del w:id="69" w:author="Mike Taylor" w:date="2024-08-29T23:22:04Z">
        <w:r>
          <w:rPr/>
          <w:delText>In prep, b</w:delText>
        </w:r>
      </w:del>
      <w:ins w:id="70" w:author="Mike Taylor" w:date="2024-08-29T23:22:04Z">
        <w:r>
          <w:rPr/>
          <w:t>2023</w:t>
        </w:r>
      </w:ins>
      <w:r>
        <w:rPr/>
        <w:t xml:space="preserve">. The concrete </w:t>
      </w:r>
      <w:r>
        <w:rPr>
          <w:i/>
          <w:iCs/>
        </w:rPr>
        <w:t>Diplodocus</w:t>
      </w:r>
      <w:r>
        <w:rPr/>
        <w:t xml:space="preserve"> of Vernal</w:t>
      </w:r>
      <w:ins w:id="71" w:author="Mike Taylor" w:date="2024-08-29T23:22:11Z">
        <w:r>
          <w:rPr/>
          <w:t xml:space="preserve">:  — a Cultural Icon of Utah. </w:t>
        </w:r>
      </w:ins>
      <w:ins w:id="72" w:author="Mike Taylor" w:date="2024-08-29T23:22:11Z">
        <w:r>
          <w:rPr>
            <w:i/>
            <w:iCs/>
          </w:rPr>
          <w:t>Geology of the Intermountain West</w:t>
        </w:r>
      </w:ins>
      <w:ins w:id="73" w:author="Mike Taylor" w:date="2024-08-29T23:22:11Z">
        <w:r>
          <w:rPr/>
          <w:t xml:space="preserve"> </w:t>
        </w:r>
      </w:ins>
      <w:ins w:id="74" w:author="Mike Taylor" w:date="2024-08-29T23:22:11Z">
        <w:r>
          <w:rPr>
            <w:b/>
            <w:bCs/>
          </w:rPr>
          <w:t>10</w:t>
        </w:r>
      </w:ins>
      <w:ins w:id="75" w:author="Mike Taylor" w:date="2024-08-29T23:22:11Z">
        <w:r>
          <w:rPr/>
          <w:t>:65-91. doi: 10.31711/giw.v10.pp65-91</w:t>
        </w:r>
      </w:ins>
      <w:r>
        <w:rPr/>
        <w:t>.</w:t>
      </w:r>
      <w:del w:id="76" w:author="Mike Taylor" w:date="2024-08-29T23:22:46Z">
        <w:r>
          <w:rPr/>
          <w:delText xml:space="preserve"> </w:delText>
        </w:r>
      </w:del>
      <w:del w:id="77" w:author="Mike Taylor" w:date="2024-08-29T23:22:46Z">
        <w:r>
          <w:rPr>
            <w:highlight w:val="yellow"/>
          </w:rPr>
          <w:delText>XXX Mike, update this reference to a preprint.</w:delText>
        </w:r>
      </w:del>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9">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babel.hathitrust.org/cgi/pt?id=coo.31924080776994" TargetMode="External"/><Relationship Id="rId7" Type="http://schemas.openxmlformats.org/officeDocument/2006/relationships/hyperlink" Target="http://hdl.handle.net/2246/649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18990</TotalTime>
  <Application>LibreOffice/24.2.2.2$MacOSX_X86_64 LibreOffice_project/d56cc158d8a96260b836f100ef4b4ef25d6f1a01</Application>
  <AppVersion>15.0000</AppVersion>
  <Pages>21</Pages>
  <Words>10577</Words>
  <Characters>55672</Characters>
  <CharactersWithSpaces>65958</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2024-08-31T00:34:15Z</dcterms:modified>
  <cp:revision>359</cp:revision>
  <dc:subject/>
  <dc:title/>
</cp:coreProperties>
</file>

<file path=docProps/custom.xml><?xml version="1.0" encoding="utf-8"?>
<Properties xmlns="http://schemas.openxmlformats.org/officeDocument/2006/custom-properties" xmlns:vt="http://schemas.openxmlformats.org/officeDocument/2006/docPropsVTypes"/>
</file>