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Internet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w:t>
      </w:r>
      <w:r>
        <w:rPr>
          <w:i w:val="false"/>
          <w:iCs w:val="false"/>
        </w:rPr>
        <w:t>onnecticut</w:t>
      </w:r>
      <w:r>
        <w:rPr>
          <w:i w:val="false"/>
          <w:iCs w:val="false"/>
        </w:rPr>
        <w:t>, USA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XXX to follow. </w:t>
      </w:r>
      <w:r>
        <w:rPr>
          <w:i w:val="false"/>
          <w:iCs w:val="false"/>
        </w:rPr>
        <w:t>M</w:t>
      </w:r>
      <w:r>
        <w:rPr>
          <w:i w:val="false"/>
          <w:iCs w:val="false"/>
        </w:rPr>
        <w:t>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1" w:name="__RefHeading___Toc1018_1496310381"/>
      <w:bookmarkEnd w:id="1"/>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3" w:name="__RefHeading___Toc5349_68767826"/>
      <w:bookmarkEnd w:id="3"/>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w:t>
      </w:r>
      <w:r>
        <w:rPr/>
        <w:t>8</w:t>
      </w:r>
      <w:r>
        <w:rPr/>
        <w:t xml:space="preserve">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t>
      </w:r>
      <w:r>
        <w:rPr/>
        <w:t xml:space="preserve">words </w:t>
      </w:r>
      <w:r>
        <w:rPr/>
        <w:t xml:space="preserve">in length, is largely uninformative. </w:t>
      </w:r>
      <w:r>
        <w:rPr/>
        <w:t>Subsequently</w:t>
      </w:r>
      <w:r>
        <w:rPr/>
        <w:t xml:space="preserve">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TextBody"/>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w:t>
      </w:r>
      <w:r>
        <w:rPr/>
        <w:t>AMNH</w:t>
      </w:r>
      <w:r>
        <w:rPr/>
        <w:t xml:space="preserve">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w:t>
      </w:r>
      <w:r>
        <w:rPr/>
        <w:t>it</w:t>
      </w:r>
      <w:r>
        <w:rPr/>
        <w:t xml:space="preserve">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w:t>
      </w:r>
      <w:r>
        <w:rPr/>
        <w:t xml:space="preserve">Memorial </w:t>
      </w:r>
      <w:r>
        <w:rPr/>
        <w:t xml:space="preserve">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w:t>
      </w:r>
      <w:r>
        <w:rPr/>
        <w:t xml:space="preserve">Memorial </w:t>
      </w:r>
      <w:r>
        <w:rPr/>
        <w:t xml:space="preserve">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through work done in his spare time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t>
      </w:r>
      <w:r>
        <w:rPr/>
        <w:t>was to</w:t>
      </w:r>
      <w:r>
        <w:rPr/>
        <w:t xml:space="preserve">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r>
        <w:rPr>
          <w:i w:val="false"/>
          <w:iCs w:val="false"/>
        </w:rPr>
        <w:t>The purpose of the mount</w:t>
      </w:r>
    </w:p>
    <w:p>
      <w:pPr>
        <w:pStyle w:val="TextBody"/>
        <w:rPr/>
      </w:pPr>
      <w:r>
        <w:rPr>
          <w:i w:val="false"/>
          <w:iCs w:val="false"/>
        </w:rPr>
        <w:t>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9" w:name="__RefHeading___Toc18297_68767826"/>
      <w:bookmarkEnd w:id="9"/>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w:t>
      </w:r>
      <w:r>
        <w:rPr/>
        <w:t>a</w:t>
      </w:r>
      <w:r>
        <w:rPr/>
        <w:t xml:space="preserv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w:t>
      </w:r>
      <w:r>
        <w:rPr/>
        <w:t>and</w:t>
      </w:r>
      <w:r>
        <w:rPr/>
        <w:t xml:space="preserve"> Jack McIntosh, who had been brought in as a consultant to ensure that the bones were articulated correctly in the mount. Also present were photographers including National Geographic’s Louie </w:t>
      </w:r>
      <w:bookmarkStart w:id="10" w:name="__DdeLink__20117_68767826"/>
      <w:r>
        <w:rPr/>
        <w:t>Psihoyos</w:t>
      </w:r>
      <w:bookmarkEnd w:id="10"/>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w:t>
      </w:r>
      <w:r>
        <w:rPr/>
        <w:t xml:space="preserve">Formation (then the </w:t>
      </w:r>
      <w:r>
        <w:rPr/>
        <w:t>Tullock Formation</w:t>
      </w:r>
      <w:r>
        <w:rPr/>
        <w:t>)</w:t>
      </w:r>
      <w:r>
        <w:rPr/>
        <w:t xml:space="preserve">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t>(Gordy 1991, Collins 1991)</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7"/>
        </w:numPr>
        <w:ind w:left="0" w:right="0" w:hanging="0"/>
        <w:rPr/>
      </w:pPr>
      <w:bookmarkStart w:id="13" w:name="__RefHeading___Toc16585_68767826"/>
      <w:bookmarkEnd w:id="13"/>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4" w:name="__DdeLink__31298_802501007"/>
      <w:r>
        <w:rPr/>
        <w:t>six partial ribs, of which one is the first or possibly second on the left side, and another is probably its counterpart</w:t>
      </w:r>
      <w:bookmarkEnd w:id="14"/>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8"/>
        </w:numPr>
        <w:ind w:left="0" w:right="0" w:hanging="0"/>
        <w:rPr/>
      </w:pPr>
      <w:bookmarkStart w:id="15" w:name="__RefHeading___Toc16587_68767826"/>
      <w:bookmarkEnd w:id="15"/>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6" w:name="__RefHeading___Toc16589_68767826"/>
      <w:bookmarkEnd w:id="16"/>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7" w:name="__RefHeading___Toc2466_2187837281"/>
      <w:bookmarkEnd w:id="17"/>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8" w:name="__RefHeading___Toc2468_2187837281"/>
      <w:bookmarkEnd w:id="18"/>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9" w:name="__RefHeading___Toc2470_2187837281"/>
      <w:bookmarkEnd w:id="19"/>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20" w:name="__RefHeading___Toc2472_2187837281"/>
      <w:bookmarkEnd w:id="20"/>
      <w:r>
        <w:rPr/>
        <w:t>Hindlimbs and girdles</w:t>
      </w:r>
    </w:p>
    <w:p>
      <w:pPr>
        <w:pStyle w:val="TextBody"/>
        <w:rPr/>
      </w:pPr>
      <w:r>
        <w:rPr/>
        <w:t>XXX</w:t>
      </w:r>
    </w:p>
    <w:p>
      <w:pPr>
        <w:pStyle w:val="Heading1"/>
        <w:numPr>
          <w:ilvl w:val="0"/>
          <w:numId w:val="4"/>
        </w:numPr>
        <w:ind w:left="0" w:right="0" w:hanging="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3" w:name="__RefHeading___Toc21934_68767826"/>
      <w:bookmarkEnd w:id="23"/>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4" w:name="__RefHeading___Toc3403_68767826"/>
      <w:bookmarkEnd w:id="24"/>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w:t>
      </w:r>
      <w:r>
        <w:rPr/>
        <w:t xml:space="preserve">and to John Gurche for permission to reproduce his life restoration of the rearing </w:t>
      </w:r>
      <w:r>
        <w:rPr>
          <w:i/>
          <w:iCs/>
        </w:rPr>
        <w:t>Barosaurus</w:t>
      </w:r>
      <w:r>
        <w:rPr/>
        <w:t xml:space="preserve">. </w:t>
      </w:r>
      <w:r>
        <w:rPr/>
        <w:t xml:space="preserve">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w:t>
      </w:r>
      <w:r>
        <w:rPr/>
        <w:t>for us both the 1939 p</w:t>
      </w:r>
      <w:r>
        <w:rPr/>
        <w:t xml:space="preserve">ublic gallery exhibit panel </w:t>
      </w:r>
      <w:r>
        <w:rPr/>
        <w:t xml:space="preserve">(Figure G) and the </w:t>
      </w:r>
      <w:r>
        <w:rPr/>
        <w:t xml:space="preserve">prototype model </w:t>
      </w:r>
      <w:r>
        <w:rPr/>
        <w:t>(Figure H)</w:t>
      </w:r>
      <w:r>
        <w:rPr/>
        <w:t xml:space="preserve">, having had </w:t>
      </w:r>
      <w:r>
        <w:rPr/>
        <w:t>the model</w:t>
      </w:r>
      <w:r>
        <w:rPr/>
        <w:t xml:space="preserve"> repaired. </w:t>
      </w:r>
      <w:r>
        <w:rPr/>
        <w:t xml:space="preserve">Photography of the model was courtesy of the AMNH Main Archives. Melissa Posen, Dingus’s administrative assistant on </w:t>
      </w:r>
      <w:r>
        <w:rPr/>
        <w:t xml:space="preserve">the </w:t>
      </w:r>
      <w:r>
        <w:rPr>
          <w:i/>
          <w:iCs/>
        </w:rPr>
        <w:t>Barosaurus</w:t>
      </w:r>
      <w:r>
        <w:rPr/>
        <w:t xml:space="preserve"> project</w:t>
      </w:r>
      <w:r>
        <w:rPr/>
        <w:t>, took most of the photo</w:t>
      </w:r>
      <w:r>
        <w:rPr/>
        <w:t>graph</w:t>
      </w:r>
      <w:r>
        <w:rPr/>
        <w:t>s of the initial assembly in Toronto.</w:t>
      </w:r>
    </w:p>
    <w:p>
      <w:pPr>
        <w:pStyle w:val="Heading1"/>
        <w:numPr>
          <w:ilvl w:val="0"/>
          <w:numId w:val="4"/>
        </w:numPr>
        <w:ind w:left="0" w:right="0" w:hanging="0"/>
        <w:rPr/>
      </w:pPr>
      <w:bookmarkStart w:id="25" w:name="__RefHeading___Toc3405_68767826"/>
      <w:bookmarkEnd w:id="25"/>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6" w:name="__DdeLink__2788_55120580"/>
      <w:r>
        <w:rPr>
          <w:i/>
          <w:iCs/>
        </w:rPr>
        <w:t>Proceedings of the United States National Museum</w:t>
      </w:r>
      <w:bookmarkEnd w:id="26"/>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page 147A.</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8" w:name="__RefHeading___Toc3407_68767826"/>
      <w:bookmarkEnd w:id="2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i w:val="false"/>
      <w:iCs w:val="false"/>
    </w:rPr>
  </w:style>
  <w:style w:type="character" w:styleId="ListLabel58">
    <w:name w:val="ListLabel 58"/>
    <w:qFormat/>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i w:val="false"/>
      <w:iCs w:val="false"/>
    </w:rPr>
  </w:style>
  <w:style w:type="character" w:styleId="ListLabel87">
    <w:name w:val="ListLabel 8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18494</TotalTime>
  <Application>LibreOffice/6.1.3.2$MacOSX_X86_64 LibreOffice_project/86daf60bf00efa86ad547e59e09d6bb77c699acb</Application>
  <Pages>19</Pages>
  <Words>9462</Words>
  <Characters>49460</Characters>
  <CharactersWithSpaces>58653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2022-10-05T21:47:42Z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