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Internet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InternetLink"/>
            <w:i w:val="false"/>
            <w:iCs w:val="false"/>
          </w:rPr>
          <w:t>dinglowell@gmail.com</w:t>
        </w:r>
      </w:hyperlink>
    </w:p>
    <w:p>
      <w:pPr>
        <w:pStyle w:val="Author"/>
        <w:rPr/>
      </w:pPr>
      <w:r>
        <w:rPr>
          <w:b/>
          <w:bCs/>
          <w:i w:val="false"/>
          <w:iCs w:val="false"/>
        </w:rPr>
        <w:t>Eugene S. Gaffney</w:t>
      </w:r>
      <w:r>
        <w:rPr>
          <w:i w:val="false"/>
          <w:iCs w:val="false"/>
        </w:rPr>
        <w:t xml:space="preserve">. Division of Paleontology, American Museum of Natural History, New York, New York, USA. </w:t>
      </w:r>
      <w:hyperlink r:id="rId5">
        <w:r>
          <w:rPr>
            <w:rStyle w:val="InternetLink"/>
            <w:i w:val="false"/>
            <w:iCs w:val="false"/>
          </w:rPr>
          <w:t>genegaffney373@comcast.net</w:t>
        </w:r>
      </w:hyperlink>
    </w:p>
    <w:p>
      <w:pPr>
        <w:pStyle w:val="Author"/>
        <w:rPr/>
      </w:pPr>
      <w:r>
        <w:rPr>
          <w:b/>
          <w:bCs/>
          <w:i w:val="false"/>
          <w:iCs w:val="false"/>
        </w:rPr>
        <w:t>John S. McIntosh</w:t>
      </w:r>
      <w:r>
        <w:rPr>
          <w:rFonts w:eastAsia="Baskerville" w:cs="Baskerville"/>
          <w:i w:val="false"/>
          <w:iCs w:val="false"/>
        </w:rPr>
        <w:t>†</w:t>
      </w:r>
      <w:r>
        <w:rPr>
          <w:i w:val="false"/>
          <w:iCs w:val="false"/>
        </w:rPr>
        <w:t xml:space="preserve"> (deceased, December 13, 2015).</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21931_68767826">
        <w:r>
          <w:rPr>
            <w:rStyle w:val="IndexLink"/>
          </w:rPr>
          <w:t>Introduction</w:t>
          <w:tab/>
          <w:t>2</w:t>
        </w:r>
      </w:hyperlink>
    </w:p>
    <w:p>
      <w:pPr>
        <w:pStyle w:val="Contents2"/>
        <w:tabs>
          <w:tab w:val="clear" w:pos="9355"/>
          <w:tab w:val="right" w:pos="9638" w:leader="dot"/>
        </w:tabs>
        <w:rPr/>
      </w:pPr>
      <w:hyperlink w:anchor="__RefHeading___Toc3323_2187837281">
        <w:r>
          <w:rPr>
            <w:rStyle w:val="IndexLink"/>
          </w:rPr>
          <w:t>Anatomical 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2"/>
        <w:tabs>
          <w:tab w:val="clear" w:pos="9355"/>
          <w:tab w:val="right" w:pos="9638"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Contents2"/>
        <w:tabs>
          <w:tab w:val="clear" w:pos="9355"/>
          <w:tab w:val="right" w:pos="9638"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Contents1"/>
        <w:tabs>
          <w:tab w:val="right" w:pos="9638" w:leader="dot"/>
        </w:tabs>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Contents2"/>
        <w:tabs>
          <w:tab w:val="clear" w:pos="9355"/>
          <w:tab w:val="right" w:pos="9638" w:leader="dot"/>
        </w:tabs>
        <w:rPr/>
      </w:pPr>
      <w:hyperlink w:anchor="__RefHeading___Toc5354_68767826">
        <w:r>
          <w:rPr>
            <w:rStyle w:val="IndexLink"/>
          </w:rPr>
          <w:t>The conception of the mount</w:t>
          <w:tab/>
          <w:t>5</w:t>
        </w:r>
      </w:hyperlink>
    </w:p>
    <w:p>
      <w:pPr>
        <w:pStyle w:val="Contents2"/>
        <w:tabs>
          <w:tab w:val="clear" w:pos="9355"/>
          <w:tab w:val="right" w:pos="9638" w:leader="dot"/>
        </w:tabs>
        <w:rPr/>
      </w:pPr>
      <w:hyperlink w:anchor="__RefHeading___Toc18297_68767826">
        <w:r>
          <w:rPr>
            <w:rStyle w:val="IndexLink"/>
          </w:rPr>
          <w:t>The creation of the mount</w:t>
          <w:tab/>
          <w:t>6</w:t>
        </w:r>
      </w:hyperlink>
    </w:p>
    <w:p>
      <w:pPr>
        <w:pStyle w:val="Contents2"/>
        <w:tabs>
          <w:tab w:val="clear" w:pos="9355"/>
          <w:tab w:val="right" w:pos="9638" w:leader="dot"/>
        </w:tabs>
        <w:rPr/>
      </w:pPr>
      <w:hyperlink w:anchor="__RefHeading___Toc5356_68767826">
        <w:r>
          <w:rPr>
            <w:rStyle w:val="IndexLink"/>
          </w:rPr>
          <w:t>The composition of the mount</w:t>
          <w:tab/>
          <w:t>8</w:t>
        </w:r>
      </w:hyperlink>
    </w:p>
    <w:p>
      <w:pPr>
        <w:pStyle w:val="Contents3"/>
        <w:tabs>
          <w:tab w:val="clear" w:pos="9072"/>
          <w:tab w:val="right" w:pos="9638" w:leader="dot"/>
        </w:tabs>
        <w:rPr/>
      </w:pPr>
      <w:hyperlink w:anchor="__RefHeading___Toc16585_68767826">
        <w:r>
          <w:rPr>
            <w:rStyle w:val="IndexLink"/>
          </w:rPr>
          <w:t>Overview</w:t>
          <w:tab/>
          <w:t>8</w:t>
        </w:r>
      </w:hyperlink>
    </w:p>
    <w:p>
      <w:pPr>
        <w:pStyle w:val="Contents3"/>
        <w:tabs>
          <w:tab w:val="clear" w:pos="9072"/>
          <w:tab w:val="right" w:pos="9638" w:leader="dot"/>
        </w:tabs>
        <w:rPr/>
      </w:pPr>
      <w:hyperlink w:anchor="__RefHeading___Toc16587_68767826">
        <w:r>
          <w:rPr>
            <w:rStyle w:val="IndexLink"/>
          </w:rPr>
          <w:t>Skull</w:t>
          <w:tab/>
          <w:t>10</w:t>
        </w:r>
      </w:hyperlink>
    </w:p>
    <w:p>
      <w:pPr>
        <w:pStyle w:val="Contents3"/>
        <w:tabs>
          <w:tab w:val="clear" w:pos="9072"/>
          <w:tab w:val="right" w:pos="9638" w:leader="dot"/>
        </w:tabs>
        <w:rPr/>
      </w:pPr>
      <w:hyperlink w:anchor="__RefHeading___Toc16589_68767826">
        <w:r>
          <w:rPr>
            <w:rStyle w:val="IndexLink"/>
          </w:rPr>
          <w:t>Neck</w:t>
          <w:tab/>
          <w:t>10</w:t>
        </w:r>
      </w:hyperlink>
    </w:p>
    <w:p>
      <w:pPr>
        <w:pStyle w:val="Contents3"/>
        <w:tabs>
          <w:tab w:val="clear" w:pos="9072"/>
          <w:tab w:val="right" w:pos="9638" w:leader="dot"/>
        </w:tabs>
        <w:rPr/>
      </w:pPr>
      <w:hyperlink w:anchor="__RefHeading___Toc2466_2187837281">
        <w:r>
          <w:rPr>
            <w:rStyle w:val="IndexLink"/>
          </w:rPr>
          <w:t>Torso and sacrum</w:t>
          <w:tab/>
          <w:t>11</w:t>
        </w:r>
      </w:hyperlink>
    </w:p>
    <w:p>
      <w:pPr>
        <w:pStyle w:val="Contents3"/>
        <w:tabs>
          <w:tab w:val="clear" w:pos="9072"/>
          <w:tab w:val="right" w:pos="9638" w:leader="dot"/>
        </w:tabs>
        <w:rPr/>
      </w:pPr>
      <w:hyperlink w:anchor="__RefHeading___Toc2468_2187837281">
        <w:r>
          <w:rPr>
            <w:rStyle w:val="IndexLink"/>
          </w:rPr>
          <w:t>Tail</w:t>
          <w:tab/>
          <w:t>11</w:t>
        </w:r>
      </w:hyperlink>
    </w:p>
    <w:p>
      <w:pPr>
        <w:pStyle w:val="Contents3"/>
        <w:tabs>
          <w:tab w:val="clear" w:pos="9072"/>
          <w:tab w:val="right" w:pos="9638" w:leader="dot"/>
        </w:tabs>
        <w:rPr/>
      </w:pPr>
      <w:hyperlink w:anchor="__RefHeading___Toc2470_2187837281">
        <w:r>
          <w:rPr>
            <w:rStyle w:val="IndexLink"/>
          </w:rPr>
          <w:t>Forelimbs and girdles</w:t>
          <w:tab/>
          <w:t>11</w:t>
        </w:r>
      </w:hyperlink>
    </w:p>
    <w:p>
      <w:pPr>
        <w:pStyle w:val="Contents3"/>
        <w:tabs>
          <w:tab w:val="clear" w:pos="9072"/>
          <w:tab w:val="right" w:pos="9638" w:leader="dot"/>
        </w:tabs>
        <w:rPr/>
      </w:pPr>
      <w:hyperlink w:anchor="__RefHeading___Toc2472_2187837281">
        <w:r>
          <w:rPr>
            <w:rStyle w:val="IndexLink"/>
          </w:rPr>
          <w:t>Hindlimbs and girdles</w:t>
          <w:tab/>
          <w:t>11</w:t>
        </w:r>
      </w:hyperlink>
    </w:p>
    <w:p>
      <w:pPr>
        <w:pStyle w:val="Contents3"/>
        <w:tabs>
          <w:tab w:val="clear" w:pos="9072"/>
          <w:tab w:val="right" w:pos="9638" w:leader="dot"/>
        </w:tabs>
        <w:rPr/>
      </w:pPr>
      <w:hyperlink w:anchor="__RefHeading___Toc2474_2187837281">
        <w:r>
          <w:rPr>
            <w:rStyle w:val="IndexLink"/>
          </w:rPr>
          <w:t>Summary</w:t>
          <w:tab/>
          <w:t>11</w:t>
        </w:r>
      </w:hyperlink>
    </w:p>
    <w:p>
      <w:pPr>
        <w:pStyle w:val="Contents1"/>
        <w:tabs>
          <w:tab w:val="right" w:pos="9638" w:leader="dot"/>
        </w:tabs>
        <w:rPr/>
      </w:pPr>
      <w:hyperlink w:anchor="__RefHeading___Toc3401_68767826">
        <w:r>
          <w:rPr>
            <w:rStyle w:val="IndexLink"/>
          </w:rPr>
          <w:t>Discussion</w:t>
          <w:tab/>
          <w:t>11</w:t>
        </w:r>
      </w:hyperlink>
    </w:p>
    <w:p>
      <w:pPr>
        <w:pStyle w:val="Contents2"/>
        <w:tabs>
          <w:tab w:val="clear" w:pos="9355"/>
          <w:tab w:val="right" w:pos="9638" w:leader="dot"/>
        </w:tabs>
        <w:rPr/>
      </w:pPr>
      <w:hyperlink w:anchor="__RefHeading___Toc2476_2187837281">
        <w:r>
          <w:rPr>
            <w:rStyle w:val="IndexLink"/>
          </w:rPr>
          <w:t>Rearing pose</w:t>
          <w:tab/>
          <w:t>11</w:t>
        </w:r>
      </w:hyperlink>
    </w:p>
    <w:p>
      <w:pPr>
        <w:pStyle w:val="Contents2"/>
        <w:tabs>
          <w:tab w:val="clear" w:pos="9355"/>
          <w:tab w:val="right" w:pos="9638" w:leader="dot"/>
        </w:tabs>
        <w:rPr/>
      </w:pPr>
      <w:hyperlink w:anchor="__RefHeading___Toc21934_68767826">
        <w:r>
          <w:rPr>
            <w:rStyle w:val="IndexLink"/>
          </w:rPr>
          <w:t>Size of the AMNH 6341 animal</w:t>
          <w:tab/>
          <w:t>12</w:t>
        </w:r>
      </w:hyperlink>
    </w:p>
    <w:p>
      <w:pPr>
        <w:pStyle w:val="Contents1"/>
        <w:tabs>
          <w:tab w:val="right" w:pos="9638" w:leader="dot"/>
        </w:tabs>
        <w:rPr/>
      </w:pPr>
      <w:hyperlink w:anchor="__RefHeading___Toc3403_68767826">
        <w:r>
          <w:rPr>
            <w:rStyle w:val="IndexLink"/>
          </w:rPr>
          <w:t>Acknowledgements</w:t>
          <w:tab/>
          <w:t>13</w:t>
        </w:r>
      </w:hyperlink>
    </w:p>
    <w:p>
      <w:pPr>
        <w:pStyle w:val="Contents1"/>
        <w:tabs>
          <w:tab w:val="right" w:pos="9638" w:leader="dot"/>
        </w:tabs>
        <w:rPr/>
      </w:pPr>
      <w:hyperlink w:anchor="__RefHeading___Toc3405_68767826">
        <w:r>
          <w:rPr>
            <w:rStyle w:val="IndexLink"/>
          </w:rPr>
          <w:t>References</w:t>
          <w:tab/>
          <w:t>13</w:t>
        </w:r>
      </w:hyperlink>
    </w:p>
    <w:p>
      <w:pPr>
        <w:pStyle w:val="Contents1"/>
        <w:tabs>
          <w:tab w:val="right" w:pos="9638" w:leader="dot"/>
        </w:tabs>
        <w:rPr/>
      </w:pPr>
      <w:hyperlink w:anchor="__RefHeading___Toc3407_68767826">
        <w:r>
          <w:rPr>
            <w:rStyle w:val="IndexLink"/>
          </w:rPr>
          <w:t>Figure Captions</w:t>
          <w:tab/>
          <w:t>15</w:t>
        </w:r>
      </w:hyperlink>
    </w:p>
    <w:p>
      <w:pPr>
        <w:pStyle w:val="Normal"/>
        <w:numPr>
          <w:ilvl w:val="0"/>
          <w:numId w:val="3"/>
        </w:numPr>
        <w:rPr/>
      </w:pPr>
      <w:r>
        <w:rPr/>
      </w:r>
      <w:r>
        <w:rPr/>
        <w:fldChar w:fldCharType="end"/>
      </w:r>
    </w:p>
    <w:p>
      <w:pPr>
        <w:pStyle w:val="Heading1"/>
        <w:numPr>
          <w:ilvl w:val="0"/>
          <w:numId w:val="3"/>
        </w:numPr>
        <w:ind w:left="0" w:right="0" w:hanging="0"/>
        <w:rPr/>
      </w:pPr>
      <w:bookmarkStart w:id="0" w:name="__RefHeading___Toc21931_68767826"/>
      <w:bookmarkEnd w:id="0"/>
      <w:r>
        <w:rPr/>
        <w:t>Introduction</w:t>
      </w:r>
    </w:p>
    <w:p>
      <w:pPr>
        <w:pStyle w:val="TextBody"/>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rotunda of the American Museum of Natural History (Figure A).</w:t>
      </w:r>
    </w:p>
    <w:p>
      <w:pPr>
        <w:pStyle w:val="TextBody"/>
        <w:rPr/>
      </w:pPr>
      <w:r>
        <w:rPr/>
        <w:t xml:space="preserve">Although the material that the mount is based on (the partial skeleton AMNH 6341) has never been described in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which from other specimens, which sculpted, etc. We will discuss how scaling was calculated and how the pose was decided on, and discuss the controversy generated by the mount.</w:t>
      </w:r>
    </w:p>
    <w:p>
      <w:pPr>
        <w:pStyle w:val="Heading2"/>
        <w:rPr/>
      </w:pPr>
      <w:bookmarkStart w:id="1" w:name="__RefHeading___Toc3323_2187837281"/>
      <w:bookmarkEnd w:id="1"/>
      <w:r>
        <w:rPr/>
        <w:t xml:space="preserve">Anatomical </w:t>
      </w:r>
      <w:r>
        <w:rPr/>
        <w:t>n</w:t>
      </w:r>
      <w:r>
        <w:rPr/>
        <w:t>omenclature</w:t>
      </w:r>
    </w:p>
    <w:p>
      <w:pPr>
        <w:pStyle w:val="TextBody"/>
        <w:rPr/>
      </w:pPr>
      <w:r>
        <w:rPr/>
        <w:t>C</w:t>
      </w:r>
      <w:r>
        <w:rPr>
          <w:i/>
          <w:iCs/>
        </w:rPr>
        <w:t>n</w:t>
      </w:r>
      <w:r>
        <w:rPr/>
        <w:t xml:space="preserve"> indicates the </w:t>
      </w:r>
      <w:r>
        <w:rPr>
          <w:i/>
          <w:iCs/>
        </w:rPr>
        <w:t>n</w:t>
      </w:r>
      <w:r>
        <w:rPr/>
        <w:t>th cervical vertebra, Ca</w:t>
      </w:r>
      <w:r>
        <w:rPr>
          <w:i/>
          <w:iCs/>
        </w:rPr>
        <w:t>n</w:t>
      </w:r>
      <w:r>
        <w:rPr/>
        <w:t xml:space="preserve"> indicates the </w:t>
      </w:r>
      <w:r>
        <w:rPr>
          <w:i/>
          <w:iCs/>
        </w:rPr>
        <w:t>n</w:t>
      </w:r>
      <w:r>
        <w:rPr/>
        <w:t>th caudal vertebra.</w:t>
      </w:r>
    </w:p>
    <w:p>
      <w:pPr>
        <w:pStyle w:val="Heading2"/>
        <w:rPr/>
      </w:pPr>
      <w:bookmarkStart w:id="2" w:name="__RefHeading___Toc5349_68767826"/>
      <w:bookmarkEnd w:id="2"/>
      <w:r>
        <w:rPr/>
        <w:t xml:space="preserve">Institutional </w:t>
      </w:r>
      <w:r>
        <w:rPr/>
        <w:t>a</w:t>
      </w:r>
      <w:r>
        <w:rPr/>
        <w:t>bbreviations</w:t>
      </w:r>
    </w:p>
    <w:p>
      <w:pPr>
        <w:pStyle w:val="TextBody"/>
        <w:numPr>
          <w:ilvl w:val="0"/>
          <w:numId w:val="6"/>
        </w:numPr>
        <w:ind w:left="720" w:right="0" w:hanging="360"/>
        <w:rPr/>
      </w:pPr>
      <w:r>
        <w:rPr/>
        <w:t>AMNH — American Museum of Natural History, New York, New York, USA.</w:t>
      </w:r>
    </w:p>
    <w:p>
      <w:pPr>
        <w:pStyle w:val="TextBody"/>
        <w:numPr>
          <w:ilvl w:val="0"/>
          <w:numId w:val="6"/>
        </w:numPr>
        <w:ind w:left="720" w:right="0" w:hanging="360"/>
        <w:rPr/>
      </w:pPr>
      <w:r>
        <w:rPr/>
        <w:t>CM — Carnegie Museum of Natural History, Pittsburgh, Pennsylvania, USA.</w:t>
      </w:r>
    </w:p>
    <w:p>
      <w:pPr>
        <w:pStyle w:val="TextBody"/>
        <w:numPr>
          <w:ilvl w:val="0"/>
          <w:numId w:val="6"/>
        </w:numPr>
        <w:ind w:left="720" w:right="0" w:hanging="360"/>
        <w:rPr/>
      </w:pPr>
      <w:r>
        <w:rPr/>
        <w:t>HMNS — Houston Museum of Nature and Science, Houston, Texas, USA.</w:t>
      </w:r>
    </w:p>
    <w:p>
      <w:pPr>
        <w:pStyle w:val="TextBody"/>
        <w:numPr>
          <w:ilvl w:val="0"/>
          <w:numId w:val="6"/>
        </w:numPr>
        <w:ind w:left="720" w:right="0" w:hanging="360"/>
        <w:rPr/>
      </w:pPr>
      <w:r>
        <w:rPr/>
        <w:t>MB — Museum für Naturkunde Berlin, Berlin, Germany; specimen numbers for fossil reptiles take the form MB.R.</w:t>
      </w:r>
      <w:r>
        <w:rPr>
          <w:i/>
          <w:iCs/>
        </w:rPr>
        <w:t>nnnn</w:t>
      </w:r>
      <w:r>
        <w:rPr/>
        <w:t>.</w:t>
      </w:r>
    </w:p>
    <w:p>
      <w:pPr>
        <w:pStyle w:val="TextBody"/>
        <w:numPr>
          <w:ilvl w:val="0"/>
          <w:numId w:val="6"/>
        </w:numPr>
        <w:ind w:left="720" w:right="0" w:hanging="360"/>
        <w:rPr/>
      </w:pPr>
      <w:r>
        <w:rPr/>
        <w:t>USNM – United States National Museum, Washington DC, USA.</w:t>
      </w:r>
    </w:p>
    <w:p>
      <w:pPr>
        <w:pStyle w:val="TextBody"/>
        <w:numPr>
          <w:ilvl w:val="0"/>
          <w:numId w:val="6"/>
        </w:numPr>
        <w:ind w:left="720" w:right="0" w:hanging="360"/>
        <w:rPr/>
      </w:pPr>
      <w:r>
        <w:rPr/>
        <w:t>YPM — Yale Peabody Museum, New Haven, Connecticut, USA.</w:t>
      </w:r>
    </w:p>
    <w:p>
      <w:pPr>
        <w:pStyle w:val="Heading1"/>
        <w:numPr>
          <w:ilvl w:val="0"/>
          <w:numId w:val="4"/>
        </w:numPr>
        <w:ind w:left="0" w:right="0" w:hanging="0"/>
        <w:rPr/>
      </w:pPr>
      <w:bookmarkStart w:id="3" w:name="__RefHeading___Toc4316_68767826"/>
      <w:bookmarkEnd w:id="3"/>
      <w:r>
        <w:rPr/>
        <w:t>Historical background</w:t>
      </w:r>
    </w:p>
    <w:p>
      <w:pPr>
        <w:pStyle w:val="Heading2"/>
        <w:rPr/>
      </w:pPr>
      <w:bookmarkStart w:id="4" w:name="__RefHeading___Toc12350_68767826"/>
      <w:bookmarkEnd w:id="4"/>
      <w:r>
        <w:rPr/>
        <w:t xml:space="preserve">Early discoveries of </w:t>
      </w:r>
      <w:r>
        <w:rPr>
          <w:i/>
          <w:iCs/>
        </w:rPr>
        <w:t>Barosaurus</w:t>
      </w:r>
    </w:p>
    <w:p>
      <w:pPr>
        <w:pStyle w:val="TextBody"/>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1189,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TextBody"/>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TextBody"/>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in length, is largely uninformative. More happily he described the specimen in detail in a significant monograph (Lull 1919), which remained the definitive publication on </w:t>
      </w:r>
      <w:r>
        <w:rPr>
          <w:i/>
          <w:iCs/>
        </w:rPr>
        <w:t>Barosaurus</w:t>
      </w:r>
      <w:r>
        <w:rPr/>
        <w:t xml:space="preserve"> until McIntosh’s (2005) revision.</w:t>
      </w:r>
    </w:p>
    <w:p>
      <w:pPr>
        <w:pStyle w:val="TextBody"/>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is CM 11984, another partial cervical sequence consisting of C7–C15 but still not fully prepared, residing the collections of the Carnegie Museum.</w:t>
      </w:r>
    </w:p>
    <w:p>
      <w:pPr>
        <w:pStyle w:val="TextBody"/>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genus </w:t>
      </w:r>
      <w:r>
        <w:rPr>
          <w:i/>
          <w:iCs/>
        </w:rPr>
        <w:t>Tornieria</w:t>
      </w:r>
      <w:r>
        <w:rPr/>
        <w:t xml:space="preserve"> as the species </w:t>
      </w:r>
      <w:r>
        <w:rPr>
          <w:i/>
          <w:iCs/>
        </w:rPr>
        <w:t>Tornieria africana</w:t>
      </w:r>
      <w:r>
        <w:rPr/>
        <w:t>.</w:t>
      </w:r>
    </w:p>
    <w:p>
      <w:pPr>
        <w:pStyle w:val="TextBody"/>
        <w:rPr/>
      </w:pPr>
      <w:r>
        <w:rPr/>
        <w:t xml:space="preserve">The most complete and informative </w:t>
      </w:r>
      <w:r>
        <w:rPr>
          <w:i/>
          <w:iCs/>
        </w:rPr>
        <w:t>Barosaurus</w:t>
      </w:r>
      <w:r>
        <w:rPr/>
        <w:t xml:space="preserve"> specimen to date is AMNH 6341, the individual that provided most of the material for the AMNH rotunda mount. It was briefly described as part of McIntosh’s (2005) revision of the genus </w:t>
      </w:r>
      <w:r>
        <w:rPr>
          <w:i/>
          <w:iCs/>
        </w:rPr>
        <w:t>Barosaurus</w:t>
      </w:r>
      <w:r>
        <w:rPr/>
        <w:t>, but has yet to be described in detail. For the remainder of this paper, we will focus on this specimen.</w:t>
      </w:r>
    </w:p>
    <w:p>
      <w:pPr>
        <w:pStyle w:val="Heading2"/>
        <w:rPr/>
      </w:pPr>
      <w:bookmarkStart w:id="5" w:name="__RefHeading___Toc12352_68767826"/>
      <w:bookmarkEnd w:id="5"/>
      <w:r>
        <w:rPr/>
        <w:t xml:space="preserve">The AMNH specimen of </w:t>
      </w:r>
      <w:r>
        <w:rPr>
          <w:i/>
          <w:iCs/>
        </w:rPr>
        <w:t>Barosaurus</w:t>
      </w:r>
    </w:p>
    <w:p>
      <w:pPr>
        <w:pStyle w:val="TextBody"/>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Beginning in 1922, two fine diplodocine skeletons where partially excavated from the easternmost part of the quarry (McIntosh 2005:42). One of these, designated #355 In the field, was a </w:t>
      </w:r>
      <w:r>
        <w:rPr>
          <w:i/>
          <w:iCs/>
        </w:rPr>
        <w:t>Diplodocus</w:t>
      </w:r>
      <w:r>
        <w:rPr/>
        <w:t xml:space="preserve"> that was collected by Gilmore for the National Museum of Natural History in Washington DC (USNM 10865) The other, designated #340 and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scapulocoracoid and humerus from the University of Utah specimen. This left the skeleton now spread across three institutions in Salt Lake City, Washington DC and Utah.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It was therefore not used after all in the mount of USNM 10865, which was instead completed with casts of the Carnegie </w:t>
      </w:r>
      <w:r>
        <w:rPr>
          <w:i/>
          <w:iCs/>
        </w:rPr>
        <w:t>Diplodocus</w:t>
      </w:r>
      <w:r>
        <w:rPr/>
        <w:t xml:space="preserve"> CM 82 and unveiled in 1932 (Gilmore 1932).</w:t>
      </w:r>
    </w:p>
    <w:p>
      <w:pPr>
        <w:pStyle w:val="TextBody"/>
        <w:rPr/>
      </w:pPr>
      <w:r>
        <w:rPr/>
        <w:t xml:space="preserve">In 1929, Barnum Brown, acting for the American Museum of Natural History, visited most of the nation’s major natural history museums to assess their collections. He realised that the neck, anterior torso, scapulocoracoid and 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Heading1"/>
        <w:numPr>
          <w:ilvl w:val="0"/>
          <w:numId w:val="4"/>
        </w:numPr>
        <w:ind w:left="0" w:right="0" w:hanging="0"/>
        <w:rPr/>
      </w:pPr>
      <w:bookmarkStart w:id="6" w:name="__RefHeading___Toc5351_68767826"/>
      <w:bookmarkEnd w:id="6"/>
      <w:r>
        <w:rPr/>
        <w:t xml:space="preserve">The AMNH mounted </w:t>
      </w:r>
      <w:r>
        <w:rPr>
          <w:i/>
          <w:iCs/>
        </w:rPr>
        <w:t>Barosaurus</w:t>
      </w:r>
    </w:p>
    <w:p>
      <w:pPr>
        <w:pStyle w:val="Heading2"/>
        <w:rPr/>
      </w:pPr>
      <w:bookmarkStart w:id="7" w:name="__RefHeading___Toc5354_68767826"/>
      <w:bookmarkEnd w:id="7"/>
      <w:r>
        <w:rPr/>
        <w:t>The conception of the mount</w:t>
      </w:r>
    </w:p>
    <w:p>
      <w:pPr>
        <w:pStyle w:val="TextBody"/>
        <w:rPr/>
      </w:pPr>
      <w:r>
        <w:rPr/>
        <w:t xml:space="preserve">The three parts of AMNH 6341 were reunited from their layovers in the USNM, Utah University and Carnegie Museum by 1930 or shortly thereafter. However, having acquired their </w:t>
      </w:r>
      <w:r>
        <w:rPr>
          <w:i/>
          <w:iCs/>
        </w:rPr>
        <w:t>Barosaurus</w:t>
      </w:r>
      <w:r>
        <w:rPr/>
        <w:t xml:space="preserve"> skeleton, the museum seemed at a loss to know what to do with it. It lay dormant for a decade until the presacral vertebrae were exhibited in glass cabinets alongside the mounted </w:t>
      </w:r>
      <w:r>
        <w:rPr>
          <w:i/>
          <w:iCs/>
          <w:u w:val="none"/>
        </w:rPr>
        <w:t>Apatosaurus</w:t>
      </w:r>
      <w:r>
        <w:rPr/>
        <w:t xml:space="preserve"> in the Hall of Early Dinosaurs on 17 April 1939 (Figure D.A). They remained here until the renovation supervised by Edwin H. Colbert in the early 1950s. At this point, tentative plans were made in the to mount the </w:t>
      </w:r>
      <w:r>
        <w:rPr>
          <w:i/>
          <w:iCs/>
        </w:rPr>
        <w:t>Barosaurus</w:t>
      </w:r>
      <w:r>
        <w:rPr/>
        <w:t xml:space="preserve"> skeleton in the dinosaur gallery, but it was felt that the mount would take up too much space and these plans were abandoned. Instead, the entire specimen was moved into collections. Four more decades were to pass before the skeleton (or at least a cast based on it) was finally mounted.</w:t>
      </w:r>
    </w:p>
    <w:p>
      <w:pPr>
        <w:pStyle w:val="TextBody"/>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and expanding into new spaces.</w:t>
      </w:r>
    </w:p>
    <w:p>
      <w:pPr>
        <w:pStyle w:val="TextBody"/>
        <w:rPr/>
      </w:pPr>
      <w:r>
        <w:rPr/>
        <w:t>As part of this broader initiative, paleontological staff were asked whether they had any specimens suitable for mounting not in the Roosevelt Memorial Hall that is the main entrance to the museum on Central Park West. The hall, begun in 1931 and completed in 1936 is a majestic space in its own right, but was puzzlingly empty in 1990 (see illustration in Dingus 1996:20). It was the perfect space for a truly spectacular dinosaur mount that could introduce new visitors to dinosaurs, draw them in to the main galleries, and provoke them to think about paleobiological issues.</w:t>
      </w:r>
    </w:p>
    <w:p>
      <w:pPr>
        <w:pStyle w:val="TextBody"/>
        <w:rPr/>
      </w:pPr>
      <w:r>
        <w:rPr/>
        <w:t>It occurred to Lowell Dingus, then project director of the fossil halls renovation project, that the most spectacular exhibit would be a gigantic sauropod rearing up on its hind legs. But he thought there was little change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TextBody"/>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TextBody"/>
        <w:rPr/>
      </w:pPr>
      <w:r>
        <w:rPr/>
        <w:t xml:space="preserve">Knowing nothing of Dingus’s independently arrived-at plan, Gaffney found Paul’s painting intriguing. Inspired by this artwork, he conceived for the Roosevelt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conceived essentially the same plan as himself — and both were further astonished when incoming dinosaur curator Mark Norrell also approved of the proposal, despite his own distaste for behavioural speculation about dinosaurs.</w:t>
      </w:r>
    </w:p>
    <w:p>
      <w:pPr>
        <w:pStyle w:val="TextBody"/>
        <w:rPr/>
      </w:pPr>
      <w:r>
        <w:rPr/>
        <w:t xml:space="preserve">The original suggestion, using half a dozen or more skeletal casts, was deemed impractical, in part because it would have taken up too much space even in the huge Roosevelt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TextBody"/>
        <w:rPr/>
      </w:pPr>
      <w:r>
        <w:rPr/>
        <w:t xml:space="preserve">Dr. John (Jack) S. McIntosh, a professor of theoretical physics at Wesleyan University in Connecticut, was an avocational paleontologist specialising in sauropods, and became the world’s expert on the group. Gaffney knew him from his undergraduate days and when he succeeded Colbert as curator of the AMNH fossil reptile collection in 1970, McIntosh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McIntosh would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8" w:name="__RefHeading___Toc18297_68767826"/>
      <w:bookmarkEnd w:id="8"/>
      <w:r>
        <w:rPr/>
        <w:t>The creation of the mount</w:t>
      </w:r>
    </w:p>
    <w:p>
      <w:pPr>
        <w:pStyle w:val="TextBody"/>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Rotunda display consists entirely of casts.</w:t>
      </w:r>
    </w:p>
    <w:p>
      <w:pPr>
        <w:pStyle w:val="TextBody"/>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material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were either cast from other specimens of closely related dinosaurs or sculpted.</w:t>
      </w:r>
    </w:p>
    <w:p>
      <w:pPr>
        <w:pStyle w:val="TextBody"/>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TextBody"/>
        <w:rPr/>
      </w:pPr>
      <w:r>
        <w:rPr/>
        <w:t xml:space="preserve">In the fall 1990, the RCI crew took the repaired and cleaned </w:t>
      </w:r>
      <w:r>
        <w:rPr>
          <w:i/>
          <w:iCs/>
        </w:rPr>
        <w:t>Barosaurus</w:t>
      </w:r>
      <w:r>
        <w:rPr/>
        <w:t xml:space="preserve"> fossils back from New York to Toronto in the semi-truck, where they remained for the best part of a year. There, the bones were duplicated by coating them with latex, then curing the latex to form rubber molds. These molds were then used to cast polyurethane foam into accurate replicas of the original fossils that, when painted, were indistinguishable from real bone, but which weighed only a twentieth as much as the fragile and irreplaceable originals. </w:t>
      </w:r>
      <w:r>
        <w:rPr>
          <w:highlight w:val="yellow"/>
        </w:rPr>
        <w:t>XXX Peter: Norell et al. (1991:38) says: “Those that would stand near the ground were cast in higher-density and more durable materials, while those higher up were made of lighter substances.” What substances were used?</w:t>
      </w:r>
    </w:p>
    <w:p>
      <w:pPr>
        <w:pStyle w:val="TextBody"/>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w:t>
      </w:r>
      <w:r>
        <w:rPr>
          <w:highlight w:val="yellow"/>
        </w:rPr>
        <w:t>XXX Peter, did you use left/right mirroring for those bones that were known from one side? And did you do any “repair” on the casts of the original bones?</w:t>
      </w:r>
    </w:p>
    <w:p>
      <w:pPr>
        <w:pStyle w:val="TextBody"/>
        <w:rPr/>
      </w:pPr>
      <w:r>
        <w:rPr/>
        <w:t xml:space="preserve">In spring of 1991, a test erection of the rearing </w:t>
      </w:r>
      <w:r>
        <w:rPr>
          <w:i/>
          <w:iCs/>
        </w:rPr>
        <w:t>Barosaurus</w:t>
      </w:r>
      <w:r>
        <w:rPr/>
        <w:t xml:space="preserve"> mount was carried out with the aid of a hired crane and 15 m scissor lift. This had to be done in the parking lot behind the RCI workshop, as the completed mount would be too tall to fit inside the workshop. The event was attended by a group from the AMNH, including Jack McIntosh, who had been brought in as a consultant to ensure that the bones were articulated correctly in the mount. Also present were photographers including National Geographic’s Louie </w:t>
      </w:r>
      <w:bookmarkStart w:id="9" w:name="__DdeLink__20117_68767826"/>
      <w:r>
        <w:rPr/>
        <w:t>Psihoyos</w:t>
      </w:r>
      <w:bookmarkEnd w:id="9"/>
      <w:r>
        <w:rPr/>
        <w:t xml:space="preserve">,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recalls that “the strangest thing was that the mount actually looked rather natural and graceful […] I had always been extremely skeptical about whether sauropods could rear up to such heights, but the grace of the mount almost erased my doubt”. Although the core of the project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TextBody"/>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TextBody"/>
        <w:rPr/>
      </w:pPr>
      <w:r>
        <w:rPr/>
        <w:t>In November 1991, the work in Toronto was complete, and the completed exhibit was transported to New York in sections for mounting. Unlike the trial mounting on Toronto, when the neck was attached in three sections, in New York the three sections were first joined together and then fitted as a unit. This large unit, about nine meters in length, proved difficult to manoeuvre, and it took nearly two hours to wrestle it into place to fit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contemporary photos such as that of Dingus (1996:26). It was soon corrected, however, in a near-disastrous late-night operation (Dingus 1996:28), and the line of the neck is smooth and elegant in the mount as it is today (Figure A).</w:t>
      </w:r>
    </w:p>
    <w:p>
      <w:pPr>
        <w:pStyle w:val="TextBody"/>
        <w:rPr/>
      </w:pPr>
      <w:r>
        <w:rPr/>
        <w:t xml:space="preserve">The exhibit — rearing adult and hiding juvenile </w:t>
      </w:r>
      <w:r>
        <w:rPr>
          <w:i/>
          <w:iCs/>
        </w:rPr>
        <w:t>Barosaurus</w:t>
      </w:r>
      <w:r>
        <w:rPr/>
        <w:t xml:space="preserve">, and running </w:t>
      </w:r>
      <w:r>
        <w:rPr>
          <w:i/>
          <w:iCs/>
        </w:rPr>
        <w:t>Allosaurus</w:t>
      </w:r>
      <w:r>
        <w:rPr/>
        <w:t xml:space="preserve"> — was unveiled in December 1991 </w:t>
      </w:r>
      <w:r>
        <w:rPr>
          <w:highlight w:val="yellow"/>
        </w:rPr>
        <w:t>XXX Lowell or Gene, do you remember the exact date?</w:t>
      </w:r>
      <w:r>
        <w:rPr/>
        <w:t xml:space="preserve">, and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Both of these are, at the time of writing, on exhibit in the Miriam and Ira D. Wallach Orientation Hall.</w:t>
      </w:r>
    </w:p>
    <w:p>
      <w:pPr>
        <w:pStyle w:val="TextBody"/>
        <w:rPr/>
      </w:pPr>
      <w:r>
        <w:rPr/>
        <w:t xml:space="preserve">The total budget for the mounting project was $250,000. </w:t>
      </w:r>
      <w:r>
        <w:rPr>
          <w:highlight w:val="yellow"/>
        </w:rPr>
        <w:t>XXX Peter, is this correct, and are you happy for it to be known or is it commercial-confidential?</w:t>
      </w:r>
    </w:p>
    <w:p>
      <w:pPr>
        <w:pStyle w:val="Heading2"/>
        <w:rPr/>
      </w:pPr>
      <w:bookmarkStart w:id="10" w:name="__RefHeading___Toc5356_68767826"/>
      <w:bookmarkEnd w:id="10"/>
      <w:r>
        <w:rPr/>
        <w:t>The composition of the mount</w:t>
      </w:r>
    </w:p>
    <w:p>
      <w:pPr>
        <w:pStyle w:val="Heading3"/>
        <w:numPr>
          <w:ilvl w:val="2"/>
          <w:numId w:val="8"/>
        </w:numPr>
        <w:ind w:left="0" w:right="0" w:hanging="0"/>
        <w:rPr/>
      </w:pPr>
      <w:bookmarkStart w:id="11" w:name="__RefHeading___Toc16585_68767826"/>
      <w:bookmarkEnd w:id="11"/>
      <w:r>
        <w:rPr/>
        <w:t>Overview</w:t>
      </w:r>
    </w:p>
    <w:p>
      <w:pPr>
        <w:pStyle w:val="TextBody"/>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However, they did not specify which elements were included in that missing fifth, nor which specific other skeletons the replacements were based on. A certain amount of detective work is therefore required.</w:t>
      </w:r>
    </w:p>
    <w:p>
      <w:pPr>
        <w:pStyle w:val="TextBody"/>
        <w:rPr/>
      </w:pPr>
      <w:r>
        <w:rPr/>
        <w:t xml:space="preserve">There is some evidence that the last ten cervical vertebrae (C7–16) were preserved </w:t>
      </w:r>
      <w:r>
        <w:rPr/>
        <w:t>in the specimen as first excavated</w:t>
      </w:r>
      <w:r>
        <w:rPr/>
        <w:t xml:space="preserve">: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w:t>
      </w:r>
      <w:r>
        <w:rPr/>
        <w:t xml:space="preserve">McIntosh’s unpublished 1962 notes, his published </w:t>
      </w:r>
      <w:r>
        <w:rPr/>
        <w:t xml:space="preserve">account </w:t>
      </w:r>
      <w:r>
        <w:rPr/>
        <w:t>(</w:t>
      </w:r>
      <w:r>
        <w:rPr/>
        <w:t xml:space="preserve">McIntosh 2005) and the present fossil display at the AMNH </w:t>
      </w:r>
      <w:r>
        <w:rPr/>
        <w:t xml:space="preserve">all </w:t>
      </w:r>
      <w:r>
        <w:rPr/>
        <w:t xml:space="preserve">include only nine cervical vertebrae, C8–16. Carl Mehling (pers. comm., </w:t>
      </w:r>
      <w:r>
        <w:rPr/>
        <w:t>2022</w:t>
      </w:r>
      <w:r>
        <w:rPr/>
        <w:t>)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TextBody"/>
        <w:rPr/>
      </w:pPr>
      <w:r>
        <w:rPr/>
        <w:t>McIntosh’s (2005:43) catalogue of element</w:t>
      </w:r>
      <w:r>
        <w:rPr/>
        <w:t>s</w:t>
      </w:r>
      <w:r>
        <w:rPr/>
        <w:t xml:space="preserve"> in the referred specimen AMNH 6341 </w:t>
      </w:r>
      <w:r>
        <w:rPr/>
        <w:t>is incomplete and contains multiple errors. However, by reading it in context of the more detailed descriptions of the elements later in the same paper, and with his unpublished 1962 notes on the specimen, and with observations of materials on exhibition in the past and present, it is possible to arrive at a complete list of material as follows:</w:t>
      </w:r>
    </w:p>
    <w:p>
      <w:pPr>
        <w:pStyle w:val="TextBody"/>
        <w:numPr>
          <w:ilvl w:val="0"/>
          <w:numId w:val="11"/>
        </w:numPr>
        <w:rPr/>
      </w:pPr>
      <w:r>
        <w:rPr/>
        <w:t>t</w:t>
      </w:r>
      <w:r>
        <w:rPr/>
        <w:t xml:space="preserve">he posterior part of the neck (cervicals </w:t>
      </w:r>
      <w:r>
        <w:rPr/>
        <w:t>8</w:t>
      </w:r>
      <w:r>
        <w:rPr/>
        <w:t>–16)</w:t>
      </w:r>
    </w:p>
    <w:p>
      <w:pPr>
        <w:pStyle w:val="TextBody"/>
        <w:numPr>
          <w:ilvl w:val="0"/>
          <w:numId w:val="11"/>
        </w:numPr>
        <w:rPr/>
      </w:pPr>
      <w:r>
        <w:rPr/>
        <w:t xml:space="preserve">all nine dorsal </w:t>
      </w:r>
      <w:r>
        <w:rPr/>
        <w:t>vertebrae</w:t>
      </w:r>
      <w:r>
        <w:rPr/>
        <w:t xml:space="preserve"> </w:t>
      </w:r>
      <w:r>
        <w:rPr/>
        <w:t xml:space="preserve">(dorsals </w:t>
      </w:r>
      <w:r>
        <w:rPr/>
        <w:t>1–9</w:t>
      </w:r>
      <w:r>
        <w:rPr/>
        <w:t>)</w:t>
      </w:r>
    </w:p>
    <w:p>
      <w:pPr>
        <w:pStyle w:val="TextBody"/>
        <w:numPr>
          <w:ilvl w:val="0"/>
          <w:numId w:val="11"/>
        </w:numPr>
        <w:rPr/>
      </w:pPr>
      <w:r>
        <w:rPr/>
        <w:t xml:space="preserve">the complete sacrum (sacral vertebrae </w:t>
      </w:r>
      <w:r>
        <w:rPr/>
        <w:t>1–5</w:t>
      </w:r>
      <w:r>
        <w:rPr/>
        <w:t>)</w:t>
      </w:r>
    </w:p>
    <w:p>
      <w:pPr>
        <w:pStyle w:val="TextBody"/>
        <w:numPr>
          <w:ilvl w:val="0"/>
          <w:numId w:val="11"/>
        </w:numPr>
        <w:rPr/>
      </w:pPr>
      <w:r>
        <w:rPr/>
        <w:t>the anterior part of the tail (caudals 1–29)</w:t>
      </w:r>
    </w:p>
    <w:p>
      <w:pPr>
        <w:pStyle w:val="TextBody"/>
        <w:numPr>
          <w:ilvl w:val="0"/>
          <w:numId w:val="11"/>
        </w:numPr>
        <w:rPr/>
      </w:pPr>
      <w:r>
        <w:rPr/>
        <w:t xml:space="preserve">six </w:t>
      </w:r>
      <w:r>
        <w:rPr/>
        <w:t>partial ribs</w:t>
      </w:r>
      <w:r>
        <w:rPr/>
        <w:t xml:space="preserve">, </w:t>
      </w:r>
      <w:r>
        <w:rPr/>
        <w:t>of which one is the first or possibly second on the left side, and another is probably its counterpart</w:t>
      </w:r>
    </w:p>
    <w:p>
      <w:pPr>
        <w:pStyle w:val="TextBody"/>
        <w:numPr>
          <w:ilvl w:val="0"/>
          <w:numId w:val="11"/>
        </w:numPr>
        <w:rPr/>
      </w:pPr>
      <w:r>
        <w:rPr/>
        <w:t>a single</w:t>
      </w:r>
      <w:r>
        <w:rPr/>
        <w:t xml:space="preserve"> chevron, </w:t>
      </w:r>
      <w:r>
        <w:rPr/>
        <w:t>from further back than Ca13 and likely in the region Ca22–Ca28.</w:t>
      </w:r>
    </w:p>
    <w:p>
      <w:pPr>
        <w:pStyle w:val="TextBody"/>
        <w:numPr>
          <w:ilvl w:val="0"/>
          <w:numId w:val="11"/>
        </w:numPr>
        <w:rPr/>
      </w:pPr>
      <w:r>
        <w:rPr/>
        <w:t xml:space="preserve">right (not left as in McIntosh 2005:43) </w:t>
      </w:r>
      <w:r>
        <w:rPr/>
        <w:t xml:space="preserve">scapulocoracoid, </w:t>
      </w:r>
      <w:r>
        <w:rPr/>
        <w:t xml:space="preserve">fully fused together; distal end </w:t>
      </w:r>
      <w:r>
        <w:rPr/>
        <w:t xml:space="preserve">of </w:t>
      </w:r>
      <w:r>
        <w:rPr/>
        <w:t xml:space="preserve">left </w:t>
      </w:r>
      <w:r>
        <w:rPr/>
        <w:t xml:space="preserve">scapula; </w:t>
      </w:r>
      <w:r>
        <w:rPr/>
        <w:t>left coracoid</w:t>
      </w:r>
    </w:p>
    <w:p>
      <w:pPr>
        <w:pStyle w:val="TextBody"/>
        <w:numPr>
          <w:ilvl w:val="0"/>
          <w:numId w:val="11"/>
        </w:numPr>
        <w:rPr/>
      </w:pPr>
      <w:r>
        <w:rPr/>
        <w:t xml:space="preserve">right (not left as in McIntosh 2005:43) </w:t>
      </w:r>
      <w:r>
        <w:rPr/>
        <w:t>humerus</w:t>
      </w:r>
    </w:p>
    <w:p>
      <w:pPr>
        <w:pStyle w:val="TextBody"/>
        <w:numPr>
          <w:ilvl w:val="0"/>
          <w:numId w:val="11"/>
        </w:numPr>
        <w:rPr/>
      </w:pPr>
      <w:r>
        <w:rPr/>
        <w:t xml:space="preserve">largely </w:t>
      </w:r>
      <w:r>
        <w:rPr/>
        <w:t xml:space="preserve">complete pelvis: right ilium complete except </w:t>
      </w:r>
      <w:r>
        <w:rPr/>
        <w:t xml:space="preserve">small </w:t>
      </w:r>
      <w:r>
        <w:rPr/>
        <w:t xml:space="preserve">part of the upper border; acetabular portion </w:t>
      </w:r>
      <w:r>
        <w:rPr/>
        <w:t>and “distal ends” of left ilium;</w:t>
      </w:r>
      <w:r>
        <w:rPr/>
        <w:t xml:space="preserve"> </w:t>
      </w:r>
      <w:r>
        <w:rPr/>
        <w:t>b</w:t>
      </w:r>
      <w:r>
        <w:rPr/>
        <w:t xml:space="preserve">oth pubes and ischia complete except </w:t>
      </w:r>
      <w:r>
        <w:rPr/>
        <w:t xml:space="preserve">parts </w:t>
      </w:r>
      <w:r>
        <w:rPr/>
        <w:t xml:space="preserve">of the proximal ends of </w:t>
      </w:r>
      <w:r>
        <w:rPr/>
        <w:t xml:space="preserve">both </w:t>
      </w:r>
      <w:r>
        <w:rPr/>
        <w:t>pubes and the right ischi</w:t>
      </w:r>
      <w:r>
        <w:rPr/>
        <w:t>um</w:t>
      </w:r>
    </w:p>
    <w:p>
      <w:pPr>
        <w:pStyle w:val="TextBody"/>
        <w:numPr>
          <w:ilvl w:val="0"/>
          <w:numId w:val="11"/>
        </w:numPr>
        <w:rPr/>
      </w:pPr>
      <w:r>
        <w:rPr/>
        <w:t xml:space="preserve">complete </w:t>
      </w:r>
      <w:r>
        <w:rPr/>
        <w:t xml:space="preserve">right hindlimb </w:t>
      </w:r>
      <w:r>
        <w:rPr/>
        <w:t>(femur, tibia, fibula, astragalus)</w:t>
      </w:r>
    </w:p>
    <w:p>
      <w:pPr>
        <w:pStyle w:val="TextBody"/>
        <w:numPr>
          <w:ilvl w:val="0"/>
          <w:numId w:val="11"/>
        </w:numPr>
        <w:rPr/>
      </w:pPr>
      <w:r>
        <w:rPr/>
        <w:t xml:space="preserve">elements of the right </w:t>
      </w:r>
      <w:r>
        <w:rPr/>
        <w:t xml:space="preserve">pes: </w:t>
      </w:r>
      <w:r>
        <w:rPr/>
        <w:t>metatarsals</w:t>
      </w:r>
      <w:r>
        <w:rPr/>
        <w:t xml:space="preserve"> I, II and V, phalanges I-I and V-I, </w:t>
      </w:r>
      <w:r>
        <w:rPr/>
        <w:t>two 2nd phalanges, one ungual</w:t>
      </w:r>
    </w:p>
    <w:p>
      <w:pPr>
        <w:pStyle w:val="TextBody"/>
        <w:numPr>
          <w:ilvl w:val="0"/>
          <w:numId w:val="11"/>
        </w:numPr>
        <w:rPr/>
      </w:pPr>
      <w:r>
        <w:rPr/>
        <w:t>three “ossicles” (McIntosh’s unpublished 1962 notes) — the meaning is unclear.</w:t>
      </w:r>
    </w:p>
    <w:p>
      <w:pPr>
        <w:pStyle w:val="TextBody"/>
        <w:rPr/>
      </w:pPr>
      <w:r>
        <w:rPr/>
        <w:t>The sternal plates and the lower forelimb (ulna, radius, carpals and manus) are the only parts of the skeleton entirely missing.</w:t>
      </w:r>
    </w:p>
    <w:p>
      <w:pPr>
        <w:pStyle w:val="TextBody"/>
        <w:rPr/>
      </w:pPr>
      <w:r>
        <w:rPr/>
        <w:t>This list of material is a superset of that listed as belonging to the USNM’s part of the specimen in Brown’s (1929) account of reuniting the parts of the skeleton, aside from Brown’s statement that “the last ten cervical vertebrae” (not just the last nine) were at that time present. But Brown state</w:t>
      </w:r>
      <w:r>
        <w:rPr/>
        <w:t>d</w:t>
      </w:r>
      <w:r>
        <w:rPr/>
        <w:t xml:space="preserve"> that the left scapulocoracoid and humerus are present </w:t>
      </w:r>
      <w:r>
        <w:rPr/>
        <w:t>(and the material list of McIntosh 2005:43 followed this error, contradicting his description and illustration later in the same chapter). But</w:t>
      </w:r>
      <w:r>
        <w:rPr/>
        <w:t xml:space="preserve"> the element that was on display in 1939 (Figure D.B) is clearly a complete and well preserved </w:t>
      </w:r>
      <w:r>
        <w:rPr>
          <w:i/>
          <w:iCs/>
        </w:rPr>
        <w:t>right</w:t>
      </w:r>
      <w:r>
        <w:rPr/>
        <w:t xml:space="preserve"> scapulocoracoid, based on the location of the glenoid fossa in combination with the curvature of the shaft. Similarly the humerus that was on display in 1939 is the right, not the left, based on the shape of the proximal end and the anterior projections at the distal end. It is possible that Brown carelessly misidentified the elements in his letter and McIntosh transcribed the error.</w:t>
      </w:r>
    </w:p>
    <w:p>
      <w:pPr>
        <w:pStyle w:val="TextBody"/>
        <w:rPr/>
      </w:pPr>
      <w:r>
        <w:rPr/>
        <w:t xml:space="preserve">In preparing the mounted skeleton, casts of all the elements of AMNH 6341 were used. </w:t>
      </w:r>
      <w:r>
        <w:rPr>
          <w:highlight w:val="yellow"/>
        </w:rPr>
        <w:t>XXX Peter, Lowell and Gene, is this correct? How much “correction” was done to the casts?</w:t>
      </w:r>
      <w:r>
        <w:rPr/>
        <w:t xml:space="preserve"> The missing elements were cast or modelled from specimens of </w:t>
      </w:r>
      <w:r>
        <w:rPr>
          <w:i/>
          <w:iCs/>
        </w:rPr>
        <w:t>Diplodocus</w:t>
      </w:r>
      <w:r>
        <w:rPr/>
        <w:t xml:space="preserve">. </w:t>
      </w:r>
      <w:r>
        <w:rPr>
          <w:highlight w:val="yellow"/>
        </w:rPr>
        <w:t xml:space="preserve">XXX Peter, Lowell and Gene, is this correct? Was no non-6341 </w:t>
      </w:r>
      <w:r>
        <w:rPr>
          <w:i/>
          <w:iCs/>
          <w:highlight w:val="yellow"/>
        </w:rPr>
        <w:t>Barosaurus</w:t>
      </w:r>
      <w:r>
        <w:rPr>
          <w:highlight w:val="yellow"/>
        </w:rPr>
        <w:t xml:space="preserve"> used at all?</w:t>
      </w:r>
      <w:r>
        <w:rPr/>
        <w:t xml:space="preserve"> Jack McIntosh </w:t>
      </w:r>
      <w:r>
        <w:rPr>
          <w:highlight w:val="yellow"/>
        </w:rPr>
        <w:t>XXX and Lowell and/or Gene?</w:t>
      </w:r>
      <w:r>
        <w:rPr/>
        <w:t xml:space="preserve"> visited RCI at least twice during the modelling process </w:t>
      </w:r>
      <w:r>
        <w:rPr>
          <w:lang w:val="en-US"/>
        </w:rPr>
        <w:t>to help with the restored elements.</w:t>
      </w:r>
    </w:p>
    <w:p>
      <w:pPr>
        <w:pStyle w:val="TextBody"/>
        <w:rPr/>
      </w:pPr>
      <w:r>
        <w:rPr>
          <w:lang w:val="en-US"/>
        </w:rPr>
        <w:t>We will now consider the source of specific elements of the cast.</w:t>
      </w:r>
    </w:p>
    <w:p>
      <w:pPr>
        <w:pStyle w:val="Heading3"/>
        <w:numPr>
          <w:ilvl w:val="2"/>
          <w:numId w:val="9"/>
        </w:numPr>
        <w:ind w:left="0" w:right="0" w:hanging="0"/>
        <w:rPr/>
      </w:pPr>
      <w:bookmarkStart w:id="12" w:name="__RefHeading___Toc16587_68767826"/>
      <w:bookmarkEnd w:id="12"/>
      <w:r>
        <w:rPr/>
        <w:t>Skull</w:t>
      </w:r>
    </w:p>
    <w:p>
      <w:pPr>
        <w:pStyle w:val="TextBody"/>
        <w:rPr/>
      </w:pPr>
      <w:r>
        <w:rPr/>
        <w:t xml:space="preserve">The skull in the mounted </w:t>
      </w:r>
      <w:r>
        <w:rPr>
          <w:i/>
          <w:iCs/>
        </w:rPr>
        <w:t>Barosaurus</w:t>
      </w:r>
      <w:r>
        <w:rPr/>
        <w:t xml:space="preserve"> skeleton was cast from the corresponding elements in the Carnegie </w:t>
      </w:r>
      <w:r>
        <w:rPr>
          <w:i/>
          <w:iCs/>
        </w:rPr>
        <w:t>Diplodocus</w:t>
      </w:r>
      <w:r>
        <w:rPr/>
        <w:t xml:space="preserve">. However, CM 84, the specimen from which the Carnegie mount is mostly assembled, does not itself include a skull.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w:t>
      </w:r>
    </w:p>
    <w:p>
      <w:pPr>
        <w:pStyle w:val="TextBody"/>
        <w:numPr>
          <w:ilvl w:val="0"/>
          <w:numId w:val="7"/>
        </w:numPr>
        <w:ind w:left="720" w:right="0" w:hanging="360"/>
        <w:rPr/>
      </w:pPr>
      <w:r>
        <w:rPr/>
        <w:t xml:space="preserve">The posterior portion was modelled on material from CM 662 (illustrated by Holland 1906:plate XXVII–XXVIII; now HMNS 175). This specimen was initially referred by Holland (1906) to the genus </w:t>
      </w:r>
      <w:r>
        <w:rPr>
          <w:i/>
          <w:iCs/>
        </w:rPr>
        <w:t>Diplodocus</w:t>
      </w:r>
      <w:r>
        <w:rPr>
          <w:i w:val="false"/>
          <w:iCs w:val="false"/>
        </w:rPr>
        <w:t xml:space="preserve"> and subsequently made by him the holotype of the new species</w:t>
      </w:r>
      <w:r>
        <w:rPr/>
        <w:t xml:space="preserve">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7"/>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u w:val="none"/>
        </w:rPr>
        <w:t>Galeamopus</w:t>
      </w:r>
      <w:r>
        <w:rPr/>
        <w:t>, meaning that both the fossils on which the Carnegie mount’s skull were based are now considered to belong to that genus.</w:t>
      </w:r>
    </w:p>
    <w:p>
      <w:pPr>
        <w:pStyle w:val="TextBody"/>
        <w:rPr/>
      </w:pPr>
      <w:r>
        <w:rPr/>
        <w:t xml:space="preserve">The skull used in the </w:t>
      </w:r>
      <w:r>
        <w:rPr>
          <w:i/>
          <w:iCs/>
        </w:rPr>
        <w:t>Barosaurus</w:t>
      </w:r>
      <w:r>
        <w:rPr/>
        <w:t xml:space="preserve"> mount is shown in a 1991 photograph (Figure C). It can be fairly confidently confirmed as the same composite illustrated by Holland (1906:figure 1) “as placed in the restoration at the British Museum”, and by Nieuwland (2019:figure 5.3) in a photograph of a worker at the Muséum Natonal d’Histoire Naturelle, Paris, France, with the plaster skull of their </w:t>
      </w:r>
      <w:r>
        <w:rPr>
          <w:i/>
          <w:iCs/>
        </w:rPr>
        <w:t>Diplodocus</w:t>
      </w:r>
      <w:r>
        <w:rPr/>
        <w:t xml:space="preserve"> cast in 1908.</w:t>
      </w:r>
    </w:p>
    <w:p>
      <w:pPr>
        <w:pStyle w:val="Heading3"/>
        <w:numPr>
          <w:ilvl w:val="2"/>
          <w:numId w:val="10"/>
        </w:numPr>
        <w:ind w:left="0" w:right="0" w:hanging="0"/>
        <w:rPr/>
      </w:pPr>
      <w:bookmarkStart w:id="13" w:name="__RefHeading___Toc16589_68767826"/>
      <w:bookmarkEnd w:id="13"/>
      <w:r>
        <w:rPr/>
        <w:t>Neck</w:t>
      </w:r>
    </w:p>
    <w:p>
      <w:pPr>
        <w:pStyle w:val="TextBody"/>
        <w:rPr/>
      </w:pPr>
      <w:r>
        <w:rPr/>
        <w:t xml:space="preserve">McIntosh (2005:45) considered the number of cervicals is reckoned to be 16 on the basis that there are only nine dorsals, compared with ten in the closely related </w:t>
      </w:r>
      <w:r>
        <w:rPr>
          <w:i/>
          <w:iCs/>
        </w:rPr>
        <w:t>Diplodocus</w:t>
      </w:r>
      <w:r>
        <w:rPr/>
        <w:t xml:space="preserve">, and the most likely reason is that the first dorsal was recruited into the neck. McIntosh’s inference has been widely considered correct, and 16 is now the accepted cervical count for </w:t>
      </w:r>
      <w:r>
        <w:rPr>
          <w:i/>
          <w:iCs/>
        </w:rPr>
        <w:t>Barosaurus</w:t>
      </w:r>
      <w:r>
        <w:rPr/>
        <w:t>. Whether or not there may at some point have been a tenth cervical vertebra included in AMNH 6341 , at present it preserves the last nine cervical vertebrae. These are therefore considered to be C8–C16.</w:t>
      </w:r>
    </w:p>
    <w:p>
      <w:pPr>
        <w:pStyle w:val="TextBody"/>
        <w:rPr/>
      </w:pPr>
      <w:r>
        <w:rPr/>
        <w:t xml:space="preserve">The anterior part of neck of the mount was completed using casts of seven anterior vertebrae from the Carnegie </w:t>
      </w:r>
      <w:r>
        <w:rPr>
          <w:i/>
          <w:iCs/>
        </w:rPr>
        <w:t>Diplodocus</w:t>
      </w:r>
      <w:r>
        <w:rPr/>
        <w:t>, but the anteriormost seven cervicals were not used as that would have resulted in an abrupt transition in length between C7 and C8. Instead, a non-contiguous sequence of Carnegie-</w:t>
      </w:r>
      <w:r>
        <w:rPr>
          <w:i/>
          <w:iCs/>
        </w:rPr>
        <w:t>Diplodocus</w:t>
      </w:r>
      <w:r>
        <w:rPr/>
        <w:t xml:space="preserve"> cervicals was used to obtain a smooth transition probably cervicals 10, 8, 6 and 4–1.</w:t>
      </w:r>
    </w:p>
    <w:p>
      <w:pPr>
        <w:pStyle w:val="TextBody"/>
        <w:rPr/>
      </w:pPr>
      <w:r>
        <w:rPr/>
        <w:t xml:space="preserve">CM 84, the specimen that forms most of the Carnegie mount, includes C2–7, but not the atlas (C1). It is not clear which specimen supplied the atlas in the Carnegie mount: Holland (1906), which discusses the composition of the cast sent to the British Museum, discusses two atlases but does not state which (if either) was used in the mount. These are the atlas of AMNH 969, part of a specimen including a skull that is now referred to </w:t>
      </w:r>
      <w:r>
        <w:rPr>
          <w:i/>
          <w:iCs/>
        </w:rPr>
        <w:t>Galeamopus</w:t>
      </w:r>
      <w:r>
        <w:rPr/>
        <w:t xml:space="preserve"> sp. (Tschopp et al. 2015:219); and the unidentified figured by Marsh (1896:plate XXVII:figures 1–2) and reproduced by Hatcher (1901:figures 4–5), but which neither of them identified with a specimen number. Unless further information comes to light, it is not possible to identify the atlas used in the Carnegie </w:t>
      </w:r>
      <w:r>
        <w:rPr>
          <w:i/>
          <w:iCs/>
        </w:rPr>
        <w:t>Diplodocus</w:t>
      </w:r>
      <w:r>
        <w:rPr/>
        <w:t xml:space="preserve"> — nor, therefore, in the </w:t>
      </w:r>
      <w:r>
        <w:rPr>
          <w:i/>
          <w:iCs/>
        </w:rPr>
        <w:t>Barosaurus</w:t>
      </w:r>
      <w:r>
        <w:rPr/>
        <w:t xml:space="preserve"> mount. </w:t>
      </w:r>
      <w:r>
        <w:rPr>
          <w:highlight w:val="yellow"/>
        </w:rPr>
        <w:t>XXX Am I missing something?</w:t>
      </w:r>
    </w:p>
    <w:p>
      <w:pPr>
        <w:pStyle w:val="Heading3"/>
        <w:numPr>
          <w:ilvl w:val="2"/>
          <w:numId w:val="2"/>
        </w:numPr>
        <w:ind w:left="0" w:right="0" w:hanging="0"/>
        <w:rPr/>
      </w:pPr>
      <w:bookmarkStart w:id="14" w:name="__RefHeading___Toc2466_2187837281"/>
      <w:bookmarkEnd w:id="14"/>
      <w:r>
        <w:rPr/>
        <w:t>Torso and sacrum</w:t>
      </w:r>
    </w:p>
    <w:p>
      <w:pPr>
        <w:pStyle w:val="TextBody"/>
        <w:rPr/>
      </w:pPr>
      <w:r>
        <w:rPr/>
        <w:t xml:space="preserve">The complete dorsal sequence (of nine vertebrae) and complete sacrum (of five vertebra) are present in AMNH 6341. However, McIntosh’s (2005:43) account says that only “six ribs and fragments” were included from a total of 18 (two per dorsal vertebra), the missing ribs were supplied by </w:t>
      </w:r>
      <w:r>
        <w:rPr>
          <w:highlight w:val="yellow"/>
        </w:rPr>
        <w:t>XXX Anyone?</w:t>
      </w:r>
    </w:p>
    <w:p>
      <w:pPr>
        <w:pStyle w:val="Heading3"/>
        <w:numPr>
          <w:ilvl w:val="2"/>
          <w:numId w:val="2"/>
        </w:numPr>
        <w:ind w:left="0" w:right="0" w:hanging="0"/>
        <w:rPr/>
      </w:pPr>
      <w:bookmarkStart w:id="15" w:name="__RefHeading___Toc2468_2187837281"/>
      <w:bookmarkEnd w:id="15"/>
      <w:r>
        <w:rPr/>
        <w:t>Tail</w:t>
      </w:r>
    </w:p>
    <w:p>
      <w:pPr>
        <w:pStyle w:val="TextBody"/>
        <w:rPr/>
      </w:pPr>
      <w:r>
        <w:rPr/>
        <w:t xml:space="preserve">AMNH 6341 includes the first 29 caudals but only one chevron. The distal part of the tail was supplied by </w:t>
      </w:r>
      <w:r>
        <w:rPr>
          <w:highlight w:val="yellow"/>
        </w:rPr>
        <w:t>XXX Anyone?</w:t>
      </w:r>
      <w:r>
        <w:rPr/>
        <w:t xml:space="preserve">, and the chevrons were taken from </w:t>
      </w:r>
      <w:r>
        <w:rPr>
          <w:highlight w:val="yellow"/>
        </w:rPr>
        <w:t>XXX Anyone?</w:t>
      </w:r>
    </w:p>
    <w:p>
      <w:pPr>
        <w:pStyle w:val="Heading3"/>
        <w:numPr>
          <w:ilvl w:val="2"/>
          <w:numId w:val="2"/>
        </w:numPr>
        <w:ind w:left="0" w:right="0" w:hanging="0"/>
        <w:rPr/>
      </w:pPr>
      <w:bookmarkStart w:id="16" w:name="__RefHeading___Toc2470_2187837281"/>
      <w:bookmarkEnd w:id="16"/>
      <w:r>
        <w:rPr/>
        <w:t>Forelimbs and girdles</w:t>
      </w:r>
    </w:p>
    <w:p>
      <w:pPr>
        <w:pStyle w:val="TextBody"/>
        <w:rPr/>
      </w:pPr>
      <w:r>
        <w:rPr/>
        <w:t>XXX</w:t>
      </w:r>
      <w:r>
        <w:rPr/>
        <w:t>XX</w:t>
      </w:r>
    </w:p>
    <w:p>
      <w:pPr>
        <w:pStyle w:val="Heading3"/>
        <w:numPr>
          <w:ilvl w:val="2"/>
          <w:numId w:val="2"/>
        </w:numPr>
        <w:ind w:left="0" w:right="0" w:hanging="0"/>
        <w:rPr/>
      </w:pPr>
      <w:bookmarkStart w:id="17" w:name="__RefHeading___Toc2472_2187837281"/>
      <w:bookmarkEnd w:id="17"/>
      <w:r>
        <w:rPr/>
        <w:t>Hindlimbs and girdles</w:t>
      </w:r>
    </w:p>
    <w:p>
      <w:pPr>
        <w:pStyle w:val="TextBody"/>
        <w:rPr/>
      </w:pPr>
      <w:r>
        <w:rPr/>
        <w:t>XXX</w:t>
      </w:r>
    </w:p>
    <w:p>
      <w:pPr>
        <w:pStyle w:val="Heading3"/>
        <w:numPr>
          <w:ilvl w:val="2"/>
          <w:numId w:val="2"/>
        </w:numPr>
        <w:ind w:left="0" w:right="0" w:hanging="0"/>
        <w:rPr/>
      </w:pPr>
      <w:bookmarkStart w:id="18" w:name="__RefHeading___Toc2474_2187837281"/>
      <w:bookmarkEnd w:id="18"/>
      <w:r>
        <w:rPr/>
        <w:t>Summary</w:t>
      </w:r>
    </w:p>
    <w:p>
      <w:pPr>
        <w:pStyle w:val="TextBody"/>
        <w:rPr/>
      </w:pPr>
      <w:r>
        <w:rPr/>
        <w:t>XXX Reference Figure B, with elements greyed out.</w:t>
      </w:r>
    </w:p>
    <w:p>
      <w:pPr>
        <w:pStyle w:val="Heading1"/>
        <w:numPr>
          <w:ilvl w:val="0"/>
          <w:numId w:val="5"/>
        </w:numPr>
        <w:ind w:left="0" w:right="0" w:hanging="0"/>
        <w:rPr/>
      </w:pPr>
      <w:bookmarkStart w:id="19" w:name="__RefHeading___Toc3401_68767826"/>
      <w:bookmarkEnd w:id="19"/>
      <w:r>
        <w:rPr/>
        <w:t>Discussion</w:t>
      </w:r>
    </w:p>
    <w:p>
      <w:pPr>
        <w:pStyle w:val="Heading2"/>
        <w:rPr/>
      </w:pPr>
      <w:bookmarkStart w:id="20" w:name="__RefHeading___Toc2476_2187837281"/>
      <w:bookmarkEnd w:id="20"/>
      <w:r>
        <w:rPr/>
        <w:t>Rearing pose</w:t>
      </w:r>
    </w:p>
    <w:p>
      <w:pPr>
        <w:pStyle w:val="TextBody"/>
        <w:rPr/>
      </w:pPr>
      <w:r>
        <w:rPr/>
        <w:t xml:space="preserve">The mounted </w:t>
      </w:r>
      <w:r>
        <w:rPr>
          <w:i/>
          <w:iCs/>
        </w:rPr>
        <w:t>Barosaurus</w:t>
      </w:r>
      <w:r>
        <w:rPr/>
        <w:t xml:space="preserve"> is in a spectacular rearing pose, as though to defend its offspring against a threatening </w:t>
      </w:r>
      <w:r>
        <w:rPr>
          <w:i/>
          <w:iCs/>
        </w:rPr>
        <w:t>Allosaurus</w:t>
      </w:r>
      <w:r>
        <w:rPr/>
        <w:t xml:space="preserve"> individual. </w:t>
      </w:r>
    </w:p>
    <w:p>
      <w:pPr>
        <w:pStyle w:val="TextBody"/>
        <w:rPr/>
      </w:pPr>
      <w:r>
        <w:rPr/>
        <w:t>XXX John Gurche painting</w:t>
      </w:r>
    </w:p>
    <w:p>
      <w:pPr>
        <w:pStyle w:val="TextBody"/>
        <w:rPr/>
      </w:pPr>
      <w:r>
        <w:rPr/>
        <w:t xml:space="preserve">This pose was controversial when the mount was first unveiled </w:t>
      </w:r>
    </w:p>
    <w:p>
      <w:pPr>
        <w:pStyle w:val="TextBody"/>
        <w:rPr/>
      </w:pPr>
      <w:r>
        <w:rPr/>
        <w:t>XXX examples include Hicks and Badeer (1992), Taylor (1992), Choy and Altmann (1992), Dennis (1992), Landry (1992), Badeer and Hicks (1996) XXX get these in the right order, add references, see what else they cite that I have missed.</w:t>
      </w:r>
    </w:p>
    <w:p>
      <w:pPr>
        <w:pStyle w:val="TextBody"/>
        <w:rPr/>
      </w:pPr>
      <w:r>
        <w:rPr/>
        <w:t>XXX first ever sauropod restoration in Ballou (1897) shows underwater rearing. See Taylor (2010) on sauropod history.</w:t>
      </w:r>
    </w:p>
    <w:p>
      <w:pPr>
        <w:pStyle w:val="TextBody"/>
        <w:rPr/>
      </w:pPr>
      <w:r>
        <w:rPr/>
        <w:t xml:space="preserve">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w:t>
      </w:r>
    </w:p>
    <w:p>
      <w:pPr>
        <w:pStyle w:val="TextBody"/>
        <w:rPr/>
      </w:pPr>
      <w:r>
        <w:rPr/>
        <w:t xml:space="preserve">XXX “We may well assume, with other writers, that the heavier forms, such as Apatosaurus and Diplodocus, which are provided with long spines in the sacral and posterior dorsal region, were adapted to rearing up on the hind legs as is represented in the conventional mounted skeleton of Megatherium. In these forms we find that the body is short and therefore well adapted to this habit [while </w:t>
      </w:r>
      <w:r>
        <w:rPr>
          <w:i/>
          <w:iCs/>
        </w:rPr>
        <w:t>Brachiosaurus</w:t>
      </w:r>
      <w:r>
        <w:rPr/>
        <w:t xml:space="preserve"> was] fitted for purely quadrupedal locomotion.” (Riggs 1904:245–246).</w:t>
      </w:r>
    </w:p>
    <w:p>
      <w:pPr>
        <w:pStyle w:val="TextBody"/>
        <w:rPr/>
      </w:pPr>
      <w:r>
        <w:rPr/>
        <w:t xml:space="preserve">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TextBody"/>
        <w:rPr/>
      </w:pPr>
      <w:r>
        <w:rPr/>
        <w:t>XXX Paul in 1984 depicted two rearing Baro individuals reproduced in Bird (1985:14).</w:t>
      </w:r>
    </w:p>
    <w:p>
      <w:pPr>
        <w:pStyle w:val="TextBody"/>
        <w:rPr/>
      </w:pPr>
      <w:r>
        <w:rPr/>
        <w:t>XXX Dingus: The most important aspect, and one that often gets overlooked, is the role the mount played in setting the primary theme of the renovation: What can we know about extinct vertebrates vs. what can’t we know, given the nature of the fossils that are available. This was emphasized in the label that accompanied the mounts, which I’ll try to find the text for.</w:t>
      </w:r>
    </w:p>
    <w:p>
      <w:pPr>
        <w:pStyle w:val="Heading2"/>
        <w:rPr/>
      </w:pPr>
      <w:bookmarkStart w:id="21" w:name="__RefHeading___Toc21934_68767826"/>
      <w:bookmarkEnd w:id="21"/>
      <w:r>
        <w:rPr/>
        <w:t>Size of the AMNH 6341 animal</w:t>
      </w:r>
    </w:p>
    <w:p>
      <w:pPr>
        <w:pStyle w:val="TextBody"/>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w:t>
      </w:r>
    </w:p>
    <w:p>
      <w:pPr>
        <w:pStyle w:val="TextBody"/>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5"/>
        </w:numPr>
        <w:ind w:left="0" w:right="0" w:hanging="0"/>
        <w:rPr/>
      </w:pPr>
      <w:bookmarkStart w:id="22" w:name="__RefHeading___Toc3403_68767826"/>
      <w:bookmarkEnd w:id="22"/>
      <w:r>
        <w:rPr/>
        <w:t>Acknowledgements</w:t>
      </w:r>
    </w:p>
    <w:p>
      <w:pPr>
        <w:pStyle w:val="TextBody"/>
        <w:rPr/>
      </w:pPr>
      <w:r>
        <w:rPr/>
        <w:t xml:space="preserve">We are grateful to Scott Hartman (University of Wisconsin-Madison) for allowing us to use his </w:t>
      </w:r>
      <w:r>
        <w:rPr>
          <w:i/>
          <w:iCs/>
        </w:rPr>
        <w:t>Barosaurus lentus</w:t>
      </w:r>
      <w:r>
        <w:rPr/>
        <w:t xml:space="preserve"> skeletal reconstruction and to Gregory S. Paul for permission to reproduce his artwork </w:t>
      </w:r>
      <w:r>
        <w:rPr>
          <w:i/>
          <w:iCs/>
        </w:rPr>
        <w:t>Ambush at Como Creek</w:t>
      </w:r>
      <w:r>
        <w:rPr/>
        <w:t>. Gregory S. Paul also allowed us to quote personal communications. Carl Mehling (AMNH) searched collections for the missing C7 and allowed us to cite a personal communication. Mai Reitmeyer (Department of Library Services, AMNH) helped us to obtain historical photographs. Amelia Zietlow (Richard Gilder Graduate School at the AMNH) provided helpful photographs and information about the present public exhibits.</w:t>
      </w:r>
    </w:p>
    <w:p>
      <w:pPr>
        <w:pStyle w:val="Heading1"/>
        <w:numPr>
          <w:ilvl w:val="0"/>
          <w:numId w:val="5"/>
        </w:numPr>
        <w:ind w:left="0" w:right="0" w:hanging="0"/>
        <w:rPr/>
      </w:pPr>
      <w:bookmarkStart w:id="23" w:name="__RefHeading___Toc3405_68767826"/>
      <w:bookmarkEnd w:id="23"/>
      <w:r>
        <w:rPr/>
        <w:t>References</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bookmarkStart w:id="24" w:name="__DdeLink__16582_68767826"/>
      <w:r>
        <w:rPr/>
        <w:t>Nieuwland</w:t>
      </w:r>
      <w:bookmarkEnd w:id="24"/>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5"/>
        </w:numPr>
        <w:ind w:left="0" w:right="0" w:hanging="0"/>
        <w:rPr/>
      </w:pPr>
      <w:bookmarkStart w:id="25" w:name="__RefHeading___Toc3407_68767826"/>
      <w:bookmarkEnd w:id="25"/>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Taylor for scale. Photograph by Mathew J. Wedel, 2012.</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are present, but </w:t>
      </w:r>
      <w:r>
        <w:rPr/>
        <w:t xml:space="preserve">it is </w:t>
      </w:r>
      <w:r>
        <w:rPr/>
        <w:t xml:space="preserve">not </w:t>
      </w:r>
      <w:r>
        <w:rPr/>
        <w:t xml:space="preserve">possible to </w:t>
      </w:r>
      <w:r>
        <w:rPr/>
        <w:t>say which six ribs.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photographed in 1991: cranium to rear, mandible to the front, both in left dorsolateral view. This skull was copied from that of the mounted Carnegie </w:t>
      </w:r>
      <w:r>
        <w:rPr>
          <w:i/>
          <w:iCs/>
        </w:rPr>
        <w:t>Diplodocus</w:t>
      </w:r>
      <w:r>
        <w:rPr/>
        <w:t>. Note its similarity to the skull “as placed in the restoration at the British Museum” in Holland (1906:figure 1).</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hdl.handle.net/2246/6497"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16860</TotalTime>
  <Application>LibreOffice/6.1.3.2$MacOSX_X86_64 LibreOffice_project/86daf60bf00efa86ad547e59e09d6bb77c699acb</Application>
  <Pages>15</Pages>
  <Words>7321</Words>
  <Characters>38230</Characters>
  <CharactersWithSpaces>45326</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2022-03-25T23:37:42Z</dcterms:modified>
  <cp:revision>251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