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8</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tabs>
          <w:tab w:val="right" w:pos="9638" w:leader="dot"/>
        </w:tabs>
        <w:rPr/>
      </w:pPr>
      <w:hyperlink w:anchor="__RefHeading___Toc3399_68767826">
        <w:r>
          <w:rPr>
            <w:rStyle w:val="IndexLink"/>
          </w:rPr>
          <w:t>Results</w:t>
          <w:tab/>
          <w:t>9</w:t>
        </w:r>
      </w:hyperlink>
    </w:p>
    <w:p>
      <w:pPr>
        <w:pStyle w:val="Contents2"/>
        <w:tabs>
          <w:tab w:val="clear" w:pos="9355"/>
          <w:tab w:val="right" w:pos="9638" w:leader="dot"/>
        </w:tabs>
        <w:rPr/>
      </w:pPr>
      <w:hyperlink w:anchor="__RefHeading___Toc16562_68767826">
        <w:r>
          <w:rPr>
            <w:rStyle w:val="IndexLink"/>
          </w:rPr>
          <w:t>Size of the AMNH 6341 animal</w:t>
          <w:tab/>
          <w:t>9</w:t>
        </w:r>
      </w:hyperlink>
    </w:p>
    <w:p>
      <w:pPr>
        <w:pStyle w:val="Contents1"/>
        <w:tabs>
          <w:tab w:val="right" w:pos="9638" w:leader="dot"/>
        </w:tabs>
        <w:rPr/>
      </w:pPr>
      <w:hyperlink w:anchor="__RefHeading___Toc3401_68767826">
        <w:r>
          <w:rPr>
            <w:rStyle w:val="IndexLink"/>
          </w:rPr>
          <w:t>Discussion</w:t>
          <w:tab/>
          <w:t>10</w:t>
        </w:r>
      </w:hyperlink>
    </w:p>
    <w:p>
      <w:pPr>
        <w:pStyle w:val="Contents2"/>
        <w:tabs>
          <w:tab w:val="clear" w:pos="9355"/>
          <w:tab w:val="right" w:pos="9638" w:leader="dot"/>
        </w:tabs>
        <w:rPr/>
      </w:pPr>
      <w:hyperlink w:anchor="__RefHeading___Toc5358_68767826">
        <w:r>
          <w:rPr>
            <w:rStyle w:val="IndexLink"/>
          </w:rPr>
          <w:t>Rearing pose</w:t>
          <w:tab/>
          <w:t>10</w:t>
        </w:r>
      </w:hyperlink>
    </w:p>
    <w:p>
      <w:pPr>
        <w:pStyle w:val="Contents1"/>
        <w:tabs>
          <w:tab w:val="right" w:pos="9638" w:leader="dot"/>
        </w:tabs>
        <w:rPr/>
      </w:pPr>
      <w:hyperlink w:anchor="__RefHeading___Toc3403_68767826">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13</w:t>
        </w:r>
      </w:hyperlink>
    </w:p>
    <w:p>
      <w:pPr>
        <w:pStyle w:val="Heading1"/>
        <w:numPr>
          <w:ilvl w:val="0"/>
          <w:numId w:val="2"/>
        </w:numPr>
        <w:ind w:left="0" w:right="0" w:hanging="0"/>
        <w:rPr/>
      </w:pPr>
      <w:bookmarkStart w:id="0" w:name="__RefHeading___Toc12345_68767826"/>
      <w:bookmarkEnd w:id="0"/>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w:t>
      </w:r>
      <w:r>
        <w:rPr/>
        <w:t xml:space="preserve">the </w:t>
      </w:r>
      <w:r>
        <w:rPr/>
        <w:t xml:space="preserve">then poorly known </w:t>
      </w:r>
      <w:r>
        <w:rPr>
          <w:i/>
          <w:iCs/>
        </w:rPr>
        <w:t>Barosaurus</w:t>
      </w:r>
      <w:r>
        <w:rPr/>
        <w:t>.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T</w:t>
      </w:r>
      <w:r>
        <w:rPr/>
        <w:t xml:space="preserve">he bones of AMNH 6341, the </w:t>
      </w:r>
      <w:r>
        <w:rPr>
          <w:i/>
          <w:iCs/>
        </w:rPr>
        <w:t>Barosaurus</w:t>
      </w:r>
      <w:r>
        <w:rPr/>
        <w:t xml:space="preserve"> specimen that was to provide most of the mount, </w:t>
      </w:r>
      <w:r>
        <w:rPr/>
        <w:t>were not in the best condition by 1990</w:t>
      </w:r>
      <w:r>
        <w:rPr/>
        <w:t xml:space="preserve">. The presacral vertebrae had been in collections for the best part of 40 years, since Colbert’s early-1950s renovation; the rest of the material had been there for 60 years, since being reunited by Barnum Brown in 1930. </w:t>
      </w:r>
      <w:r>
        <w:rPr/>
        <w:t>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XXX </w:t>
      </w:r>
      <w:r>
        <w:rPr/>
        <w:t xml:space="preserve">Norell et al. (1991:38) </w:t>
      </w:r>
      <w:r>
        <w:rPr/>
        <w:t>says</w:t>
      </w:r>
      <w:r>
        <w:rPr/>
        <w:t xml:space="preserve">: “Those that would stand near the ground were cast in higher-density and more durable materials, while those higher up were made of lighter substances.” Peter: what substances </w:t>
      </w:r>
      <w:r>
        <w:rPr/>
        <w:t>were used</w:t>
      </w:r>
      <w:r>
        <w:rPr/>
        <w:t>?</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in the parking lot behind the RCI workshop, with the aid of a hired crane and 15 m scissor lift. The event was attended by a group from the AMNH, Jack McIntosh, photographers, a television crew and onlookers including at least one observer from another museum. The skeleton was pieced together from prefabricated sections. The exercise began with the “tripod” of hindlimbs and tail, anchored together at the pelvis, providing a stable base. These were followed by the torso section, then the multiple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XXX</w:t>
      </w:r>
      <w:r>
        <w:rPr/>
        <w:t xml:space="preserve"> erected in Nov 1991, </w:t>
      </w:r>
      <w:r>
        <w:rPr/>
        <w:t>see Dingus (1995:28).</w:t>
      </w:r>
    </w:p>
    <w:p>
      <w:pPr>
        <w:pStyle w:val="TextBody"/>
        <w:rPr/>
      </w:pPr>
      <w:r>
        <w:rPr/>
        <w:t>The budget for the mounting project was $250,000. XXX Check with Peter whether this is correct, and whether he is happy for it to be known.</w:t>
      </w:r>
    </w:p>
    <w:p>
      <w:pPr>
        <w:pStyle w:val="TextBody"/>
        <w:rPr/>
      </w:pPr>
      <w:r>
        <w:rPr/>
        <w:t>XXX</w:t>
      </w:r>
      <w:r>
        <w:rPr/>
        <w:t xml:space="preserve"> unveiled in December 1991. At that time the only publicly exhibited </w:t>
      </w:r>
      <w:r>
        <w:rPr>
          <w:i/>
          <w:iCs/>
        </w:rPr>
        <w:t>Barosaurus</w:t>
      </w:r>
      <w:r>
        <w:rPr/>
        <w:t xml:space="preserve"> (Norell et al. 1991:36)</w:t>
      </w:r>
    </w:p>
    <w:p>
      <w:pPr>
        <w:pStyle w:val="TextBody"/>
        <w:rPr/>
      </w:pPr>
      <w:r>
        <w:rPr/>
        <w:t>XXX</w:t>
      </w:r>
      <w:r>
        <w:rPr/>
        <w:t xml:space="preserve"> John Gurche painting</w:t>
      </w:r>
    </w:p>
    <w:p>
      <w:pPr>
        <w:pStyle w:val="Heading2"/>
        <w:rPr/>
      </w:pPr>
      <w:bookmarkStart w:id="8" w:name="__RefHeading___Toc5356_68767826"/>
      <w:bookmarkEnd w:id="8"/>
      <w:r>
        <w:rPr/>
        <w:t>The composition of the mount</w:t>
      </w:r>
    </w:p>
    <w:p>
      <w:pPr>
        <w:pStyle w:val="Heading3"/>
        <w:numPr>
          <w:ilvl w:val="2"/>
          <w:numId w:val="7"/>
        </w:numPr>
        <w:ind w:left="0" w:right="0" w:hanging="0"/>
        <w:rPr/>
      </w:pPr>
      <w:bookmarkStart w:id="9" w:name="__RefHeading___Toc16585_68767826"/>
      <w:bookmarkEnd w:id="9"/>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r>
    </w:p>
    <w:p>
      <w:pPr>
        <w:pStyle w:val="TextBody"/>
        <w:rPr/>
      </w:pPr>
      <w:r>
        <w:rPr/>
        <w:t>XXX Dingus</w:t>
      </w:r>
      <w:r>
        <w:rPr>
          <w:lang w:val="en-US"/>
        </w:rPr>
        <w:t>: Gene, please correct me if I’m wrong, but as I recall cast or sculpted bones of Diplodocus were used to fill in the missing elements of the Barosaurus adult and juvenile. I don’t recall any other taxon being utilized, but I may be incorrect.</w:t>
      </w:r>
    </w:p>
    <w:p>
      <w:pPr>
        <w:pStyle w:val="TextBody"/>
        <w:rPr/>
      </w:pPr>
      <w:r>
        <w:rPr>
          <w:lang w:val="en-US"/>
        </w:rPr>
        <w:t>XXX Gaffney: This is out of my memory banks now, I do know that McIntosh was the real advisor scientifically and he (and I and you?) went to Pete’s place at least twice (before the parking lot mounting party) to help with the restored elements during the casting. As you say Jack used the similar Diplodocus for restoration of the adult mount. I remember bringing up some material we had for him to use.</w:t>
      </w:r>
    </w:p>
    <w:p>
      <w:pPr>
        <w:pStyle w:val="TextBody"/>
        <w:rPr>
          <w:lang w:val="en-US"/>
        </w:rPr>
      </w:pPr>
      <w:r>
        <w:rPr>
          <w:lang w:val="en-US"/>
        </w:rPr>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10" w:name="__RefHeading___Toc16587_68767826"/>
      <w:bookmarkEnd w:id="10"/>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1" w:name="__RefHeading___Toc16589_68767826"/>
      <w:bookmarkEnd w:id="11"/>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2" w:name="__RefHeading___Toc3399_68767826"/>
      <w:bookmarkEnd w:id="12"/>
      <w:r>
        <w:rPr/>
        <w:t>Results</w:t>
      </w:r>
    </w:p>
    <w:p>
      <w:pPr>
        <w:pStyle w:val="Heading2"/>
        <w:rPr/>
      </w:pPr>
      <w:bookmarkStart w:id="13" w:name="__RefHeading___Toc16562_68767826"/>
      <w:bookmarkEnd w:id="13"/>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4" w:name="__RefHeading___Toc3401_68767826"/>
      <w:bookmarkEnd w:id="14"/>
      <w:r>
        <w:rPr/>
        <w:t>Discussion</w:t>
      </w:r>
    </w:p>
    <w:p>
      <w:pPr>
        <w:pStyle w:val="Heading2"/>
        <w:rPr/>
      </w:pPr>
      <w:bookmarkStart w:id="15" w:name="__RefHeading___Toc5358_68767826"/>
      <w:bookmarkEnd w:id="15"/>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1"/>
        <w:numPr>
          <w:ilvl w:val="0"/>
          <w:numId w:val="4"/>
        </w:numPr>
        <w:ind w:left="0" w:right="0" w:hanging="0"/>
        <w:rPr/>
      </w:pPr>
      <w:bookmarkStart w:id="16" w:name="__RefHeading___Toc3403_68767826"/>
      <w:bookmarkEnd w:id="16"/>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w:t>
      </w:r>
    </w:p>
    <w:p>
      <w:pPr>
        <w:pStyle w:val="Heading1"/>
        <w:numPr>
          <w:ilvl w:val="0"/>
          <w:numId w:val="4"/>
        </w:numPr>
        <w:ind w:left="0" w:right="0" w:hanging="0"/>
        <w:rPr/>
      </w:pPr>
      <w:bookmarkStart w:id="17" w:name="__RefHeading___Toc3405_68767826"/>
      <w:bookmarkEnd w:id="17"/>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8" w:name="__DdeLink__16582_68767826"/>
      <w:r>
        <w:rPr/>
        <w:t>Nieuwland</w:t>
      </w:r>
      <w:bookmarkEnd w:id="1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9" w:name="__RefHeading___Toc3407_68767826"/>
      <w:bookmarkEnd w:id="1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16303</TotalTime>
  <Application>LibreOffice/6.1.3.2$MacOSX_X86_64 LibreOffice_project/86daf60bf00efa86ad547e59e09d6bb77c699acb</Application>
  <Pages>13</Pages>
  <Words>6024</Words>
  <Characters>31593</Characters>
  <CharactersWithSpaces>37438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2022-03-19T01:55:28Z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