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Hyper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Hyperlink"/>
            <w:i w:val="false"/>
            <w:iCs w:val="false"/>
          </w:rPr>
          <w:t>dinglowell@gmail.com</w:t>
        </w:r>
      </w:hyperlink>
    </w:p>
    <w:p>
      <w:pPr>
        <w:pStyle w:val="Author"/>
        <w:rPr/>
      </w:pPr>
      <w:r>
        <w:rPr>
          <w:b/>
          <w:bCs/>
          <w:i w:val="false"/>
          <w:iCs w:val="false"/>
        </w:rPr>
        <w:t>Eugene S. Gaffney.</w:t>
      </w:r>
      <w:r>
        <w:rPr>
          <w:i w:val="false"/>
          <w:iCs w:val="false"/>
        </w:rPr>
        <w:t xml:space="preserve"> </w:t>
      </w:r>
      <w:bookmarkStart w:id="0" w:name="__DdeLink__2703_3823776798"/>
      <w:r>
        <w:rPr>
          <w:i w:val="false"/>
          <w:iCs w:val="false"/>
        </w:rPr>
        <w:t xml:space="preserve">Division of Paleontology, American Museum of Natural History, New York, New York, USA. </w:t>
      </w:r>
      <w:hyperlink r:id="rId5">
        <w:r>
          <w:rPr>
            <w:rStyle w:val="Hyperlink"/>
            <w:i w:val="false"/>
            <w:iCs w:val="false"/>
          </w:rPr>
          <w:t>genegaffney373@comcast.net</w:t>
        </w:r>
      </w:hyperlink>
      <w:bookmarkEnd w:id="0"/>
    </w:p>
    <w:p>
      <w:pPr>
        <w:pStyle w:val="Author"/>
        <w:rPr/>
      </w:pPr>
      <w:r>
        <w:rPr>
          <w:b/>
          <w:bCs/>
          <w:i w:val="false"/>
          <w:iCs w:val="false"/>
        </w:rPr>
        <w:t xml:space="preserve">Mark A. Norell. </w:t>
      </w:r>
      <w:r>
        <w:rPr>
          <w:b w:val="false"/>
          <w:bCs w:val="false"/>
          <w:i w:val="false"/>
          <w:iCs w:val="false"/>
        </w:rPr>
        <w:t>Division of Paleontology, American Museum of Natural History, New York, New York, USA.</w:t>
      </w:r>
    </w:p>
    <w:p>
      <w:pPr>
        <w:pStyle w:val="Author"/>
        <w:rPr/>
      </w:pPr>
      <w:r>
        <w:rPr>
          <w:b/>
          <w:bCs/>
          <w:i w:val="false"/>
          <w:iCs w:val="false"/>
        </w:rPr>
        <w:t>John S. McIntosh</w:t>
      </w:r>
      <w:r>
        <w:rPr>
          <w:rFonts w:eastAsia="Baskerville" w:cs="Baskerville"/>
          <w:b/>
          <w:bCs/>
          <w:i w:val="false"/>
          <w:iCs w:val="false"/>
        </w:rPr>
        <w:t>†.</w:t>
      </w:r>
      <w:r>
        <w:rPr>
          <w:i w:val="false"/>
          <w:iCs w:val="false"/>
        </w:rPr>
        <w:t xml:space="preserve"> Foss Professor of Physics, emeritus, Wesleyan University, Middletown, Connecticut, USA (deceased, December 13, 2015).</w:t>
      </w:r>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 Make sure that the purpose of the mount is clearly stated.</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3784_1986291683">
            <w:r>
              <w:rPr>
                <w:rStyle w:val="IndexLink"/>
              </w:rPr>
              <w:t>Introduction</w:t>
            </w:r>
            <w:r>
              <w:rPr>
                <w:rStyle w:val="IndexLink"/>
              </w:rPr>
              <w:tab/>
              <w:t>2</w:t>
            </w:r>
          </w:hyperlink>
        </w:p>
        <w:p>
          <w:pPr>
            <w:pStyle w:val="TOC2"/>
            <w:tabs>
              <w:tab w:val="clear" w:pos="9355"/>
              <w:tab w:val="right" w:pos="9637" w:leader="dot"/>
            </w:tabs>
            <w:rPr/>
          </w:pPr>
          <w:hyperlink w:anchor="__RefHeading___Toc3323_2187837281">
            <w:r>
              <w:rPr>
                <w:rStyle w:val="IndexLink"/>
              </w:rPr>
              <w:t>Anatomical nomenclature</w:t>
              <w:tab/>
              <w:t>3</w:t>
            </w:r>
          </w:hyperlink>
        </w:p>
        <w:p>
          <w:pPr>
            <w:pStyle w:val="TOC2"/>
            <w:tabs>
              <w:tab w:val="clear" w:pos="9355"/>
              <w:tab w:val="right" w:pos="9637" w:leader="dot"/>
            </w:tabs>
            <w:rPr/>
          </w:pPr>
          <w:hyperlink w:anchor="__RefHeading___Toc5349_68767826">
            <w:r>
              <w:rPr>
                <w:rStyle w:val="IndexLink"/>
              </w:rPr>
              <w:t>Institutional abbreviations</w:t>
              <w:tab/>
              <w:t>3</w:t>
            </w:r>
          </w:hyperlink>
        </w:p>
        <w:p>
          <w:pPr>
            <w:pStyle w:val="TOC1"/>
            <w:tabs>
              <w:tab w:val="clear" w:pos="9638"/>
              <w:tab w:val="right" w:pos="9637" w:leader="dot"/>
            </w:tabs>
            <w:rPr/>
          </w:pPr>
          <w:hyperlink w:anchor="__RefHeading___Toc4316_68767826">
            <w:r>
              <w:rPr>
                <w:rStyle w:val="IndexLink"/>
              </w:rPr>
              <w:t>Historical background</w:t>
              <w:tab/>
              <w:t>3</w:t>
            </w:r>
          </w:hyperlink>
        </w:p>
        <w:p>
          <w:pPr>
            <w:pStyle w:val="TOC2"/>
            <w:tabs>
              <w:tab w:val="clear" w:pos="9355"/>
              <w:tab w:val="right" w:pos="9637"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TOC2"/>
            <w:tabs>
              <w:tab w:val="clear" w:pos="9355"/>
              <w:tab w:val="right" w:pos="9637"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TOC1"/>
            <w:tabs>
              <w:tab w:val="clear" w:pos="9638"/>
              <w:tab w:val="right" w:pos="9637"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TOC2"/>
            <w:tabs>
              <w:tab w:val="clear" w:pos="9355"/>
              <w:tab w:val="right" w:pos="9637" w:leader="dot"/>
            </w:tabs>
            <w:rPr/>
          </w:pPr>
          <w:hyperlink w:anchor="__RefHeading___Toc5354_68767826">
            <w:r>
              <w:rPr>
                <w:rStyle w:val="IndexLink"/>
              </w:rPr>
              <w:t>The conception of the mount</w:t>
              <w:tab/>
              <w:t>5</w:t>
            </w:r>
          </w:hyperlink>
        </w:p>
        <w:p>
          <w:pPr>
            <w:pStyle w:val="TOC2"/>
            <w:tabs>
              <w:tab w:val="clear" w:pos="9355"/>
              <w:tab w:val="right" w:pos="9637" w:leader="dot"/>
            </w:tabs>
            <w:rPr/>
          </w:pPr>
          <w:hyperlink w:anchor="__RefHeading___Toc1099_1709072779">
            <w:r>
              <w:rPr>
                <w:rStyle w:val="IndexLink"/>
                <w:i w:val="false"/>
                <w:iCs w:val="false"/>
              </w:rPr>
              <w:t>The purpose of the mount</w:t>
            </w:r>
            <w:r>
              <w:rPr>
                <w:rStyle w:val="IndexLink"/>
              </w:rPr>
              <w:tab/>
              <w:t>7</w:t>
            </w:r>
          </w:hyperlink>
        </w:p>
        <w:p>
          <w:pPr>
            <w:pStyle w:val="TOC2"/>
            <w:tabs>
              <w:tab w:val="clear" w:pos="9355"/>
              <w:tab w:val="right" w:pos="9637" w:leader="dot"/>
            </w:tabs>
            <w:rPr/>
          </w:pPr>
          <w:hyperlink w:anchor="__RefHeading___Toc18297_68767826">
            <w:r>
              <w:rPr>
                <w:rStyle w:val="IndexLink"/>
              </w:rPr>
              <w:t>The creation of the mount</w:t>
              <w:tab/>
              <w:t>7</w:t>
            </w:r>
          </w:hyperlink>
        </w:p>
        <w:p>
          <w:pPr>
            <w:pStyle w:val="TOC2"/>
            <w:tabs>
              <w:tab w:val="clear" w:pos="9355"/>
              <w:tab w:val="right" w:pos="9637" w:leader="dot"/>
            </w:tabs>
            <w:rPr/>
          </w:pPr>
          <w:hyperlink w:anchor="__RefHeading___Toc5632_2187837281">
            <w:r>
              <w:rPr>
                <w:rStyle w:val="IndexLink"/>
              </w:rPr>
              <w:t>Photography of the mount</w:t>
              <w:tab/>
              <w:t>9</w:t>
            </w:r>
          </w:hyperlink>
        </w:p>
        <w:p>
          <w:pPr>
            <w:pStyle w:val="TOC2"/>
            <w:tabs>
              <w:tab w:val="clear" w:pos="9355"/>
              <w:tab w:val="right" w:pos="9637" w:leader="dot"/>
            </w:tabs>
            <w:rPr/>
          </w:pPr>
          <w:hyperlink w:anchor="__RefHeading___Toc5356_68767826">
            <w:r>
              <w:rPr>
                <w:rStyle w:val="IndexLink"/>
              </w:rPr>
              <w:t>The composition of the mount</w:t>
              <w:tab/>
              <w:t>10</w:t>
            </w:r>
          </w:hyperlink>
        </w:p>
        <w:p>
          <w:pPr>
            <w:pStyle w:val="TOC3"/>
            <w:tabs>
              <w:tab w:val="clear" w:pos="9072"/>
              <w:tab w:val="right" w:pos="9637" w:leader="dot"/>
            </w:tabs>
            <w:rPr/>
          </w:pPr>
          <w:hyperlink w:anchor="__RefHeading___Toc16585_68767826">
            <w:r>
              <w:rPr>
                <w:rStyle w:val="IndexLink"/>
              </w:rPr>
              <w:t>Overview</w:t>
              <w:tab/>
              <w:t>10</w:t>
            </w:r>
          </w:hyperlink>
        </w:p>
        <w:p>
          <w:pPr>
            <w:pStyle w:val="TOC3"/>
            <w:tabs>
              <w:tab w:val="clear" w:pos="9072"/>
              <w:tab w:val="right" w:pos="9637" w:leader="dot"/>
            </w:tabs>
            <w:rPr/>
          </w:pPr>
          <w:hyperlink w:anchor="__RefHeading___Toc4995_537823704">
            <w:r>
              <w:rPr>
                <w:rStyle w:val="IndexLink"/>
                <w:i/>
                <w:iCs/>
              </w:rPr>
              <w:t>Barosaurus</w:t>
            </w:r>
            <w:r>
              <w:rPr>
                <w:rStyle w:val="IndexLink"/>
              </w:rPr>
              <w:t xml:space="preserve"> material in the mount</w:t>
              <w:tab/>
              <w:t>10</w:t>
            </w:r>
          </w:hyperlink>
        </w:p>
        <w:p>
          <w:pPr>
            <w:pStyle w:val="TOC3"/>
            <w:tabs>
              <w:tab w:val="clear" w:pos="9072"/>
              <w:tab w:val="right" w:pos="9637" w:leader="dot"/>
            </w:tabs>
            <w:rPr/>
          </w:pPr>
          <w:hyperlink w:anchor="__RefHeading___Toc16587_68767826">
            <w:r>
              <w:rPr>
                <w:rStyle w:val="IndexLink"/>
              </w:rPr>
              <w:t>Skull</w:t>
              <w:tab/>
              <w:t>12</w:t>
            </w:r>
          </w:hyperlink>
        </w:p>
        <w:p>
          <w:pPr>
            <w:pStyle w:val="TOC3"/>
            <w:tabs>
              <w:tab w:val="clear" w:pos="9072"/>
              <w:tab w:val="right" w:pos="9637" w:leader="dot"/>
            </w:tabs>
            <w:rPr/>
          </w:pPr>
          <w:hyperlink w:anchor="__RefHeading___Toc16589_68767826">
            <w:r>
              <w:rPr>
                <w:rStyle w:val="IndexLink"/>
              </w:rPr>
              <w:t>Neck</w:t>
              <w:tab/>
              <w:t>12</w:t>
            </w:r>
          </w:hyperlink>
        </w:p>
        <w:p>
          <w:pPr>
            <w:pStyle w:val="TOC3"/>
            <w:tabs>
              <w:tab w:val="clear" w:pos="9072"/>
              <w:tab w:val="right" w:pos="9637" w:leader="dot"/>
            </w:tabs>
            <w:rPr/>
          </w:pPr>
          <w:hyperlink w:anchor="__RefHeading___Toc2466_2187837281">
            <w:r>
              <w:rPr>
                <w:rStyle w:val="IndexLink"/>
              </w:rPr>
              <w:t>Torso, sacrum and tail</w:t>
              <w:tab/>
              <w:t>12</w:t>
            </w:r>
          </w:hyperlink>
        </w:p>
        <w:p>
          <w:pPr>
            <w:pStyle w:val="TOC3"/>
            <w:tabs>
              <w:tab w:val="clear" w:pos="9072"/>
              <w:tab w:val="right" w:pos="9637" w:leader="dot"/>
            </w:tabs>
            <w:rPr/>
          </w:pPr>
          <w:hyperlink w:anchor="__RefHeading___Toc2470_2187837281">
            <w:r>
              <w:rPr>
                <w:rStyle w:val="IndexLink"/>
              </w:rPr>
              <w:t>Forelimbs and girdles</w:t>
              <w:tab/>
              <w:t>12</w:t>
            </w:r>
          </w:hyperlink>
        </w:p>
        <w:p>
          <w:pPr>
            <w:pStyle w:val="TOC3"/>
            <w:tabs>
              <w:tab w:val="clear" w:pos="9072"/>
              <w:tab w:val="right" w:pos="9637" w:leader="dot"/>
            </w:tabs>
            <w:rPr/>
          </w:pPr>
          <w:hyperlink w:anchor="__RefHeading___Toc2472_2187837281">
            <w:r>
              <w:rPr>
                <w:rStyle w:val="IndexLink"/>
              </w:rPr>
              <w:t>Hindlimbs and girdles</w:t>
              <w:tab/>
              <w:t>13</w:t>
            </w:r>
          </w:hyperlink>
        </w:p>
        <w:p>
          <w:pPr>
            <w:pStyle w:val="TOC1"/>
            <w:tabs>
              <w:tab w:val="clear" w:pos="9638"/>
              <w:tab w:val="right" w:pos="9637" w:leader="dot"/>
            </w:tabs>
            <w:rPr/>
          </w:pPr>
          <w:hyperlink w:anchor="__RefHeading___Toc3401_68767826">
            <w:r>
              <w:rPr>
                <w:rStyle w:val="IndexLink"/>
              </w:rPr>
              <w:t>Discussion</w:t>
              <w:tab/>
              <w:t>13</w:t>
            </w:r>
          </w:hyperlink>
        </w:p>
        <w:p>
          <w:pPr>
            <w:pStyle w:val="TOC2"/>
            <w:tabs>
              <w:tab w:val="clear" w:pos="9355"/>
              <w:tab w:val="right" w:pos="9637" w:leader="dot"/>
            </w:tabs>
            <w:rPr/>
          </w:pPr>
          <w:hyperlink w:anchor="__RefHeading___Toc2476_2187837281">
            <w:r>
              <w:rPr>
                <w:rStyle w:val="IndexLink"/>
              </w:rPr>
              <w:t>Rearing pose</w:t>
              <w:tab/>
              <w:t>13</w:t>
            </w:r>
          </w:hyperlink>
        </w:p>
        <w:p>
          <w:pPr>
            <w:pStyle w:val="TOC2"/>
            <w:tabs>
              <w:tab w:val="clear" w:pos="9355"/>
              <w:tab w:val="right" w:pos="9637" w:leader="dot"/>
            </w:tabs>
            <w:rPr/>
          </w:pPr>
          <w:hyperlink w:anchor="__RefHeading___Toc3786_1986291683">
            <w:r>
              <w:rPr>
                <w:rStyle w:val="IndexLink"/>
              </w:rPr>
              <w:t>A short history of a rearing sauropods</w:t>
              <w:tab/>
              <w:t>15</w:t>
            </w:r>
          </w:hyperlink>
        </w:p>
        <w:p>
          <w:pPr>
            <w:pStyle w:val="TOC2"/>
            <w:tabs>
              <w:tab w:val="clear" w:pos="9355"/>
              <w:tab w:val="right" w:pos="9637" w:leader="dot"/>
            </w:tabs>
            <w:rPr/>
          </w:pPr>
          <w:hyperlink w:anchor="__RefHeading___Toc21934_68767826">
            <w:r>
              <w:rPr>
                <w:rStyle w:val="IndexLink"/>
              </w:rPr>
              <w:t>Size of the AMNH 6341 animal</w:t>
              <w:tab/>
              <w:t>16</w:t>
            </w:r>
          </w:hyperlink>
        </w:p>
        <w:p>
          <w:pPr>
            <w:pStyle w:val="TOC1"/>
            <w:tabs>
              <w:tab w:val="clear" w:pos="9638"/>
              <w:tab w:val="right" w:pos="9637" w:leader="dot"/>
            </w:tabs>
            <w:rPr/>
          </w:pPr>
          <w:hyperlink w:anchor="__RefHeading___Toc3403_68767826">
            <w:r>
              <w:rPr>
                <w:rStyle w:val="IndexLink"/>
              </w:rPr>
              <w:t>Acknowledgements</w:t>
              <w:tab/>
              <w:t>17</w:t>
            </w:r>
          </w:hyperlink>
        </w:p>
        <w:p>
          <w:pPr>
            <w:pStyle w:val="TOC1"/>
            <w:tabs>
              <w:tab w:val="clear" w:pos="9638"/>
              <w:tab w:val="right" w:pos="9637" w:leader="dot"/>
            </w:tabs>
            <w:rPr/>
          </w:pPr>
          <w:hyperlink w:anchor="__RefHeading___Toc3405_68767826">
            <w:r>
              <w:rPr>
                <w:rStyle w:val="IndexLink"/>
              </w:rPr>
              <w:t>References</w:t>
              <w:tab/>
              <w:t>17</w:t>
            </w:r>
          </w:hyperlink>
        </w:p>
        <w:p>
          <w:pPr>
            <w:pStyle w:val="TOC1"/>
            <w:tabs>
              <w:tab w:val="clear" w:pos="9638"/>
              <w:tab w:val="right" w:pos="9637" w:leader="dot"/>
            </w:tabs>
            <w:rPr/>
          </w:pPr>
          <w:hyperlink w:anchor="__RefHeading___Toc3407_68767826">
            <w:r>
              <w:rPr>
                <w:rStyle w:val="IndexLink"/>
              </w:rPr>
              <w:t>Figure Captions</w:t>
              <w:tab/>
              <w:t>21</w:t>
            </w:r>
          </w:hyperlink>
          <w:r>
            <w:rPr>
              <w:rStyle w:val="IndexLink"/>
            </w:rPr>
            <w:fldChar w:fldCharType="end"/>
          </w:r>
        </w:p>
      </w:sdtContent>
    </w:sdt>
    <w:p>
      <w:pPr>
        <w:pStyle w:val="BodyText"/>
        <w:spacing w:lineRule="auto" w:line="276" w:before="0" w:after="140"/>
        <w:rPr>
          <w:i/>
          <w:i/>
          <w:iCs/>
        </w:rPr>
      </w:pPr>
      <w:r>
        <w:rPr>
          <w:i/>
          <w:iCs/>
        </w:rPr>
      </w:r>
    </w:p>
    <w:p>
      <w:pPr>
        <w:pStyle w:val="Heading1"/>
        <w:rPr/>
      </w:pPr>
      <w:bookmarkStart w:id="1" w:name="__RefHeading___Toc3784_1986291683"/>
      <w:bookmarkEnd w:id="1"/>
      <w:r>
        <w:rPr/>
        <w:t>Introduction</w:t>
      </w:r>
    </w:p>
    <w:p>
      <w:pPr>
        <w:pStyle w:val="BodyText"/>
        <w:spacing w:lineRule="auto" w:line="276" w:before="0" w:after="140"/>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Roosevelt Memorial Hall of the American Museum of Natural History (Figure A).</w:t>
      </w:r>
    </w:p>
    <w:p>
      <w:pPr>
        <w:pStyle w:val="BodyText"/>
        <w:rPr/>
      </w:pPr>
      <w:r>
        <w:rPr/>
        <w:t xml:space="preserve">Although the material that the mount is based on (the partial skeleton AMNH 6341) has never been described in monographic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BodyText"/>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and which from other specimens. We will discuss how scaling was calculated and how the pose was decided on, and summarize the controversy generated by the mount.</w:t>
      </w:r>
    </w:p>
    <w:p>
      <w:pPr>
        <w:pStyle w:val="Heading2"/>
        <w:rPr/>
      </w:pPr>
      <w:bookmarkStart w:id="2" w:name="__RefHeading___Toc3323_2187837281"/>
      <w:bookmarkEnd w:id="2"/>
      <w:r>
        <w:rPr/>
        <w:t>Anatomical nomenclature</w:t>
      </w:r>
    </w:p>
    <w:p>
      <w:pPr>
        <w:pStyle w:val="BodyText"/>
        <w:rPr/>
      </w:pPr>
      <w:r>
        <w:rPr/>
        <w:t>C</w:t>
      </w:r>
      <w:r>
        <w:rPr>
          <w:i/>
          <w:iCs/>
        </w:rPr>
        <w:t>n</w:t>
      </w:r>
      <w:r>
        <w:rPr/>
        <w:t xml:space="preserve"> indicates the </w:t>
      </w:r>
      <w:r>
        <w:rPr>
          <w:i/>
          <w:iCs/>
        </w:rPr>
        <w:t>n</w:t>
      </w:r>
      <w:r>
        <w:rPr/>
        <w:t>th cervical vertebra, Ca</w:t>
      </w:r>
      <w:r>
        <w:rPr>
          <w:i/>
          <w:iCs/>
        </w:rPr>
        <w:t>n</w:t>
      </w:r>
      <w:r>
        <w:rPr/>
        <w:t xml:space="preserve"> indicates the </w:t>
      </w:r>
      <w:r>
        <w:rPr>
          <w:i/>
          <w:iCs/>
        </w:rPr>
        <w:t>n</w:t>
      </w:r>
      <w:r>
        <w:rPr/>
        <w:t>th caudal vertebra.</w:t>
      </w:r>
    </w:p>
    <w:p>
      <w:pPr>
        <w:pStyle w:val="BodyText"/>
        <w:rPr/>
      </w:pPr>
      <w:r>
        <w:rPr>
          <w:rFonts w:eastAsia="Songti SC" w:cs="Arial Unicode MS"/>
          <w:color w:val="auto"/>
          <w:kern w:val="2"/>
          <w:sz w:val="24"/>
          <w:szCs w:val="24"/>
          <w:lang w:val="en-GB" w:eastAsia="zh-CN" w:bidi="hi-IN"/>
        </w:rPr>
        <w:t xml:space="preserve">We follow McIntosh’s (2005) interpretation of the presacral vertebrae of </w:t>
      </w:r>
      <w:r>
        <w:rPr>
          <w:rFonts w:eastAsia="Songti SC" w:cs="Arial Unicode MS"/>
          <w:i/>
          <w:iCs/>
          <w:color w:val="auto"/>
          <w:kern w:val="2"/>
          <w:sz w:val="24"/>
          <w:szCs w:val="24"/>
          <w:lang w:val="en-GB" w:eastAsia="zh-CN" w:bidi="hi-IN"/>
        </w:rPr>
        <w:t>Barosaurus</w:t>
      </w:r>
      <w:r>
        <w:rPr>
          <w:rFonts w:eastAsia="Songti SC" w:cs="Arial Unicode MS"/>
          <w:color w:val="auto"/>
          <w:kern w:val="2"/>
          <w:sz w:val="24"/>
          <w:szCs w:val="24"/>
          <w:lang w:val="en-GB" w:eastAsia="zh-CN" w:bidi="hi-IN"/>
        </w:rPr>
        <w:t xml:space="preserve"> consisting of 16 cervicals and nine dorsals, rather then 15 and 10 as in </w:t>
      </w:r>
      <w:r>
        <w:rPr>
          <w:rFonts w:eastAsia="Songti SC" w:cs="Arial Unicode MS"/>
          <w:i/>
          <w:iCs/>
          <w:color w:val="auto"/>
          <w:kern w:val="2"/>
          <w:sz w:val="24"/>
          <w:szCs w:val="24"/>
          <w:lang w:val="en-GB" w:eastAsia="zh-CN" w:bidi="hi-IN"/>
        </w:rPr>
        <w:t>Diplodocus</w:t>
      </w:r>
      <w:r>
        <w:rPr>
          <w:rFonts w:eastAsia="Songti SC" w:cs="Arial Unicode MS"/>
          <w:color w:val="auto"/>
          <w:kern w:val="2"/>
          <w:sz w:val="24"/>
          <w:szCs w:val="24"/>
          <w:lang w:val="en-GB" w:eastAsia="zh-CN" w:bidi="hi-IN"/>
        </w:rPr>
        <w:t>.</w:t>
      </w:r>
    </w:p>
    <w:p>
      <w:pPr>
        <w:pStyle w:val="Heading2"/>
        <w:rPr/>
      </w:pPr>
      <w:bookmarkStart w:id="3" w:name="__RefHeading___Toc5349_68767826"/>
      <w:bookmarkEnd w:id="3"/>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HMNS — Houston Museum of Nature and Science, Houston, Texas, USA.</w:t>
      </w:r>
    </w:p>
    <w:p>
      <w:pPr>
        <w:pStyle w:val="BodyText"/>
        <w:numPr>
          <w:ilvl w:val="0"/>
          <w:numId w:val="4"/>
        </w:numPr>
        <w:ind w:hanging="360" w:left="720" w:right="0"/>
        <w:rPr/>
      </w:pPr>
      <w:r>
        <w:rPr/>
        <w:t>MfN — Museum für Naturkunde Berlin, Berlin, Germany; specimen numbers for fossil reptiles take the form MB.R.</w:t>
      </w:r>
      <w:r>
        <w:rPr>
          <w:i/>
          <w:iCs/>
        </w:rPr>
        <w:t>nnnn</w:t>
      </w:r>
      <w:r>
        <w:rPr/>
        <w:t>.</w:t>
      </w:r>
    </w:p>
    <w:p>
      <w:pPr>
        <w:pStyle w:val="BodyText"/>
        <w:numPr>
          <w:ilvl w:val="0"/>
          <w:numId w:val="4"/>
        </w:numPr>
        <w:ind w:hanging="360" w:left="720" w:right="0"/>
        <w:rPr/>
      </w:pPr>
      <w:r>
        <w:rPr/>
        <w:t>USNM – United States National Museum, Washington, D.C., USA.</w:t>
      </w:r>
    </w:p>
    <w:p>
      <w:pPr>
        <w:pStyle w:val="BodyText"/>
        <w:numPr>
          <w:ilvl w:val="0"/>
          <w:numId w:val="4"/>
        </w:numPr>
        <w:ind w:hanging="360" w:left="720" w:right="0"/>
        <w:rPr/>
      </w:pPr>
      <w:r>
        <w:rPr/>
        <w:t>YPM — Yale Peabody Museum, New Haven, Connecticut, USA.</w:t>
      </w:r>
    </w:p>
    <w:p>
      <w:pPr>
        <w:pStyle w:val="Heading1"/>
        <w:numPr>
          <w:ilvl w:val="0"/>
          <w:numId w:val="2"/>
        </w:numPr>
        <w:ind w:hanging="0" w:left="0" w:right="0"/>
        <w:rPr/>
      </w:pPr>
      <w:bookmarkStart w:id="4" w:name="__RefHeading___Toc4316_68767826"/>
      <w:bookmarkEnd w:id="4"/>
      <w:r>
        <w:rPr/>
        <w:t>Historical background</w:t>
      </w:r>
    </w:p>
    <w:p>
      <w:pPr>
        <w:pStyle w:val="Heading2"/>
        <w:rPr/>
      </w:pPr>
      <w:bookmarkStart w:id="5" w:name="__RefHeading___Toc12350_68767826"/>
      <w:bookmarkEnd w:id="5"/>
      <w:r>
        <w:rPr/>
        <w:t xml:space="preserve">Early discoveries of </w:t>
      </w:r>
      <w:r>
        <w:rPr>
          <w:i/>
          <w:iCs/>
        </w:rPr>
        <w:t>Barosaurus</w:t>
      </w:r>
    </w:p>
    <w:p>
      <w:pPr>
        <w:pStyle w:val="BodyText"/>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1889,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BodyText"/>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BodyText"/>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words in length, is largely uninformative. Subsequently he described the specimen in detail in a significant monograph (Lull 1919), which remained the definitive publication on </w:t>
      </w:r>
      <w:r>
        <w:rPr>
          <w:i/>
          <w:iCs/>
        </w:rPr>
        <w:t>Barosaurus</w:t>
      </w:r>
      <w:r>
        <w:rPr/>
        <w:t xml:space="preserve"> until McIntosh’s (2005) revision.</w:t>
      </w:r>
    </w:p>
    <w:p>
      <w:pPr>
        <w:pStyle w:val="BodyText"/>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was CM 11984, another partial cervical sequence consisting of C7–C15 but still not fully prepared, residing the collections of the Carnegie Museum.</w:t>
      </w:r>
    </w:p>
    <w:p>
      <w:pPr>
        <w:pStyle w:val="BodyText"/>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diplodocine genus </w:t>
      </w:r>
      <w:r>
        <w:rPr>
          <w:i/>
          <w:iCs/>
        </w:rPr>
        <w:t>Tornieria</w:t>
      </w:r>
      <w:r>
        <w:rPr/>
        <w:t xml:space="preserve"> as the species </w:t>
      </w:r>
      <w:r>
        <w:rPr>
          <w:i/>
          <w:iCs/>
        </w:rPr>
        <w:t>Tornieria africana</w:t>
      </w:r>
      <w:r>
        <w:rPr/>
        <w:t>.</w:t>
      </w:r>
    </w:p>
    <w:p>
      <w:pPr>
        <w:pStyle w:val="BodyText"/>
        <w:rPr/>
      </w:pPr>
      <w:r>
        <w:rPr/>
        <w:t xml:space="preserve">The most complete and informative </w:t>
      </w:r>
      <w:r>
        <w:rPr>
          <w:i/>
          <w:iCs/>
        </w:rPr>
        <w:t>Barosaurus</w:t>
      </w:r>
      <w:r>
        <w:rPr/>
        <w:t xml:space="preserve"> specimen to date is AMNH 6341, the individual that provided most of the material for the AMNH mount. It was briefly described as part of McIntosh’s (2005) revision of the genus </w:t>
      </w:r>
      <w:r>
        <w:rPr>
          <w:i/>
          <w:iCs/>
        </w:rPr>
        <w:t>Barosaurus</w:t>
      </w:r>
      <w:r>
        <w:rPr/>
        <w:t>, but has yet to be described in monographic detail. For the remainder of this paper, we will focus on this specimen.</w:t>
      </w:r>
    </w:p>
    <w:p>
      <w:pPr>
        <w:pStyle w:val="Heading2"/>
        <w:rPr/>
      </w:pPr>
      <w:bookmarkStart w:id="6" w:name="__RefHeading___Toc12352_68767826"/>
      <w:bookmarkEnd w:id="6"/>
      <w:r>
        <w:rPr/>
        <w:t xml:space="preserve">The AMNH specimen of </w:t>
      </w:r>
      <w:r>
        <w:rPr>
          <w:i/>
          <w:iCs/>
        </w:rPr>
        <w:t>Barosaurus</w:t>
      </w:r>
    </w:p>
    <w:p>
      <w:pPr>
        <w:pStyle w:val="BodyText"/>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Beginning in 1922, two fine diplodocine skeletons were partially excavated from the easternmost part of the quarry (McIntosh 2005:42). One of these, designated #355 in the field, was a </w:t>
      </w:r>
      <w:r>
        <w:rPr>
          <w:i/>
          <w:iCs/>
        </w:rPr>
        <w:t>Diplodocus</w:t>
      </w:r>
      <w:r>
        <w:rPr/>
        <w:t xml:space="preserve"> that was collected by Charles W. Gilmore for the National Museum of Natural History in Washington, D.C. (USNM 10865),. The other, designated #340 and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scapulocoracoid and humerus from the University of Utah specimen. This left the skeleton now spread across three institutions in Salt Lake City, Pittsburgh, and Washington, D.C.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(Gilmore 1932:4). It was therefore not used after all in the mount of USNM 10865, which was instead completed with casts of the Carnegie </w:t>
      </w:r>
      <w:r>
        <w:rPr>
          <w:i/>
          <w:iCs/>
        </w:rPr>
        <w:t>Diplodocus</w:t>
      </w:r>
      <w:r>
        <w:rPr/>
        <w:t xml:space="preserve"> CM 84 and unveiled in 1932 (Gilmore 1932).</w:t>
      </w:r>
    </w:p>
    <w:p>
      <w:pPr>
        <w:pStyle w:val="BodyText"/>
        <w:rPr/>
      </w:pPr>
      <w:r>
        <w:rPr/>
        <w:t xml:space="preserve">In 1929, Barnum Brown, acting for the American Museum of Natural History, visited most of the nation’s major natural history museums to assess their collections. He realised that the neck, anterior torso, scapulocoracoid and 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BodyText"/>
        <w:rPr/>
      </w:pPr>
      <w:r>
        <w:rPr/>
        <w:t xml:space="preserve">There is some evidence that the last ten cervical vertebrae (C7–16) were preserved in the specimen as first excavated: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McIntosh’s unpublished 1962 notes, his published account (McIntosh 2005) and the present fossil holdings at the AMNH all include only nine cervical vertebrae, C8–16. Carl Mehling (pers. comm., 2022)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Heading1"/>
        <w:numPr>
          <w:ilvl w:val="0"/>
          <w:numId w:val="2"/>
        </w:numPr>
        <w:ind w:hanging="0" w:left="0" w:right="0"/>
        <w:rPr/>
      </w:pPr>
      <w:bookmarkStart w:id="7" w:name="__RefHeading___Toc5351_68767826"/>
      <w:bookmarkEnd w:id="7"/>
      <w:r>
        <w:rPr/>
        <w:t xml:space="preserve">The AMNH mounted </w:t>
      </w:r>
      <w:r>
        <w:rPr>
          <w:i/>
          <w:iCs/>
        </w:rPr>
        <w:t>Barosaurus</w:t>
      </w:r>
    </w:p>
    <w:p>
      <w:pPr>
        <w:pStyle w:val="Heading2"/>
        <w:rPr/>
      </w:pPr>
      <w:bookmarkStart w:id="8" w:name="__RefHeading___Toc5354_68767826"/>
      <w:bookmarkEnd w:id="8"/>
      <w:r>
        <w:rPr/>
        <w:t>The conception of the mount</w:t>
      </w:r>
    </w:p>
    <w:p>
      <w:pPr>
        <w:pStyle w:val="BodyText"/>
        <w:rPr/>
      </w:pPr>
      <w:r>
        <w:rPr/>
        <w:t xml:space="preserve">The three parts of AMNH 6341 had been reunited from their layovers in the USNM, Utah University and Carnegie Museum by 1930 or shortly thereafter. However, having acquired their </w:t>
      </w:r>
      <w:r>
        <w:rPr>
          <w:i/>
          <w:iCs/>
        </w:rPr>
        <w:t>Barosaurus</w:t>
      </w:r>
      <w:r>
        <w:rPr/>
        <w:t xml:space="preserve"> skeleton, the AMNH seemed at a loss to know what to do with it. It lay dormant for a decade until the presacral vertebrae and some limb bones were exhibited in glass cabinets alongside the mounted </w:t>
      </w:r>
      <w:r>
        <w:rPr>
          <w:i/>
          <w:iCs/>
          <w:u w:val="none"/>
        </w:rPr>
        <w:t>Apatosaurus</w:t>
      </w:r>
      <w:r>
        <w:rPr/>
        <w:t xml:space="preserve"> in the Hall of Early Dinosaurs on 17 April 1939 (Figure D, Figure G). Plans were made at that time to mount the skeleton in place of </w:t>
      </w:r>
      <w:r>
        <w:rPr>
          <w:i/>
          <w:iCs/>
        </w:rPr>
        <w:t>Apatosaurus</w:t>
      </w:r>
      <w:r>
        <w:rPr/>
        <w:t xml:space="preserve"> (Anonymous 1939), but these came to nothing. The </w:t>
      </w:r>
      <w:r>
        <w:rPr>
          <w:i/>
          <w:iCs/>
        </w:rPr>
        <w:t>Barosaurus</w:t>
      </w:r>
      <w:r>
        <w:rPr/>
        <w:t xml:space="preserve"> elements remained here until the renovation supervised by Edwin H. Colbert in the early 1950s. At this point, tentative plans were made once more to mount the </w:t>
      </w:r>
      <w:r>
        <w:rPr>
          <w:i/>
          <w:iCs/>
        </w:rPr>
        <w:t>Barosaurus</w:t>
      </w:r>
      <w:r>
        <w:rPr/>
        <w:t xml:space="preserve"> skeleton in the Hall of Early Dinosaurs, but it was felt that the mount would take up too much space and these plans were abandoned. Instead, the entire specimen was moved into collections. Four more decades were to pass before the skeleton (or at least a cast based on it) was finally mounted.</w:t>
      </w:r>
    </w:p>
    <w:p>
      <w:pPr>
        <w:pStyle w:val="BodyText"/>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covering 65,000 square feet, and expanding into new spaces at a total cost of $38 million.</w:t>
      </w:r>
    </w:p>
    <w:p>
      <w:pPr>
        <w:pStyle w:val="BodyText"/>
        <w:rPr/>
      </w:pPr>
      <w:r>
        <w:rPr/>
        <w:t>As part of this broader initiative, paleontological staff were asked whether they had any specimens suitable for mounting in the Roosevelt Memorial Hall that is the main entrance to the museum on Central Park West. The hall, begun in 1931 and completed in 1936, is a majestic space in its own right</w:t>
      </w:r>
      <w:r>
        <w:rPr>
          <w:i w:val="false"/>
          <w:iCs w:val="false"/>
        </w:rPr>
        <w:t>, with its impressive, barrel-vaulted ceiling.</w:t>
      </w:r>
      <w:r>
        <w:rPr/>
        <w:t xml:space="preserve"> But it was puzzlingly empty as late as 1990 (see illustration in Dingus 1996:20). It was the perfect space for a truly spectacular dinosaur mount that could introduce new visitors to dinosaurs, draw them in to the main galleries, and provoke them to think about paleobiological issues.</w:t>
      </w:r>
    </w:p>
    <w:p>
      <w:pPr>
        <w:pStyle w:val="BodyText"/>
        <w:rPr/>
      </w:pPr>
      <w:r>
        <w:rPr/>
        <w:t>It occurred to Lowell Dingus, then project director of the fossil halls renovation project, that the most spectacular exhibit would be a gigantic sauropod rearing up on its hind legs. But he thought there was little chance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BodyText"/>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BodyText"/>
        <w:rPr/>
      </w:pPr>
      <w:r>
        <w:rPr/>
        <w:t xml:space="preserve">Knowing nothing of Dingus’s independently arrived-at plan, Gaffney found Paul’s painting intriguing. Inspired by this artwork, he conceived for the Roosevelt Memorial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come up with essentially the same plan as himself — and both were further astonished when incoming dinosaur curator Mark Norrell also approved of the proposal, despite his own distaste for behavioural speculation about dinosaurs.</w:t>
      </w:r>
    </w:p>
    <w:p>
      <w:pPr>
        <w:pStyle w:val="BodyText"/>
        <w:rPr/>
      </w:pPr>
      <w:r>
        <w:rPr/>
        <w:t xml:space="preserve">The original suggestion, using half a dozen or more skeletal casts, was deemed impractical, in part because it would have taken up too much space even in the huge Roosevelt Memorial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BodyText"/>
        <w:rPr/>
      </w:pPr>
      <w:r>
        <w:rPr/>
        <w:t xml:space="preserve">Dr. John (Jack) S. McIntosh, a professor of theoretical physics at Wesleyan University in Connecticut, was an avocational paleontologist specialising in sauropods, and through work done in his spare time became the world’s leading expert on the group. Gaffney knew him from his undergraduate days and when he succeeded Colbert as curator of the AMNH fossil reptile collection in 1970, McIntosh had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albeit for a specifically limited purpose, as discussed in the next section. McIntosh was to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9" w:name="__RefHeading___Toc1099_1709072779"/>
      <w:bookmarkEnd w:id="9"/>
      <w:r>
        <w:rPr>
          <w:i w:val="false"/>
          <w:iCs w:val="false"/>
        </w:rPr>
        <w:t>The purpose of the mount</w:t>
      </w:r>
    </w:p>
    <w:p>
      <w:pPr>
        <w:pStyle w:val="BodyText"/>
        <w:rPr/>
      </w:pPr>
      <w:r>
        <w:rPr>
          <w:i w:val="false"/>
          <w:iCs w:val="false"/>
        </w:rPr>
        <w:t xml:space="preserve">While providing a breathtaking first impression of the museum for new visitors, the purpose of the mount extended well beyond the visual power of viewing the tallest free-standing dinosaur mount ever constructed. More importantly, the mount would introduce a major scientific theme that would be integrated into all the fossil halls encompassed in the renovation project: what can we actually know about these long-extinct icons of evolution, and what can’t we know based on the limited kinds of data preserved in their fossils? The exhibition label for the mount clearly stated this conundrum in a section entitled </w:t>
      </w:r>
      <w:r>
        <w:rPr>
          <w:rFonts w:eastAsia="Songti SC" w:cs="Arial Unicode MS"/>
          <w:i w:val="false"/>
          <w:iCs w:val="false"/>
          <w:color w:val="auto"/>
          <w:kern w:val="2"/>
          <w:sz w:val="24"/>
          <w:szCs w:val="24"/>
          <w:lang w:val="en-GB" w:eastAsia="zh-CN" w:bidi="hi-IN"/>
        </w:rPr>
        <w:t>“</w:t>
      </w:r>
      <w:r>
        <w:rPr>
          <w:i w:val="false"/>
          <w:iCs w:val="false"/>
        </w:rPr>
        <w:t>Did this really happen?</w:t>
      </w:r>
      <w:r>
        <w:rPr>
          <w:rFonts w:eastAsia="Songti SC" w:cs="Arial Unicode MS"/>
          <w:i w:val="false"/>
          <w:iCs w:val="false"/>
          <w:color w:val="auto"/>
          <w:kern w:val="2"/>
          <w:sz w:val="24"/>
          <w:szCs w:val="24"/>
          <w:lang w:val="en-GB" w:eastAsia="zh-CN" w:bidi="hi-IN"/>
        </w:rPr>
        <w:t>” (Figure I)</w:t>
      </w:r>
      <w:r>
        <w:rPr>
          <w:i w:val="false"/>
          <w:iCs w:val="false"/>
        </w:rPr>
        <w:t>:</w:t>
      </w:r>
    </w:p>
    <w:p>
      <w:pPr>
        <w:pStyle w:val="BlockQuotation"/>
        <w:rPr/>
      </w:pPr>
      <w:r>
        <w:rPr>
          <w:i w:val="false"/>
          <w:iCs w:val="false"/>
        </w:rPr>
        <w:t xml:space="preserve">No one knows for sure. Our only evidence of the lives of extinct dinosaurs comes from such fossils as bones and footprints. Fossils tell us about the size and shape of the animals and whether they stood on four legs (like </w:t>
      </w:r>
      <w:r>
        <w:rPr>
          <w:i/>
          <w:iCs/>
        </w:rPr>
        <w:t>Barosaurus</w:t>
      </w:r>
      <w:r>
        <w:rPr>
          <w:i w:val="false"/>
          <w:iCs w:val="false"/>
        </w:rPr>
        <w:t xml:space="preserve">) or on their two hind legs (like </w:t>
      </w:r>
      <w:r>
        <w:rPr>
          <w:i/>
          <w:iCs/>
        </w:rPr>
        <w:t>Allosaurus</w:t>
      </w:r>
      <w:r>
        <w:rPr>
          <w:i w:val="false"/>
          <w:iCs w:val="false"/>
        </w:rPr>
        <w:t xml:space="preserve">). They do not tell us, however, if </w:t>
      </w:r>
      <w:r>
        <w:rPr>
          <w:i/>
          <w:iCs/>
        </w:rPr>
        <w:t>Barosaurus</w:t>
      </w:r>
      <w:r>
        <w:rPr>
          <w:i w:val="false"/>
          <w:iCs w:val="false"/>
        </w:rPr>
        <w:t xml:space="preserve"> could rear up or if </w:t>
      </w:r>
      <w:r>
        <w:rPr>
          <w:i/>
          <w:iCs/>
        </w:rPr>
        <w:t>Allosaurus</w:t>
      </w:r>
      <w:r>
        <w:rPr>
          <w:i w:val="false"/>
          <w:iCs w:val="false"/>
        </w:rPr>
        <w:t xml:space="preserve"> hunted alone or in groups.</w:t>
      </w:r>
    </w:p>
    <w:p>
      <w:pPr>
        <w:pStyle w:val="Heading2"/>
        <w:rPr/>
      </w:pPr>
      <w:bookmarkStart w:id="10" w:name="__RefHeading___Toc18297_68767826"/>
      <w:bookmarkEnd w:id="10"/>
      <w:r>
        <w:rPr/>
        <w:t>The creation of the mount</w:t>
      </w:r>
    </w:p>
    <w:p>
      <w:pPr>
        <w:pStyle w:val="BodyText"/>
        <w:rPr/>
      </w:pPr>
      <w:r>
        <w:rPr/>
        <w:t xml:space="preserve">Early in the process, a prototype model was made at around 1/16 full size to allow the scene to be created and manipulated at a workable scale (Figure H). This was created by a model-maker at </w:t>
      </w:r>
      <w:r>
        <w:rPr>
          <w:i w:val="false"/>
          <w:iCs w:val="false"/>
        </w:rPr>
        <w:t>Maxilla and Mandible</w:t>
      </w:r>
      <w:r>
        <w:rPr/>
        <w:t>, a nearby fossil shop owned by Henry Galiano, which was one block north of the museum. It served as a general guide for the poses of the three animals, as well as a prop for raising funds for the renovation project.</w:t>
      </w:r>
    </w:p>
    <w:p>
      <w:pPr>
        <w:pStyle w:val="BodyText"/>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Roosevelt Memorial Hall display consists entirely of casts.</w:t>
      </w:r>
    </w:p>
    <w:p>
      <w:pPr>
        <w:pStyle w:val="BodyText"/>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bones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of the skeletal elements were either cast from other specimens of closely related dinosaurs or sculpted.</w:t>
      </w:r>
    </w:p>
    <w:p>
      <w:pPr>
        <w:pStyle w:val="BodyText"/>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BodyText"/>
        <w:rPr/>
      </w:pPr>
      <w:r>
        <w:rPr/>
        <w:t xml:space="preserve">In the fall 1990, the RCI crew took the repaired and cleaned </w:t>
      </w:r>
      <w:r>
        <w:rPr>
          <w:i/>
          <w:iCs/>
        </w:rPr>
        <w:t>Barosaurus</w:t>
      </w:r>
      <w:r>
        <w:rPr/>
        <w:t xml:space="preserve"> fossils in a semi-truck from New York to Toronto, where they remained for the best part of a year. There, the bones were duplicated by coating them with latex, then curing the latex to form rubber molds (Figure M). These molds were then used to cast polyurethane foam into accurate replicas of the original fossils that, when painted, were indistinguishable from real bone, but which weighed only a twentieth as much as the fragile and irreplaceable originals. </w:t>
      </w:r>
      <w:r>
        <w:rPr>
          <w:shd w:fill="auto" w:val="clear"/>
        </w:rPr>
        <w:t>Norell et al. (1991:38) noted that “Those that would stand near the ground were cast in higher-density and more durable materials, while those higher up were made of lighter substances.”  Specifically, the lower elements were cast in polyester resin and fiberglass with a substantial steel armature, while the dorsal series, ribs and cervicals were cast with a much lighter fiberglass matt and backfilled with polyurethane foam to keep the weight down as low as possible. Due to the lightness of these elevated elements, the steel armature could be reduced too.</w:t>
      </w:r>
    </w:p>
    <w:p>
      <w:pPr>
        <w:pStyle w:val="BodyText"/>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Some missing bones, including the left scapula and tibia, were sculpted based on their right-sided counterparts. Records do not show exactly which bones were sculpted. </w:t>
      </w:r>
      <w:r>
        <w:rPr>
          <w:shd w:fill="FFFF00" w:val="clear"/>
        </w:rPr>
        <w:t>XXX We must be able to do better than this.</w:t>
      </w:r>
    </w:p>
    <w:p>
      <w:pPr>
        <w:pStyle w:val="BodyText"/>
        <w:rPr/>
      </w:pPr>
      <w:r>
        <w:rPr/>
        <w:t xml:space="preserve">In spring of 1991, a test erection of the rearing </w:t>
      </w:r>
      <w:r>
        <w:rPr>
          <w:i/>
          <w:iCs/>
        </w:rPr>
        <w:t>Barosaurus</w:t>
      </w:r>
      <w:r>
        <w:rPr/>
        <w:t xml:space="preserve"> mount was carried out with the aid of a hired crane and 15 m scissor lift (Figure K). This had to be done in the parking lot behind the RCI workshop, as the completed mount would be too tall to fit inside the workshop. The event was attended by a group from the AMNH, and Jack McIntosh, who had been brought in as a consultant to ensure that the bones were articulated correctly in the moun t (Figure N). Also present were photographers including National Geographic’s Louie Psihoyos,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recalled that “the strangest thing was that the mount actually looked rather natural and graceful […] I had always been extremely skeptical about whether sauropods could rear up to such heights, but the grace of the mount almost erased my doubt”. Although the initial assembly of the rearing barosaur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BodyText"/>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Fort Union Formation (then the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BodyText"/>
        <w:rPr/>
      </w:pPr>
      <w:r>
        <w:rPr/>
        <w:t>In November 1991, the work in Toronto was complete, and the completed exhibit was transported to New York in sections for mounting (Figure O). Unlike the trial mounting in Toronto, when the head and neck were attached in three sections, in New York the three sections were first joined together and then fitted as a unit. This large unit, about nine meters in length, proved awkward to manoeuvre, and it was difficult to raise it to a sufficient height to slide into its slot (Figure L). It took nearly two hours to wrestle 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Figure A and in other contemporary photos such as those of Dingus (1996:26) and Lindsay (1992:18–20). It was soon corrected, however, in a near-disastrous but ultimately successful late-night operation (Dingus 1996:28), and the line of the neck is smooth and elegant in the mount as it is today.</w:t>
      </w:r>
    </w:p>
    <w:p>
      <w:pPr>
        <w:pStyle w:val="BodyText"/>
        <w:rPr/>
      </w:pPr>
      <w:r>
        <w:rPr/>
        <w:t>Lindsay (1992:14–19) provides a vivid illustrated account of the molding, casting and mounting of the skeleton, with photographs by Lynton Gardiner (see below). This book also contains the best published photographs of some of the fossil material, e.g. a posterior cervical vertebra in left lateral view (p11), posterior cervical and posterior dorsal vertebrae in anterior views and right pubis in lateral view (p12), articulated sequence of cast dorsals and posterior cervicals in right lateral view (p18–19).</w:t>
      </w:r>
    </w:p>
    <w:p>
      <w:pPr>
        <w:pStyle w:val="BodyText"/>
        <w:rPr/>
      </w:pPr>
      <w:r>
        <w:rPr/>
        <w:t xml:space="preserve">The exhibit — rearing adult and hiding juvenile </w:t>
      </w:r>
      <w:r>
        <w:rPr>
          <w:i/>
          <w:iCs/>
        </w:rPr>
        <w:t>Barosaurus</w:t>
      </w:r>
      <w:r>
        <w:rPr/>
        <w:t xml:space="preserve">, and running </w:t>
      </w:r>
      <w:r>
        <w:rPr>
          <w:i/>
          <w:iCs/>
        </w:rPr>
        <w:t>Allosaurus</w:t>
      </w:r>
      <w:r>
        <w:rPr/>
        <w:t xml:space="preserve"> — was unveiled to select guests on Tuesday 3 December 1991 (Anonymous 1991) and opened to the public on Wednesday 4 December 1991 (Gordy 1991, Collins 1991). It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(That skull and neck, thought in the 1990s to belong to </w:t>
      </w:r>
      <w:r>
        <w:rPr>
          <w:i/>
          <w:iCs/>
        </w:rPr>
        <w:t>Barosaurus</w:t>
      </w:r>
      <w:r>
        <w:rPr/>
        <w:t xml:space="preserve">, were referred to the closely related diplodocine </w:t>
      </w:r>
      <w:r>
        <w:rPr>
          <w:i/>
          <w:iCs/>
        </w:rPr>
        <w:t>Kaatedocus siberi</w:t>
      </w:r>
      <w:r>
        <w:rPr/>
        <w:t xml:space="preserve"> by Tschopp et al. (2015:220).) The juvenile skull and neck are, at the time of writing, on exhibit in the Miriam and Ira D. Wallach Orientation Hall.</w:t>
      </w:r>
    </w:p>
    <w:p>
      <w:pPr>
        <w:pStyle w:val="BodyText"/>
        <w:rPr/>
      </w:pPr>
      <w:r>
        <w:rPr/>
        <w:t xml:space="preserve">One of us (Dingus) recalls that the total budget for the mounting project was $250,000. Another of us (May) feels that, including the </w:t>
      </w:r>
      <w:r>
        <w:rPr>
          <w:i/>
          <w:iCs/>
        </w:rPr>
        <w:t>Allosaurus</w:t>
      </w:r>
      <w:r>
        <w:rPr/>
        <w:t xml:space="preserve">, the baby </w:t>
      </w:r>
      <w:r>
        <w:rPr>
          <w:i/>
          <w:iCs/>
        </w:rPr>
        <w:t>Barosaurus</w:t>
      </w:r>
      <w:r>
        <w:rPr/>
        <w:t xml:space="preserve"> and the mounting of the original fossil neck and skull of the baby diplodocine AMNH 7530, $250,000 seems a little light. We have not been able to locate official records to resolve this question.</w:t>
      </w:r>
    </w:p>
    <w:p>
      <w:pPr>
        <w:pStyle w:val="BodyText"/>
        <w:rPr/>
      </w:pPr>
      <w:r>
        <w:rPr/>
        <w:t xml:space="preserve">Since the mount of </w:t>
      </w:r>
      <w:r>
        <w:rPr>
          <w:i/>
          <w:iCs/>
        </w:rPr>
        <w:t xml:space="preserve">Barosaurus </w:t>
      </w:r>
      <w:r>
        <w:rPr/>
        <w:t xml:space="preserve">and </w:t>
      </w:r>
      <w:r>
        <w:rPr>
          <w:i/>
          <w:iCs/>
        </w:rPr>
        <w:t xml:space="preserve">Allosaurus </w:t>
      </w:r>
      <w:r>
        <w:rPr/>
        <w:t>opened to the public, tens of millions of visitors have begun their visit to AMNH by sizing up this iconic, if somewhat controversial, skeletal scene.</w:t>
      </w:r>
    </w:p>
    <w:p>
      <w:pPr>
        <w:pStyle w:val="Heading2"/>
        <w:rPr/>
      </w:pPr>
      <w:bookmarkStart w:id="11" w:name="__RefHeading___Toc5632_2187837281"/>
      <w:bookmarkEnd w:id="11"/>
      <w:r>
        <w:rPr/>
        <w:t>Photography of the mount</w:t>
      </w:r>
    </w:p>
    <w:p>
      <w:pPr>
        <w:pStyle w:val="BodyText"/>
        <w:rPr/>
      </w:pPr>
      <w:r>
        <w:rPr/>
        <w:t xml:space="preserve">During the mounting process at the AMNH, and after the unveiling, many photographs were taken. But the rearing mount is a very difficult object to photograph well, climbing high into a gloomy hall with bright windows. Among the photographers was Lynton Gardiner, who had been contracted by Dorling Kindersley to provide photographs for the children’s book </w:t>
      </w:r>
      <w:r>
        <w:rPr>
          <w:i/>
          <w:iCs/>
        </w:rPr>
        <w:t>Barosaurus: On the Trail of the Gigantic Plant-Eating Dinosaur</w:t>
      </w:r>
      <w:r>
        <w:rPr/>
        <w:t xml:space="preserve"> (Lindsay 1992) in their Dinosaur Spotter’s Guides series, as part of a broader contract to photograph dinosaurs at the AMNH and the Smithsonian. Gardiner recalls (pers. comm. 2022):</w:t>
      </w:r>
    </w:p>
    <w:p>
      <w:pPr>
        <w:pStyle w:val="BlockQuotation"/>
        <w:rPr/>
      </w:pPr>
      <w:r>
        <w:rPr/>
        <w:t>The main hall at the AMNH is huge, unevenly and dimly lit, so to get clear bright shots I placed several 2400 and 5000 watt second Comet strobe packs and bare-bulb heads around the hall, synchronizing them with slaves and an infrared sender on the camera. With ISO 200 film we had a consistent f/11 aperture [enabling fine details to be captured and light/shadow contrasts to be adequately depicted] from any vantage point in the hall. I used a Hasselblad camera with a Distagon lens of about 40 mm. Except for using digital cameras now, if I had the same assignment again I’d use a similar approach with synced strobe packs around the hall. Available light with high ISO recording doesn’t produce the crisp detailed results you get with updated traditional electronic flash lighting.</w:t>
      </w:r>
    </w:p>
    <w:p>
      <w:pPr>
        <w:pStyle w:val="Heading2"/>
        <w:rPr/>
      </w:pPr>
      <w:bookmarkStart w:id="12" w:name="__RefHeading___Toc5356_68767826"/>
      <w:bookmarkEnd w:id="12"/>
      <w:r>
        <w:rPr/>
        <w:t>The composition of the mount</w:t>
      </w:r>
    </w:p>
    <w:p>
      <w:pPr>
        <w:pStyle w:val="Heading3"/>
        <w:numPr>
          <w:ilvl w:val="2"/>
          <w:numId w:val="5"/>
        </w:numPr>
        <w:ind w:hanging="0" w:left="0" w:right="0"/>
        <w:rPr/>
      </w:pPr>
      <w:bookmarkStart w:id="13" w:name="__RefHeading___Toc16585_68767826"/>
      <w:bookmarkEnd w:id="13"/>
      <w:r>
        <w:rPr/>
        <w:t>Overview</w:t>
      </w:r>
    </w:p>
    <w:p>
      <w:pPr>
        <w:pStyle w:val="BodyText"/>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xml:space="preserve">.” However, this account did not specify which elements were included in that missing fifth, nor which specific other skeletons the replacements were based on, and it has not been possible to recover this information from the McIntosh archives. A certain amount of detective work is therefore required. To summarise: a complete list of the elements of AMNH 6341 itself can be assembled from the published works and notes of McIntosh; Peter May recalls that with some exceptions discussed below, the missing bones were filled in with casts taken from the Utah Field House’s copy of the Carnegie </w:t>
      </w:r>
      <w:r>
        <w:rPr>
          <w:i/>
          <w:iCs/>
        </w:rPr>
        <w:t>Diplodocus</w:t>
      </w:r>
      <w:r>
        <w:rPr/>
        <w:t xml:space="preserve">; that copywas made from the original Carnegie molds (Taylor et al. 2023), and the composition of the elements from which those molds were taken is well understood (Taylor et al. in review), so it is possible to determine the sources of most of the bones in the </w:t>
      </w:r>
      <w:r>
        <w:rPr>
          <w:i/>
          <w:iCs/>
        </w:rPr>
        <w:t>Barosaurus</w:t>
      </w:r>
      <w:r>
        <w:rPr/>
        <w:t xml:space="preserve"> mount. The details follow. </w:t>
      </w:r>
    </w:p>
    <w:p>
      <w:pPr>
        <w:pStyle w:val="Heading3"/>
        <w:rPr/>
      </w:pPr>
      <w:bookmarkStart w:id="14" w:name="__RefHeading___Toc4995_537823704"/>
      <w:bookmarkEnd w:id="14"/>
      <w:r>
        <w:rPr>
          <w:i/>
          <w:iCs/>
        </w:rPr>
        <w:t>Barosaurus</w:t>
      </w:r>
      <w:r>
        <w:rPr/>
        <w:t xml:space="preserve"> material in the mount</w:t>
      </w:r>
    </w:p>
    <w:p>
      <w:pPr>
        <w:pStyle w:val="BodyText"/>
        <w:rPr/>
      </w:pPr>
      <w:r>
        <w:rPr/>
        <w:t>McIntosh’s (2005:43) catalogue of elements in the referred specimen AMNH 6341 is incomplete and contains multiple errors. However, by reading it in context of the more detailed descriptions of the elements later in the same paper, and with his unpublished 1962 notes on the specimen, and with observations of materials on exhibition in the past and present, it is possible to arrive at a complete list of material as follows:</w:t>
      </w:r>
    </w:p>
    <w:p>
      <w:pPr>
        <w:pStyle w:val="BodyText"/>
        <w:numPr>
          <w:ilvl w:val="0"/>
          <w:numId w:val="8"/>
        </w:numPr>
        <w:ind w:hanging="360" w:left="720" w:right="0"/>
        <w:rPr/>
      </w:pPr>
      <w:r>
        <w:rPr/>
        <w:t>the posterior part of the neck (cervicals 8–16)</w:t>
      </w:r>
    </w:p>
    <w:p>
      <w:pPr>
        <w:pStyle w:val="BodyText"/>
        <w:numPr>
          <w:ilvl w:val="0"/>
          <w:numId w:val="8"/>
        </w:numPr>
        <w:ind w:hanging="360" w:left="720" w:right="0"/>
        <w:rPr/>
      </w:pPr>
      <w:r>
        <w:rPr/>
        <w:t>all nine dorsal vertebrae (dorsals 1–9)</w:t>
      </w:r>
    </w:p>
    <w:p>
      <w:pPr>
        <w:pStyle w:val="BodyText"/>
        <w:numPr>
          <w:ilvl w:val="0"/>
          <w:numId w:val="8"/>
        </w:numPr>
        <w:ind w:hanging="360" w:left="720" w:right="0"/>
        <w:rPr/>
      </w:pPr>
      <w:r>
        <w:rPr/>
        <w:t>the complete sacrum (sacral vertebrae 1–5)</w:t>
      </w:r>
    </w:p>
    <w:p>
      <w:pPr>
        <w:pStyle w:val="BodyText"/>
        <w:numPr>
          <w:ilvl w:val="0"/>
          <w:numId w:val="8"/>
        </w:numPr>
        <w:ind w:hanging="360" w:left="720" w:right="0"/>
        <w:rPr/>
      </w:pPr>
      <w:r>
        <w:rPr/>
        <w:t>the anterior part of the tail (caudals 1–29)</w:t>
      </w:r>
    </w:p>
    <w:p>
      <w:pPr>
        <w:pStyle w:val="BodyText"/>
        <w:numPr>
          <w:ilvl w:val="0"/>
          <w:numId w:val="8"/>
        </w:numPr>
        <w:ind w:hanging="360" w:left="720" w:right="0"/>
        <w:rPr/>
      </w:pPr>
      <w:bookmarkStart w:id="15" w:name="__DdeLink__31298_802501007"/>
      <w:r>
        <w:rPr/>
        <w:t>six partial ribs, of which one is the first or possibly second on the left side, and another is probably its counterpart</w:t>
      </w:r>
      <w:bookmarkEnd w:id="15"/>
    </w:p>
    <w:p>
      <w:pPr>
        <w:pStyle w:val="BodyText"/>
        <w:numPr>
          <w:ilvl w:val="0"/>
          <w:numId w:val="8"/>
        </w:numPr>
        <w:ind w:hanging="360" w:left="720" w:right="0"/>
        <w:rPr/>
      </w:pPr>
      <w:r>
        <w:rPr/>
        <w:t>a single chevron, from further back than Ca13 and likely in the region Ca22–Ca28.</w:t>
      </w:r>
    </w:p>
    <w:p>
      <w:pPr>
        <w:pStyle w:val="BodyText"/>
        <w:numPr>
          <w:ilvl w:val="0"/>
          <w:numId w:val="8"/>
        </w:numPr>
        <w:ind w:hanging="360" w:left="720" w:right="0"/>
        <w:rPr/>
      </w:pPr>
      <w:r>
        <w:rPr/>
        <w:t>right (not left as in McIntosh 2005:43) scapulocoracoid, fully fused together; distal end of left scapula; left coracoid</w:t>
      </w:r>
    </w:p>
    <w:p>
      <w:pPr>
        <w:pStyle w:val="BodyText"/>
        <w:numPr>
          <w:ilvl w:val="0"/>
          <w:numId w:val="8"/>
        </w:numPr>
        <w:ind w:hanging="360" w:left="720" w:right="0"/>
        <w:rPr/>
      </w:pPr>
      <w:r>
        <w:rPr/>
        <w:t>right (not left as in McIntosh 2005:43) humerus</w:t>
      </w:r>
    </w:p>
    <w:p>
      <w:pPr>
        <w:pStyle w:val="BodyText"/>
        <w:numPr>
          <w:ilvl w:val="0"/>
          <w:numId w:val="8"/>
        </w:numPr>
        <w:ind w:hanging="360" w:left="720" w:right="0"/>
        <w:rPr/>
      </w:pPr>
      <w:r>
        <w:rPr/>
        <w:t>right ilium complete except small part of the upper border; acetabular portion and “distal ends” of left ilium</w:t>
      </w:r>
    </w:p>
    <w:p>
      <w:pPr>
        <w:pStyle w:val="BodyText"/>
        <w:numPr>
          <w:ilvl w:val="0"/>
          <w:numId w:val="8"/>
        </w:numPr>
        <w:ind w:hanging="360" w:left="720" w:right="0"/>
        <w:rPr/>
      </w:pPr>
      <w:r>
        <w:rPr/>
        <w:t>both pubes and ischia complete except parts of the proximal ends of both pubes and the right ischium</w:t>
      </w:r>
    </w:p>
    <w:p>
      <w:pPr>
        <w:pStyle w:val="BodyText"/>
        <w:numPr>
          <w:ilvl w:val="0"/>
          <w:numId w:val="8"/>
        </w:numPr>
        <w:ind w:hanging="360" w:left="720" w:right="0"/>
        <w:rPr/>
      </w:pPr>
      <w:r>
        <w:rPr/>
        <w:t>complete right hindlimb (femur, tibia, fibula, astragalus)</w:t>
      </w:r>
    </w:p>
    <w:p>
      <w:pPr>
        <w:pStyle w:val="BodyText"/>
        <w:numPr>
          <w:ilvl w:val="0"/>
          <w:numId w:val="8"/>
        </w:numPr>
        <w:ind w:hanging="360" w:left="720" w:right="0"/>
        <w:rPr/>
      </w:pPr>
      <w:r>
        <w:rPr/>
        <w:t>elements of the right pes: metatarsals I, II and V, phalanges I-I and V-I, two 2nd phalanges, one ungual</w:t>
      </w:r>
    </w:p>
    <w:p>
      <w:pPr>
        <w:pStyle w:val="BodyText"/>
        <w:numPr>
          <w:ilvl w:val="0"/>
          <w:numId w:val="8"/>
        </w:numPr>
        <w:ind w:hanging="360" w:left="720" w:right="0"/>
        <w:rPr/>
      </w:pPr>
      <w:r>
        <w:rPr/>
        <w:t>three “ossicles” (McIntosh’s unpublished 1962 notes) — the meaning is unclear.</w:t>
      </w:r>
    </w:p>
    <w:p>
      <w:pPr>
        <w:pStyle w:val="BodyText"/>
        <w:rPr/>
      </w:pPr>
      <w:r>
        <w:rPr/>
        <w:t xml:space="preserve">The sternal plates, clavicles and lower forelimb (ulna, radius, carpals and manus) are the only parts of the skeleton missing from both sides. Figure B shows a skeletal inventory of </w:t>
      </w:r>
      <w:r>
        <w:rPr>
          <w:i/>
          <w:iCs/>
        </w:rPr>
        <w:t>Barosaurus lentus</w:t>
      </w:r>
      <w:r>
        <w:rPr/>
        <w:t xml:space="preserve"> with the portions of the skeleton preserved by AMNH 6341 in white and the missing bones in grey.</w:t>
      </w:r>
    </w:p>
    <w:p>
      <w:pPr>
        <w:pStyle w:val="BodyText"/>
        <w:rPr/>
      </w:pPr>
      <w:r>
        <w:rPr/>
        <w:t>This list of material is gratifyingly congruent with that depicted in the 1939 exhibition panel (Figure G). This panel provides the additional detail that the neural spines were missing from all five sacral vertebrae and caudals 1–3 and 26–28, and that only the anterior portion of caudal 21 remains. The panel shows 30 rather than 29 caudals: it is possible that some time after this illustration was prepared, the very fragmentary caudal 21 was lost or discarded, and that the caudals identified as 21–29 by McIntosh (2005) were in fact 22–30. The panel further suggests that two of the six preserved ribs may be those of the right side of dorsals 8 and 9. The only contradiction with the material list above is that the pes elements are interpreted differently: the panel shows metatarsals I, II and III, phalanges I-I, II-I and III-I, and ungual I. We consider McIntosh’s assignment more likely trustworthy.</w:t>
      </w:r>
    </w:p>
    <w:p>
      <w:pPr>
        <w:pStyle w:val="BodyText"/>
        <w:rPr/>
      </w:pPr>
      <w:r>
        <w:rPr/>
        <w:t xml:space="preserve">This list of material of AMNH 6341 is mostly a superset of that listed as belonging to what was then the USNM’s part of the specimen in Brown’s (1929) account of reuniting the parts of the skeleton. The only additional element in Brown’s account is his statement that “the last ten cervical vertebrae” (not just the last nine) were at that time present — see above. But Brown stated wrongly that the left rather than right scapulocoracoid and humerus are present (and the material list of McIntosh 2005:43 followed this error, contradicting his description and illustration later in the same chapter, McIntosh 2005:59–62). The girdle element that was on display in 1939 (Figure D.B) is clearly a complete and well preserved </w:t>
      </w:r>
      <w:r>
        <w:rPr>
          <w:i/>
          <w:iCs/>
        </w:rPr>
        <w:t>right</w:t>
      </w:r>
      <w:r>
        <w:rPr/>
        <w:t xml:space="preserve"> scapulocoracoid, based on the location of the glenoid fossa in combination with the curvature of the shaft. Similarly the humerus that was on display in 1939 is the right, not the left, based on the shape of the proximal end and the anterior projections at the distal end. It is possible that Brown carelessly misidentified the elements in his letter and McIntosh transcribed the error in his 2005 paper. McIntosh’s unpublished 1962 notes further confirm the presence of these elements from the right (correct) side.</w:t>
      </w:r>
    </w:p>
    <w:p>
      <w:pPr>
        <w:pStyle w:val="BodyText"/>
        <w:rPr/>
      </w:pPr>
      <w:r>
        <w:rPr/>
        <w:t>In preparing the mounted skeleton, casts of all the elements of AMNH 6341 were used. Little or no reconstruction was done, so distortion in the preserved cervical vertebrae is retained in the mounted copies; however, missing cervical ribs were added as necessary to the cervicals (Taylor, pers. obs.).</w:t>
      </w:r>
    </w:p>
    <w:p>
      <w:pPr>
        <w:pStyle w:val="BodyText"/>
        <w:rPr/>
      </w:pPr>
      <w:r>
        <w:rPr/>
        <w:t xml:space="preserve">So far as we have been able to determine, no casts of Barosaurus elements from specimens other than AMNH 6341 were used. The missing elements were filled in with </w:t>
      </w:r>
      <w:r>
        <w:rPr>
          <w:i/>
          <w:iCs/>
        </w:rPr>
        <w:t>Diplodocus</w:t>
      </w:r>
      <w:r>
        <w:rPr/>
        <w:t xml:space="preserve"> casts that have a curious provenance. As recounted in detail by Taylor et al. (2023), the original Carnegie </w:t>
      </w:r>
      <w:r>
        <w:rPr>
          <w:i/>
          <w:iCs/>
        </w:rPr>
        <w:t>Diplodocus</w:t>
      </w:r>
      <w:r>
        <w:rPr/>
        <w:t xml:space="preserve"> molds, having been used ten times by the Carnegie museum to create plaster casts from museums around the world, were donated in 1952 to the Utah Field House of Natural History in Vernal, Utah, and there used to create a concrete cast that was mounted outdoors (Untermann 1959). In 1989, Jim Madsen’s company Dinolab unmounted this concrete cast and used it to create second-generation molds with the immediate goal of providing the Field House with a new, lightweight cast to be exhibited indoors at its new building. These new molds were then used to create several additional </w:t>
      </w:r>
      <w:r>
        <w:rPr>
          <w:i/>
          <w:iCs/>
          <w:u w:val="none"/>
        </w:rPr>
        <w:t>Diplodocus</w:t>
      </w:r>
      <w:r>
        <w:rPr/>
        <w:t xml:space="preserve"> casts, and also the elements necessary to complete the AMNH </w:t>
      </w:r>
      <w:r>
        <w:rPr>
          <w:i/>
          <w:iCs/>
        </w:rPr>
        <w:t>Barosaurus</w:t>
      </w:r>
      <w:r>
        <w:rPr/>
        <w:t xml:space="preserve"> cast. Jack McIntosh, Lowell Dingus and Gene Gaffney all visited RCI multiple times during the modelling process </w:t>
      </w:r>
      <w:r>
        <w:rPr>
          <w:lang w:val="en-US"/>
        </w:rPr>
        <w:t>to provide guidance and monitor progress.</w:t>
      </w:r>
    </w:p>
    <w:p>
      <w:pPr>
        <w:pStyle w:val="BodyText"/>
        <w:rPr/>
      </w:pPr>
      <w:r>
        <w:rPr>
          <w:lang w:val="en-US"/>
        </w:rPr>
        <w:t>With this in mind, we will now consider the source of specific elements of the cast.</w:t>
      </w:r>
    </w:p>
    <w:p>
      <w:pPr>
        <w:pStyle w:val="Heading3"/>
        <w:numPr>
          <w:ilvl w:val="2"/>
          <w:numId w:val="6"/>
        </w:numPr>
        <w:ind w:hanging="0" w:left="0" w:right="0"/>
        <w:rPr/>
      </w:pPr>
      <w:bookmarkStart w:id="16" w:name="__RefHeading___Toc16587_68767826"/>
      <w:bookmarkEnd w:id="16"/>
      <w:r>
        <w:rPr/>
        <w:t>Skull</w:t>
      </w:r>
    </w:p>
    <w:p>
      <w:pPr>
        <w:pStyle w:val="BodyText"/>
        <w:rPr/>
      </w:pPr>
      <w:r>
        <w:rPr/>
        <w:t xml:space="preserve">The skull in the mounted </w:t>
      </w:r>
      <w:r>
        <w:rPr>
          <w:i/>
          <w:iCs/>
        </w:rPr>
        <w:t>Barosaurus</w:t>
      </w:r>
      <w:r>
        <w:rPr/>
        <w:t xml:space="preserve"> skeleton was cast from the corresponding elements in the Carnegie </w:t>
      </w:r>
      <w:r>
        <w:rPr>
          <w:i/>
          <w:iCs/>
        </w:rPr>
        <w:t>Diplodocus</w:t>
      </w:r>
      <w:r>
        <w:rPr/>
        <w:t xml:space="preserve">. However, CM 84, the specimen from which the Carnegie mount is mostly assembled, does not itself include a skull. As documented in Taylor et al. (in review.),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 The posterior portion was modelled on material from CM 662 (now HMNS 175). The remainder of the skull was based on USNM 2673, the skull on which Marsh (1896:175–179) had primarily based his description of the skull of </w:t>
      </w:r>
      <w:r>
        <w:rPr>
          <w:i/>
          <w:iCs/>
        </w:rPr>
        <w:t>Diplodocus</w:t>
      </w:r>
      <w:r>
        <w:rPr/>
        <w:t>.</w:t>
      </w:r>
    </w:p>
    <w:p>
      <w:pPr>
        <w:pStyle w:val="BodyText"/>
        <w:rPr/>
      </w:pPr>
      <w:r>
        <w:rPr/>
        <w:t xml:space="preserve">The skull used in the </w:t>
      </w:r>
      <w:r>
        <w:rPr>
          <w:i/>
          <w:iCs/>
        </w:rPr>
        <w:t>Barosaurus</w:t>
      </w:r>
      <w:r>
        <w:rPr/>
        <w:t xml:space="preserve"> mount, cast from molds taken from this composite, is shown in a 1991 photograph (Figure C.A–B). It can be confidently confirmed as the same composite illustrated by Holland (1906:figure 1) “as placed in the restoration at the British Museum”, and by Nieuwland (2019:figure 5.3) in a photograph of a worker at the Muséum Nationale d’Histoire Naturelle, Paris, France, with the plaster skull of their </w:t>
      </w:r>
      <w:r>
        <w:rPr>
          <w:i/>
          <w:iCs/>
        </w:rPr>
        <w:t>Diplodocus</w:t>
      </w:r>
      <w:r>
        <w:rPr/>
        <w:t xml:space="preserve"> cast in 1908 (Figure C.C).</w:t>
      </w:r>
    </w:p>
    <w:p>
      <w:pPr>
        <w:pStyle w:val="Heading3"/>
        <w:numPr>
          <w:ilvl w:val="2"/>
          <w:numId w:val="7"/>
        </w:numPr>
        <w:ind w:hanging="0" w:left="0" w:right="0"/>
        <w:rPr/>
      </w:pPr>
      <w:bookmarkStart w:id="17" w:name="__RefHeading___Toc16589_68767826"/>
      <w:bookmarkEnd w:id="17"/>
      <w:r>
        <w:rPr/>
        <w:t>Neck</w:t>
      </w:r>
    </w:p>
    <w:p>
      <w:pPr>
        <w:pStyle w:val="BodyText"/>
        <w:rPr/>
      </w:pPr>
      <w:r>
        <w:rPr/>
        <w:t xml:space="preserve">McIntosh (2005:45) considered the number of cervicals in </w:t>
      </w:r>
      <w:r>
        <w:rPr>
          <w:i/>
          <w:iCs/>
        </w:rPr>
        <w:t>Barosaurus</w:t>
      </w:r>
      <w:r>
        <w:rPr/>
        <w:t xml:space="preserve"> to be 16 on the basis that there are only nine dorsals, compared with ten in the closely related </w:t>
      </w:r>
      <w:r>
        <w:rPr>
          <w:i/>
          <w:iCs/>
        </w:rPr>
        <w:t>Diplodocus</w:t>
      </w:r>
      <w:r>
        <w:rPr/>
        <w:t xml:space="preserve">, and the most likely reason is that the first dorsal was recruited into the neck. McIntosh’s inference has been widely considered correct, and 16 is now the accepted cervical count for </w:t>
      </w:r>
      <w:r>
        <w:rPr>
          <w:i/>
          <w:iCs/>
        </w:rPr>
        <w:t>Barosaurus</w:t>
      </w:r>
      <w:r>
        <w:rPr/>
        <w:t>. (The earliest mention of the sixteen-cervicals hypothesis in print appears in a caption in a children’s book, Lindsay 1992:20.) Whether or not the AMNH 6341 material may at some point have included a tenth cervical vertebra (C7), at present it preserves the last nine cervical vertebrae. These are therefore considered to be C8–C16.</w:t>
      </w:r>
    </w:p>
    <w:p>
      <w:pPr>
        <w:pStyle w:val="BodyText"/>
        <w:rPr/>
      </w:pPr>
      <w:r>
        <w:rPr/>
        <w:t xml:space="preserve">The anterior part of neck of the mount was completed using seven casts of anterior vertebrae from the Carnegie </w:t>
      </w:r>
      <w:r>
        <w:rPr>
          <w:i/>
          <w:iCs/>
        </w:rPr>
        <w:t>Diplodocus</w:t>
      </w:r>
      <w:r>
        <w:rPr/>
        <w:t xml:space="preserve">, but the anteriormost seven cervicals were not used as that would have resulted in an abrupt transition in length between the </w:t>
      </w:r>
      <w:r>
        <w:rPr>
          <w:i/>
          <w:iCs/>
        </w:rPr>
        <w:t>Diplodocus</w:t>
      </w:r>
      <w:r>
        <w:rPr/>
        <w:t xml:space="preserve"> C7 (485 mm, Hatcher 1901:38) and the </w:t>
      </w:r>
      <w:r>
        <w:rPr>
          <w:i/>
          <w:iCs/>
        </w:rPr>
        <w:t>Barosaurus</w:t>
      </w:r>
      <w:r>
        <w:rPr/>
        <w:t xml:space="preserve"> C8 (618 mm, McIntosh 2005:46). Instead, a non-contiguous sequence of Carnegie-</w:t>
      </w:r>
      <w:r>
        <w:rPr>
          <w:i/>
          <w:iCs/>
        </w:rPr>
        <w:t>Diplodocus</w:t>
      </w:r>
      <w:r>
        <w:rPr/>
        <w:t xml:space="preserve"> cervicals was used to obtain a smooth transition: one of us (May) believes they were probably cervicals 10 (595 mm), 8 (512 mm), 6 (442 mm) and 4–1, and the relative sizes of the vertebrae corroborate this identification.</w:t>
      </w:r>
    </w:p>
    <w:p>
      <w:pPr>
        <w:pStyle w:val="BodyText"/>
        <w:rPr/>
      </w:pPr>
      <w:r>
        <w:rPr/>
        <w:t>CM 84, the specimen that forms most of the Carnegie mount, includes C2–7, but not the atlas (C1). As discussed by Taylor et al. (in review), it is not clear which specimen supplied the atlas in the Carnegie mount, and it seems most likely that this element was a sculpture not based on any specific fossil specimen.</w:t>
      </w:r>
    </w:p>
    <w:p>
      <w:pPr>
        <w:pStyle w:val="Heading3"/>
        <w:numPr>
          <w:ilvl w:val="2"/>
          <w:numId w:val="1"/>
        </w:numPr>
        <w:ind w:hanging="0" w:left="0" w:right="0"/>
        <w:rPr/>
      </w:pPr>
      <w:bookmarkStart w:id="18" w:name="__RefHeading___Toc2466_2187837281"/>
      <w:bookmarkEnd w:id="18"/>
      <w:r>
        <w:rPr/>
        <w:t>Torso, sacrum and tail</w:t>
      </w:r>
    </w:p>
    <w:p>
      <w:pPr>
        <w:pStyle w:val="BodyText"/>
        <w:rPr/>
      </w:pPr>
      <w:r>
        <w:rPr/>
        <w:t>The complete dorsal sequence (of nine vertebrae) and complete sacrum (of five vertebra) are present in AMNH 6341. However, McIntosh’s (2005:43) account says that only “six ribs and fragments” were included from a total of 18 (two per dorsal vertebra), and as noted above the identification of these ribs is uncertain.</w:t>
      </w:r>
    </w:p>
    <w:p>
      <w:pPr>
        <w:pStyle w:val="BodyText"/>
        <w:rPr/>
      </w:pPr>
      <w:r>
        <w:rPr/>
        <w:t>AMNH 6341 includes the first 29 caudals (or perhaps caudals 1–20 and 22–30, see above) but only one chevron.</w:t>
      </w:r>
    </w:p>
    <w:p>
      <w:pPr>
        <w:pStyle w:val="Heading3"/>
        <w:numPr>
          <w:ilvl w:val="2"/>
          <w:numId w:val="1"/>
        </w:numPr>
        <w:ind w:hanging="0" w:left="0" w:right="0"/>
        <w:rPr/>
      </w:pPr>
      <w:bookmarkStart w:id="19" w:name="__RefHeading___Toc2470_2187837281"/>
      <w:bookmarkEnd w:id="19"/>
      <w:r>
        <w:rPr/>
        <w:t>Forelimbs and girdles</w:t>
      </w:r>
    </w:p>
    <w:p>
      <w:pPr>
        <w:pStyle w:val="BodyText"/>
        <w:rPr/>
      </w:pPr>
      <w:r>
        <w:rPr/>
        <w:t xml:space="preserve">The bones of the forelimb are not only absent from CM 84 (as noted by Hatcher 1901:45) but were completely unknown in the Carnegie collection at the time the mount was constructed. Holland (1906) made no comment on how the forelimbs were obtained for the skeletal mount sent to England. As detailed by Taylor et al. (in review), both humeri, radii and ulnae of the casts produced by the Carnegie Museum were sculpted based on the slightly smaller diplodocine individual CM 662 (now HMNS 175), which also provided the rear part of the skull (see above). The forefeet however were sculpted from those of AMNH 965, now recognized as camarasaurid, and were given three manual unguals as well as too many phalanges. To correct this error, which was well understood by the 1990s, metacarpals from Dinosaur National Monument were used in place of the camarasaurid metacarpals; and while the other elements of the forefeet were taken from the Carnegie </w:t>
      </w:r>
      <w:r>
        <w:rPr>
          <w:i/>
          <w:iCs/>
        </w:rPr>
        <w:t>Diplodocus</w:t>
      </w:r>
      <w:r>
        <w:rPr/>
        <w:t xml:space="preserve">, the unguals were removed from digits II and III. </w:t>
      </w:r>
      <w:r>
        <w:rPr>
          <w:shd w:fill="FFFF00" w:val="clear"/>
        </w:rPr>
        <w:t>XXX Peter, were the metacarpals casts or the original fossils? XXX What was the specimen number?</w:t>
      </w:r>
    </w:p>
    <w:p>
      <w:pPr>
        <w:pStyle w:val="Heading3"/>
        <w:numPr>
          <w:ilvl w:val="2"/>
          <w:numId w:val="1"/>
        </w:numPr>
        <w:ind w:hanging="0" w:left="0" w:right="0"/>
        <w:rPr/>
      </w:pPr>
      <w:bookmarkStart w:id="20" w:name="__RefHeading___Toc2472_2187837281"/>
      <w:bookmarkEnd w:id="20"/>
      <w:r>
        <w:rPr/>
        <w:t>Hindlimbs and girdles</w:t>
      </w:r>
    </w:p>
    <w:p>
      <w:pPr>
        <w:pStyle w:val="BodyText"/>
        <w:rPr/>
      </w:pPr>
      <w:r>
        <w:rPr/>
        <w:t xml:space="preserve">As noted by Taylor et al. (in review), the Carnegie Museum’s own mounted </w:t>
      </w:r>
      <w:r>
        <w:rPr>
          <w:i/>
          <w:iCs/>
        </w:rPr>
        <w:t>Diplodocus carnegii</w:t>
      </w:r>
      <w:r>
        <w:rPr/>
        <w:t xml:space="preserve">, uses the left fibula and partial pes of referred specimen CM 33985, but for unknown reasons the casts do not use this material. No documentation survives indicating what material was used to create the left fibula and metatarsals III–V used in the casts. Most likely, these bones were mirror-imaged sculptures of the right-side elements preserved in the </w:t>
      </w:r>
      <w:r>
        <w:rPr>
          <w:i/>
          <w:iCs/>
        </w:rPr>
        <w:t>D</w:t>
      </w:r>
      <w:r>
        <w:rPr/>
        <w:t xml:space="preserve">. </w:t>
      </w:r>
      <w:r>
        <w:rPr>
          <w:i/>
          <w:iCs/>
        </w:rPr>
        <w:t>carnegii</w:t>
      </w:r>
      <w:r>
        <w:rPr/>
        <w:t xml:space="preserve"> paratype CM 94 (which also furnished these bones on the right side). And the </w:t>
      </w:r>
      <w:r>
        <w:rPr>
          <w:i/>
          <w:iCs/>
        </w:rPr>
        <w:t>Barosaurus</w:t>
      </w:r>
      <w:r>
        <w:rPr/>
        <w:t xml:space="preserve"> cast probably used second-generation casts of these sculptures.</w:t>
      </w:r>
    </w:p>
    <w:p>
      <w:pPr>
        <w:pStyle w:val="Heading1"/>
        <w:numPr>
          <w:ilvl w:val="0"/>
          <w:numId w:val="3"/>
        </w:numPr>
        <w:ind w:hanging="0" w:left="0" w:right="0"/>
        <w:rPr/>
      </w:pPr>
      <w:bookmarkStart w:id="21" w:name="__RefHeading___Toc3401_68767826"/>
      <w:bookmarkEnd w:id="21"/>
      <w:r>
        <w:rPr/>
        <w:t>Discussion</w:t>
      </w:r>
    </w:p>
    <w:p>
      <w:pPr>
        <w:pStyle w:val="Heading2"/>
        <w:rPr/>
      </w:pPr>
      <w:bookmarkStart w:id="22" w:name="__RefHeading___Toc2476_2187837281"/>
      <w:bookmarkEnd w:id="22"/>
      <w:r>
        <w:rPr/>
        <w:t>Rearing pose</w:t>
      </w:r>
    </w:p>
    <w:p>
      <w:pPr>
        <w:pStyle w:val="BodyText"/>
        <w:rPr/>
      </w:pPr>
      <w:r>
        <w:rPr/>
        <w:t xml:space="preserve">As noted above, the mounted </w:t>
      </w:r>
      <w:r>
        <w:rPr>
          <w:i/>
          <w:iCs/>
        </w:rPr>
        <w:t>Barosaurus</w:t>
      </w:r>
      <w:r>
        <w:rPr/>
        <w:t xml:space="preserve"> is in a spectacular rearing pose, as though to defend its offspring against a threatening </w:t>
      </w:r>
      <w:r>
        <w:rPr>
          <w:i/>
          <w:iCs/>
        </w:rPr>
        <w:t>Allosaurus</w:t>
      </w:r>
      <w:r>
        <w:rPr/>
        <w:t xml:space="preserve"> individual. The exhibit was illustrated by a specially commissioned John Gurche painting (Figure F), which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BodyText"/>
        <w:rPr/>
      </w:pPr>
      <w:r>
        <w:rPr/>
        <w:t xml:space="preserve">The unveiling of the Berlin cast of the Carnegie </w:t>
      </w:r>
      <w:r>
        <w:rPr>
          <w:i/>
          <w:iCs/>
          <w:u w:val="none"/>
        </w:rPr>
        <w:t>Diplodocus</w:t>
      </w:r>
      <w:r>
        <w:rPr/>
        <w:t xml:space="preserve"> in 1908 had provoked controversy: Hay (1908, 1910) and Tornier (1909) argued that its erect-legged posture was incorrect, and it should sprawl like a lizard; and Holland (1910) emphatically rebutted these suggestions. In the same way, the AMNH </w:t>
      </w:r>
      <w:r>
        <w:rPr>
          <w:i/>
          <w:iCs/>
        </w:rPr>
        <w:t>Barosaurus</w:t>
      </w:r>
      <w:r>
        <w:rPr/>
        <w:t xml:space="preserve"> mount started discussions. From the moment of its unveiling this exhibit was controversial for two reasons.</w:t>
      </w:r>
    </w:p>
    <w:p>
      <w:pPr>
        <w:pStyle w:val="BodyText"/>
        <w:rPr/>
      </w:pPr>
      <w:r>
        <w:rPr/>
        <w:t xml:space="preserve">First, there is no direct evidence that </w:t>
      </w:r>
      <w:r>
        <w:rPr>
          <w:i/>
          <w:iCs/>
        </w:rPr>
        <w:t>Barosaurus</w:t>
      </w:r>
      <w:r>
        <w:rPr/>
        <w:t>, or any sauropod, practiced parental care. However, it is well established from both trackways (e.g. Day et al. 2004) and death assemblages (e.g. Coria 1994) that sauropods did live and move in herds of different-sized individuals, whether genetically related or not. It is not unreasonable to assume that larger individuals defended the smaller from attack on occasion.</w:t>
      </w:r>
    </w:p>
    <w:p>
      <w:pPr>
        <w:pStyle w:val="BodyText"/>
        <w:rPr/>
      </w:pPr>
      <w:r>
        <w:rPr/>
        <w:t xml:space="preserve">Second, and more seriously, some paleontologists felt that </w:t>
      </w:r>
      <w:r>
        <w:rPr>
          <w:i/>
          <w:iCs/>
        </w:rPr>
        <w:t>Barosaurus</w:t>
      </w:r>
      <w:r>
        <w:rPr/>
        <w:t xml:space="preserve"> could not or would not have adopted the rearing pose — something which, as noted above, Dingus, Gaffney and McIntosh all had their own reservations about. In a newspaper report published five days before the exhibit was publicly unveiled, it was claimed that “of six leading paleontologists interviewed for this article, all but one questioned how a behemoth weighing in excess of 25 tons could be accurately depicted in an upright position. Most thought it physically impossible” (Gordy 1991:3) — although since the article also wrongly claims that the posture was chosen “over the objections of Gene Gaffney”, it should not be assumed to be accurate in other matters. While Kevin Padian was quoted supporting the posture, Paul Sereno, Jack Horner and Phil Currie all expressed reservations — though none of them went on to express their criticisms in scientific publications. Thirty years on, Sereno comments “I still think it's ridiculous” (Paul Sereno, pers. comm., 2022), but Horner has mellowed: “I had opposed the idea originally but have since come to the conclusion that at least the males had to have been able to rear up to at least the back of the female. I think it took me about a decade to figure that out. […] I like the mount now, it may have been the way the males displayed. Would have been spectacular!” (Jack Horner, pers. comm., 2022).</w:t>
      </w:r>
    </w:p>
    <w:p>
      <w:pPr>
        <w:pStyle w:val="BodyText"/>
        <w:rPr/>
      </w:pPr>
      <w:r>
        <w:rPr/>
        <w:t xml:space="preserve">More specific criticisms and comments were to follow in published articles. Surprisingly, much of the published discussion was in the medical journal </w:t>
      </w:r>
      <w:r>
        <w:rPr>
          <w:i/>
          <w:iCs/>
        </w:rPr>
        <w:t>The Lancet</w:t>
      </w:r>
      <w:r>
        <w:rPr/>
        <w:t xml:space="preserve">. First, provoked by Lillywhite’s (1991) brief account of the high blood pressure required to circulate blood to the head of </w:t>
      </w:r>
      <w:r>
        <w:rPr>
          <w:i/>
          <w:iCs/>
        </w:rPr>
        <w:t>Barosaurus</w:t>
      </w:r>
      <w:r>
        <w:rPr/>
        <w:t xml:space="preserve">, Choy and Altmann (1992) argued that the great size required of the </w:t>
      </w:r>
      <w:r>
        <w:rPr>
          <w:i/>
          <w:iCs/>
        </w:rPr>
        <w:t>Barosaurus</w:t>
      </w:r>
      <w:r>
        <w:rPr/>
        <w:t xml:space="preserve"> heart to perfuse an erect neck would have meant that it beat very slowly. Check valves would therefore have been necessary in the neck arteries to prevent the column of blood from falling back to the heart during diastole. They suggested that these valves may have been active pumps — three pairs of “secondary hearts — though they admitted that in the absence of soft-tissue fossils this is pure conjecture. Millard et al. (1992) dismissed this proposal as unsupported by evidence, noted the absence of check valves in the neck of the giraffe, and argued that the multiple-heart scheme would probably create non-continuous blood flow at the brain. They considered amphibious habits a more likely adaptation for supporting the neck, despite the discrediting of that notion (e.g. Coombs 1975).</w:t>
      </w:r>
    </w:p>
    <w:p>
      <w:pPr>
        <w:pStyle w:val="BodyText"/>
        <w:rPr/>
      </w:pPr>
      <w:r>
        <w:rPr/>
        <w:t xml:space="preserve">Dennis (1992) claimed to have independently reached the same multiple-hearts conclusion as Choy and Altmann (1992), and noted that hagfish, the giant Brazilian earthworm and some insects have multiple perfusion organs. He also considered and discarded the idea that the blood flow to the head operated as a siphon. In a letter published simultaneously, Taylor (1992) pointed out the evidence for sauropod terrestriality, </w:t>
      </w:r>
      <w:r>
        <w:rPr>
          <w:i/>
          <w:iCs/>
        </w:rPr>
        <w:t>contra</w:t>
      </w:r>
      <w:r>
        <w:rPr/>
        <w:t xml:space="preserve"> Millard et al.’s proposed amphibious habits, and that breathing would have been impossible when the lungs were far below the surface (see Kermack 1951). And in a third letter, Hicks and Badeer (1992) argued that the circulatory system was closed, i.e. not exposed to ambient pressure, reducing the need for high blood pressure. (Badeer and Hicks (1996) would revisit their ideas in more detail four years later, proposing a siphon loop circulating blood to the head and arguing that blood pressure in the head was negative.)</w:t>
      </w:r>
    </w:p>
    <w:p>
      <w:pPr>
        <w:pStyle w:val="BodyText"/>
        <w:rPr/>
      </w:pPr>
      <w:r>
        <w:rPr/>
        <w:t xml:space="preserve">Separately from the </w:t>
      </w:r>
      <w:r>
        <w:rPr>
          <w:i/>
          <w:iCs/>
        </w:rPr>
        <w:t>Lancet</w:t>
      </w:r>
      <w:r>
        <w:rPr/>
        <w:t xml:space="preserve"> discussion, Landry (1992) argued briefly that </w:t>
      </w:r>
      <w:r>
        <w:rPr>
          <w:i/>
          <w:iCs/>
        </w:rPr>
        <w:t>Barosaurus</w:t>
      </w:r>
      <w:r>
        <w:rPr/>
        <w:t xml:space="preserve"> would not have had the necessary muscle mass to rear up, that compressive stresses in a vertical spine would exceed the bending stresses in a horizontal spine, and that dropping down from a rearing posture would create too much kinetic energy to disperse.</w:t>
      </w:r>
    </w:p>
    <w:p>
      <w:pPr>
        <w:pStyle w:val="BodyText"/>
        <w:rPr/>
      </w:pPr>
      <w:r>
        <w:rPr/>
        <w:t>All of this discussion was welcome to the AMNH team. As noted above, the most important purpose of the mount as originally conceived was not to argue in favour of rearing as a habitual behaviour, but to set out the issue of what we can and cannot know. Dingus (1996:28) noted that he actively welcomed the controversy — not only because all publicity is good publicity, but because the skeleton’s critics were encouraging the public to think about the controversy for themselves.</w:t>
      </w:r>
    </w:p>
    <w:p>
      <w:pPr>
        <w:pStyle w:val="Heading2"/>
        <w:rPr/>
      </w:pPr>
      <w:bookmarkStart w:id="23" w:name="__RefHeading___Toc3786_1986291683"/>
      <w:bookmarkEnd w:id="23"/>
      <w:r>
        <w:rPr/>
        <w:t>A short history of a rearing sauropods</w:t>
      </w:r>
    </w:p>
    <w:p>
      <w:pPr>
        <w:pStyle w:val="BodyText"/>
        <w:rPr/>
      </w:pPr>
      <w:r>
        <w:rPr/>
        <w:t xml:space="preserve">The notion of rearing sauropods has a long heritage. The first ever life restoration featuring sauropods is Charles R. Knight’s 1897 drawing, created under the supervision of E. D. Cope, appearing in Ballou (1897:20) and reproduced in Osborn and Mook (1921:figure 127). This shows several </w:t>
      </w:r>
      <w:r>
        <w:rPr>
          <w:i/>
          <w:iCs/>
        </w:rPr>
        <w:t>Amphicoelias</w:t>
      </w:r>
      <w:r>
        <w:rPr/>
        <w:t xml:space="preserve"> individuals in mostly submerged rearing postures.</w:t>
      </w:r>
    </w:p>
    <w:p>
      <w:pPr>
        <w:pStyle w:val="BodyText"/>
        <w:rPr/>
      </w:pPr>
      <w:r>
        <w:rPr/>
        <w:t xml:space="preserve">Scientific support for the plausibility of rearing goes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w:t>
      </w:r>
    </w:p>
    <w:p>
      <w:pPr>
        <w:pStyle w:val="BodyText"/>
        <w:rPr/>
      </w:pPr>
      <w:r>
        <w:rPr/>
        <w:t xml:space="preserve">In his classic monograph of </w:t>
      </w:r>
      <w:r>
        <w:rPr>
          <w:i/>
          <w:iCs/>
        </w:rPr>
        <w:t>Diplodocus carnegii</w:t>
      </w:r>
      <w:r>
        <w:rPr/>
        <w:t xml:space="preserve">, Hatcher (1901:58) strongly implied, without quite explicitly stating, that </w:t>
      </w:r>
      <w:r>
        <w:rPr>
          <w:i/>
          <w:iCs/>
        </w:rPr>
        <w:t>Diplodocus</w:t>
      </w:r>
      <w:r>
        <w:rPr/>
        <w:t xml:space="preserve"> habitually reared: “the modified nature of the chevrons of the mid-caudal region indicate the point of contact of the tail with the earth attending the different positions habitually assumed during the life of the individual”.</w:t>
      </w:r>
    </w:p>
    <w:p>
      <w:pPr>
        <w:pStyle w:val="BodyText"/>
        <w:rPr/>
      </w:pPr>
      <w:r>
        <w:rPr/>
        <w:t xml:space="preserve">Riggs (1904:245–246), contrasting his new dinosaur </w:t>
      </w:r>
      <w:r>
        <w:rPr>
          <w:i/>
          <w:iCs/>
        </w:rPr>
        <w:t>Brachiosaurus</w:t>
      </w:r>
      <w:r>
        <w:rPr/>
        <w:t xml:space="preserve"> with the then-known diplodocids wrote: “We may well assume, with other writers, that the heavier forms, such as </w:t>
      </w:r>
      <w:r>
        <w:rPr>
          <w:i/>
          <w:iCs/>
        </w:rPr>
        <w:t>Apatosaurus</w:t>
      </w:r>
      <w:r>
        <w:rPr/>
        <w:t xml:space="preserve"> and </w:t>
      </w:r>
      <w:r>
        <w:rPr>
          <w:i/>
          <w:iCs/>
        </w:rPr>
        <w:t>Diplodocus</w:t>
      </w:r>
      <w:r>
        <w:rPr/>
        <w:t xml:space="preserve">, which are provided with long spines in the sacral and posterior dorsal region, were adapted to rearing up on the hind legs as is represented in the conventional mounted skeleton of </w:t>
      </w:r>
      <w:r>
        <w:rPr>
          <w:i/>
          <w:iCs/>
        </w:rPr>
        <w:t>Megatherium</w:t>
      </w:r>
      <w:r>
        <w:rPr/>
        <w:t xml:space="preserve">. In these forms we find that the body is short and therefore well adapted to this habit.” </w:t>
      </w:r>
    </w:p>
    <w:p>
      <w:pPr>
        <w:pStyle w:val="BodyText"/>
        <w:rPr/>
      </w:pPr>
      <w:r>
        <w:rPr/>
        <w:t>Knight was painting rearing diplodocids as early as 1907 (reproduced in Taylor 2010:figure 6B).</w:t>
      </w:r>
    </w:p>
    <w:p>
      <w:pPr>
        <w:pStyle w:val="BodyText"/>
        <w:rPr/>
      </w:pPr>
      <w:r>
        <w:rPr/>
        <w:t>Huene (1929:497) provided what was probably the first life restoration of a titanosaur, “</w:t>
      </w:r>
      <w:r>
        <w:rPr>
          <w:i/>
          <w:iCs/>
        </w:rPr>
        <w:t>Titanosaurus</w:t>
      </w:r>
      <w:r>
        <w:rPr>
          <w:i w:val="false"/>
          <w:iCs w:val="false"/>
        </w:rPr>
        <w:t xml:space="preserve">” (= </w:t>
      </w:r>
      <w:r>
        <w:rPr>
          <w:i/>
          <w:iCs/>
        </w:rPr>
        <w:t>Neuquensaurus</w:t>
      </w:r>
      <w:r>
        <w:rPr>
          <w:i w:val="false"/>
          <w:iCs w:val="false"/>
        </w:rPr>
        <w:t xml:space="preserve">) </w:t>
      </w:r>
      <w:r>
        <w:rPr>
          <w:i/>
          <w:iCs/>
        </w:rPr>
        <w:t>australis</w:t>
      </w:r>
      <w:r>
        <w:rPr/>
        <w:t>. As well as the foreground individual, depicted in a classic four-square pose, two more individuals are shown fighting in the background, one of them rearing on its hind legs.</w:t>
      </w:r>
    </w:p>
    <w:p>
      <w:pPr>
        <w:pStyle w:val="BodyText"/>
        <w:rPr/>
      </w:pPr>
      <w:r>
        <w:rPr/>
        <w:t xml:space="preserve">Borsuk-Bialynicka (1977:51) proposed that the robust titanosaur </w:t>
      </w:r>
      <w:r>
        <w:rPr>
          <w:i/>
          <w:iCs/>
        </w:rPr>
        <w:t>Opisthocoelicaudia</w:t>
      </w:r>
      <w:r>
        <w:rPr/>
        <w:t xml:space="preserve"> occasionally stood on its hind limbs: “the tail working as a prop seems […] probable. […] Occasional bipedality is therefore strongly suggested. It is, however, not a matter of briefly assuming a bipedal stance as is possible in most of the tetrapods. […] The animal must have been stable in this position; otherwise this posture would not have left such distinct traces in the skeleton architecture.”</w:t>
      </w:r>
    </w:p>
    <w:p>
      <w:pPr>
        <w:pStyle w:val="BodyText"/>
        <w:rPr/>
      </w:pPr>
      <w:r>
        <w:rPr/>
        <w:t xml:space="preserve">In 1984, Gregory S. Paul drew an assemblage of four Jurassic sauropods: </w:t>
      </w:r>
      <w:r>
        <w:rPr>
          <w:i/>
          <w:iCs/>
        </w:rPr>
        <w:t>Camarasaurus</w:t>
      </w:r>
      <w:r>
        <w:rPr/>
        <w:t xml:space="preserve">, two </w:t>
      </w:r>
      <w:r>
        <w:rPr>
          <w:i/>
          <w:iCs/>
        </w:rPr>
        <w:t>Barosaurus</w:t>
      </w:r>
      <w:r>
        <w:rPr/>
        <w:t xml:space="preserve"> and </w:t>
      </w:r>
      <w:r>
        <w:rPr>
          <w:i/>
          <w:iCs/>
        </w:rPr>
        <w:t>Apatosaurus</w:t>
      </w:r>
      <w:r>
        <w:rPr/>
        <w:t xml:space="preserve">, all but the first of which were shown rearing to near-vertical postures. This drawing, possibly the first artwork to show rearing </w:t>
      </w:r>
      <w:r>
        <w:rPr>
          <w:i/>
          <w:iCs/>
        </w:rPr>
        <w:t>Barosaurus</w:t>
      </w:r>
      <w:r>
        <w:rPr/>
        <w:t>, was reproduced by Bird (1985:14).</w:t>
      </w:r>
    </w:p>
    <w:p>
      <w:pPr>
        <w:pStyle w:val="BodyText"/>
        <w:rPr/>
      </w:pPr>
      <w:r>
        <w:rPr/>
        <w:t xml:space="preserve">In a landmark paper on dinosaur biomechanics, R. McNeill Alexander (1985:9) took the first steps towards numerically modelling the ability of sauropods, including </w:t>
      </w:r>
      <w:r>
        <w:rPr>
          <w:i/>
          <w:iCs/>
        </w:rPr>
        <w:t>Diplodocus</w:t>
      </w:r>
      <w:r>
        <w:rPr/>
        <w:t>, to rear. These early calculations were concerned only with the location of the centre of mass, and the ability of the dinosaurs in question to shift it backwards to the location of the hips.</w:t>
      </w:r>
    </w:p>
    <w:p>
      <w:pPr>
        <w:pStyle w:val="BodyText"/>
        <w:rPr/>
      </w:pPr>
      <w:r>
        <w:rPr/>
        <w:t xml:space="preserve">Robert T. Bakker had been arguing for some time that at least some sauropods reared (e.g. Bakker 1971c, 1978). In his widely read popular-science book </w:t>
      </w:r>
      <w:r>
        <w:rPr>
          <w:i/>
          <w:iCs/>
        </w:rPr>
        <w:t>The Dinosaur Heresies</w:t>
      </w:r>
      <w:r>
        <w:rPr/>
        <w:t xml:space="preserve">, Bakker (1986:190–192) reiterated and expanded his own argument that diplodocids, including </w:t>
      </w:r>
      <w:r>
        <w:rPr>
          <w:i/>
          <w:iCs/>
          <w:u w:val="none"/>
        </w:rPr>
        <w:t>Barosaurus</w:t>
      </w:r>
      <w:r>
        <w:rPr/>
        <w:t xml:space="preserve"> itself, not only could rear but habitually did so when feeding and at other times. The frontispiece of the book illustrated this idea with a striking drawing of two apatosaurines fighting in tripodal posture. While the idea of rearing sauropods had been growing among researchers, </w:t>
      </w:r>
      <w:r>
        <w:rPr>
          <w:i/>
          <w:iCs/>
        </w:rPr>
        <w:t>The Dinosaur Heresies</w:t>
      </w:r>
      <w:r>
        <w:rPr/>
        <w:t xml:space="preserve"> probably marked the point where the idea began to impinge on non-specialists.</w:t>
      </w:r>
    </w:p>
    <w:p>
      <w:pPr>
        <w:pStyle w:val="BodyText"/>
        <w:rPr/>
      </w:pPr>
      <w:r>
        <w:rPr/>
        <w:t xml:space="preserve">Paul (1987:31), in the article containing his painting influential painting </w:t>
      </w:r>
      <w:r>
        <w:rPr>
          <w:i/>
          <w:iCs/>
        </w:rPr>
        <w:t>Ambush at Como Creek</w:t>
      </w:r>
      <w:r>
        <w:rPr/>
        <w:t xml:space="preserve"> (see above), argued the habitual rearing into tripodal stance is the only explanation for diplodocids’ massive hips and vertebrae, larger than those of otherwise bigger sauropods, and for their relatively straight necks, short forelimbs and sledlike chevrons. The next year, his book </w:t>
      </w:r>
      <w:r>
        <w:rPr>
          <w:i/>
          <w:iCs/>
        </w:rPr>
        <w:t>Predatory Dinosaurs of the World</w:t>
      </w:r>
      <w:r>
        <w:rPr/>
        <w:t xml:space="preserve"> contained a drawing a </w:t>
      </w:r>
      <w:r>
        <w:rPr>
          <w:i/>
          <w:iCs/>
        </w:rPr>
        <w:t>Mamenchisaurus hochuanensis</w:t>
      </w:r>
      <w:r>
        <w:rPr/>
        <w:t xml:space="preserve"> rearing to fight theropods (Paul 1988:88) in a composition reminiscent of </w:t>
      </w:r>
      <w:r>
        <w:rPr>
          <w:i/>
          <w:iCs/>
        </w:rPr>
        <w:t>Ambush</w:t>
      </w:r>
      <w:r>
        <w:rPr/>
        <w:t xml:space="preserve"> but rather more extreme due to the extraordinarily long neck of </w:t>
      </w:r>
      <w:r>
        <w:rPr>
          <w:i/>
          <w:iCs/>
        </w:rPr>
        <w:t>Mamenchisaurus</w:t>
      </w:r>
      <w:r>
        <w:rPr/>
        <w:t>.</w:t>
      </w:r>
    </w:p>
    <w:p>
      <w:pPr>
        <w:pStyle w:val="BodyText"/>
        <w:rPr/>
      </w:pPr>
      <w:r>
        <w:rPr/>
        <w:t xml:space="preserve">Jensen (1988) described a new camarasaurid species </w:t>
      </w:r>
      <w:r>
        <w:rPr>
          <w:i/>
          <w:iCs/>
        </w:rPr>
        <w:t>Cathetosaurus lewisi</w:t>
      </w:r>
      <w:r>
        <w:rPr>
          <w:i w:val="false"/>
          <w:iCs w:val="false"/>
        </w:rPr>
        <w:t xml:space="preserve"> (considered by McIntosh et al. (1996) to be a species of </w:t>
      </w:r>
      <w:r>
        <w:rPr>
          <w:i/>
          <w:iCs/>
        </w:rPr>
        <w:t>Camarasaurus</w:t>
      </w:r>
      <w:r>
        <w:rPr>
          <w:i w:val="false"/>
          <w:iCs w:val="false"/>
        </w:rPr>
        <w:t xml:space="preserve"> but regarded as its own genus by Tschopp et al. 2014). Jensen (1988</w:t>
      </w:r>
      <w:r>
        <w:rPr/>
        <w:t xml:space="preserve">:124–128) considered several characters of the </w:t>
      </w:r>
      <w:r>
        <w:rPr>
          <w:i/>
          <w:iCs/>
        </w:rPr>
        <w:t>C</w:t>
      </w:r>
      <w:r>
        <w:rPr/>
        <w:t xml:space="preserve">. </w:t>
      </w:r>
      <w:r>
        <w:rPr>
          <w:i/>
          <w:iCs/>
        </w:rPr>
        <w:t>lewisi</w:t>
      </w:r>
      <w:r>
        <w:rPr/>
        <w:t xml:space="preserve"> holotype BYU 9047 as specializations for rearing and bipedal locomotion: bifurcated neural spines through the entire presacral series, elongated chevrons, a strong system of ossified diagonal intervertebral ligaments in the dorsal vertebrae, suprapostal plates in the sacral vertebrae, and 20-degree forward rotation of the ilia relative to the sacrum. While some of these features do not seem directly related to rearing and others are likely age-related, the rotation of the ilium remains unique and difficult to interpret at anything other than a bipedalism adaptation.</w:t>
      </w:r>
    </w:p>
    <w:p>
      <w:pPr>
        <w:pStyle w:val="BodyText"/>
        <w:rPr/>
      </w:pPr>
      <w:r>
        <w:rPr/>
        <w:t xml:space="preserve">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2"/>
        <w:rPr/>
      </w:pPr>
      <w:r>
        <w:rPr/>
        <w:t>Cultural impact</w:t>
      </w:r>
    </w:p>
    <w:p>
      <w:pPr>
        <w:pStyle w:val="BodyText"/>
        <w:rPr/>
      </w:pPr>
      <w:r>
        <w:rPr/>
        <w:t xml:space="preserve">As well as catalyzing a scientific debate on the mechanical difficulties of rearing, the AMNH </w:t>
      </w:r>
      <w:r>
        <w:rPr>
          <w:i/>
          <w:iCs/>
        </w:rPr>
        <w:t>Barosaurus</w:t>
      </w:r>
      <w:r>
        <w:rPr/>
        <w:t xml:space="preserve"> mount has significantly influenced the depiction of sauropods in popular culture.</w:t>
      </w:r>
    </w:p>
    <w:p>
      <w:pPr>
        <w:pStyle w:val="BodyText"/>
        <w:rPr/>
      </w:pPr>
      <w:r>
        <w:rPr/>
        <w:t xml:space="preserve">Pre-production of Steven Spielberg’s </w:t>
      </w:r>
      <w:r>
        <w:rPr>
          <w:i/>
          <w:iCs/>
        </w:rPr>
        <w:t>Jurassic Park</w:t>
      </w:r>
      <w:r>
        <w:rPr/>
        <w:t xml:space="preserve"> (1993) began in July 1990, and filming begin in August 1992, so the AMNH </w:t>
      </w:r>
      <w:r>
        <w:rPr>
          <w:i/>
          <w:iCs/>
        </w:rPr>
        <w:t>Barosaurus</w:t>
      </w:r>
      <w:r>
        <w:rPr/>
        <w:t xml:space="preserve"> was unveiled about two thirds of the way through pre-production, in time to influence decisions about the film’s content. Notably, the first dinosaur seen in the film is a rearing sauropod — but it is a </w:t>
      </w:r>
      <w:r>
        <w:rPr>
          <w:i/>
          <w:iCs/>
        </w:rPr>
        <w:t>Brachiosaurus</w:t>
      </w:r>
      <w:r>
        <w:rPr/>
        <w:t xml:space="preserve"> rather than a </w:t>
      </w:r>
      <w:r>
        <w:rPr>
          <w:i/>
          <w:iCs/>
        </w:rPr>
        <w:t>Barosaurus</w:t>
      </w:r>
      <w:r>
        <w:rPr/>
        <w:t xml:space="preserve">. The choice of a rearing </w:t>
      </w:r>
      <w:r>
        <w:rPr>
          <w:i/>
          <w:iCs/>
        </w:rPr>
        <w:t>Brachiosaurus</w:t>
      </w:r>
      <w:r>
        <w:rPr/>
        <w:t xml:space="preserve"> in Jurassic Park is surprising because brachiosaurs were the most front-heavy of all sauropods, and so the least well adapted to rearing. It must be possible that from early versions, the script called for a </w:t>
      </w:r>
      <w:r>
        <w:rPr>
          <w:i/>
          <w:iCs/>
        </w:rPr>
        <w:t>Brachiosaurus</w:t>
      </w:r>
      <w:r>
        <w:rPr/>
        <w:t>, but the rearing was added only relatively late in the process, in response to the AMNH exhibit.</w:t>
      </w:r>
    </w:p>
    <w:p>
      <w:pPr>
        <w:pStyle w:val="BodyText"/>
        <w:rPr/>
      </w:pPr>
      <w:r>
        <w:rPr/>
        <w:t xml:space="preserve">If </w:t>
      </w:r>
      <w:r>
        <w:rPr>
          <w:i/>
          <w:iCs/>
        </w:rPr>
        <w:t>Jurassic Park</w:t>
      </w:r>
      <w:r>
        <w:rPr/>
        <w:t xml:space="preserve"> was the most important representation of dinosaurs in film, the BBC documentary </w:t>
      </w:r>
      <w:r>
        <w:rPr>
          <w:i/>
          <w:iCs/>
        </w:rPr>
        <w:t>Walking With Dinosaurs</w:t>
      </w:r>
      <w:r>
        <w:rPr/>
        <w:t xml:space="preserve"> (1999) was certainly the most influential depiction on the small screen. The second of the six episodes, </w:t>
      </w:r>
      <w:r>
        <w:rPr>
          <w:i/>
          <w:iCs/>
        </w:rPr>
        <w:t>Time of the Titans</w:t>
      </w:r>
      <w:r>
        <w:rPr/>
        <w:t xml:space="preserve"> (broadcast in the USA as </w:t>
      </w:r>
      <w:r>
        <w:rPr>
          <w:i/>
          <w:iCs/>
        </w:rPr>
        <w:t>Jurassic Giants</w:t>
      </w:r>
      <w:r>
        <w:rPr/>
        <w:t xml:space="preserve">) traces the life of a female </w:t>
      </w:r>
      <w:r>
        <w:rPr>
          <w:i/>
          <w:iCs/>
        </w:rPr>
        <w:t>Diplodocus</w:t>
      </w:r>
      <w:r>
        <w:rPr/>
        <w:t xml:space="preserve">, and spends much of its time with the herd of different-aged </w:t>
      </w:r>
      <w:r>
        <w:rPr>
          <w:i/>
          <w:iCs/>
        </w:rPr>
        <w:t>Diplodocus</w:t>
      </w:r>
      <w:r>
        <w:rPr/>
        <w:t xml:space="preserve"> individuals. Two passages of this episode show several individuals rearing onto their hind limbs: 15 minutes in, to push over trees; and 26 minutes in, to confront an </w:t>
      </w:r>
      <w:r>
        <w:rPr>
          <w:i/>
          <w:iCs/>
        </w:rPr>
        <w:t>Allosaurus</w:t>
      </w:r>
      <w:r>
        <w:rPr/>
        <w:t xml:space="preserve">, in a scene that can only be a tribute to the AMNH exhibit. In this latter sequence, the rearing </w:t>
      </w:r>
      <w:r>
        <w:rPr>
          <w:i/>
          <w:iCs/>
        </w:rPr>
        <w:t>Diplodocus</w:t>
      </w:r>
      <w:r>
        <w:rPr/>
        <w:t xml:space="preserve"> is even seen taking several bipedal steps. More than 20 years later, Apple TV+ provided a spiritual successor to </w:t>
      </w:r>
      <w:r>
        <w:rPr>
          <w:i/>
          <w:iCs/>
        </w:rPr>
        <w:t>Walking with Dinosaurs</w:t>
      </w:r>
      <w:r>
        <w:rPr/>
        <w:t xml:space="preserve">, </w:t>
      </w:r>
      <w:r>
        <w:rPr>
          <w:i/>
          <w:iCs/>
        </w:rPr>
        <w:t>Prehistoric Planet</w:t>
      </w:r>
      <w:r>
        <w:rPr/>
        <w:t xml:space="preserve"> (2022). Episode 2 (</w:t>
      </w:r>
      <w:r>
        <w:rPr>
          <w:i/>
          <w:iCs/>
        </w:rPr>
        <w:t>Deserts</w:t>
      </w:r>
      <w:r>
        <w:rPr/>
        <w:t xml:space="preserve">) included a lengthy scene beginning at four minutes, in which </w:t>
      </w:r>
      <w:r>
        <w:rPr>
          <w:i/>
          <w:iCs/>
        </w:rPr>
        <w:t>Dreadnaughtus</w:t>
      </w:r>
      <w:r>
        <w:rPr/>
        <w:t xml:space="preserve"> titanosaurs reared into bipedal poses, initially for sexual display, then for intraspecific combat.</w:t>
      </w:r>
    </w:p>
    <w:p>
      <w:pPr>
        <w:pStyle w:val="BodyText"/>
        <w:rPr/>
      </w:pPr>
      <w:r>
        <w:rPr/>
        <w:t xml:space="preserve">The Dinosaur World part in Plant City, Florida, contains a life-sized sculpture of a rearing </w:t>
      </w:r>
      <w:r>
        <w:rPr>
          <w:i/>
          <w:iCs/>
        </w:rPr>
        <w:t>Barosaurus</w:t>
      </w:r>
      <w:r>
        <w:rPr/>
        <w:t>.</w:t>
      </w:r>
    </w:p>
    <w:p>
      <w:pPr>
        <w:pStyle w:val="BodyText"/>
        <w:rPr/>
      </w:pPr>
      <w:r>
        <w:rPr/>
        <w:t xml:space="preserve">Some dinosaur toys have been influenced by the AMNH mount: for example, the Collecta </w:t>
      </w:r>
      <w:r>
        <w:rPr>
          <w:i/>
          <w:iCs/>
        </w:rPr>
        <w:t>Diplodocus</w:t>
      </w:r>
      <w:r>
        <w:rPr/>
        <w:t xml:space="preserve"> is in a rearing pose. However, toys of </w:t>
      </w:r>
      <w:r>
        <w:rPr>
          <w:i/>
          <w:iCs/>
        </w:rPr>
        <w:t>Barosaurus</w:t>
      </w:r>
      <w:r>
        <w:rPr/>
        <w:t xml:space="preserve"> itself are for some reason extraordinarily rare. The Dinosaur Toy Blog (Smith 2007) has reviewed well over 2,500 dinosaur toys (Smith, 2024, pers. comm.), including 50 versions of </w:t>
      </w:r>
      <w:r>
        <w:rPr>
          <w:i/>
          <w:iCs/>
        </w:rPr>
        <w:t>Brachiosaurus</w:t>
      </w:r>
      <w:r>
        <w:rPr/>
        <w:t xml:space="preserve">, 38 of </w:t>
      </w:r>
      <w:r>
        <w:rPr>
          <w:i/>
          <w:iCs/>
        </w:rPr>
        <w:t>Apatosaurus</w:t>
      </w:r>
      <w:r>
        <w:rPr/>
        <w:t xml:space="preserve">, 22 of </w:t>
      </w:r>
      <w:r>
        <w:rPr>
          <w:i/>
          <w:iCs/>
        </w:rPr>
        <w:t>Diplodocus</w:t>
      </w:r>
      <w:r>
        <w:rPr>
          <w:i w:val="false"/>
          <w:iCs w:val="false"/>
        </w:rPr>
        <w:t xml:space="preserve"> and nine of </w:t>
      </w:r>
      <w:r>
        <w:rPr>
          <w:i/>
          <w:iCs/>
        </w:rPr>
        <w:t>Camarasaurus</w:t>
      </w:r>
      <w:r>
        <w:rPr>
          <w:i w:val="false"/>
          <w:iCs w:val="false"/>
        </w:rPr>
        <w:t xml:space="preserve"> — but not a single </w:t>
      </w:r>
      <w:r>
        <w:rPr>
          <w:i/>
          <w:iCs/>
        </w:rPr>
        <w:t>Barosaurus</w:t>
      </w:r>
      <w:r>
        <w:rPr>
          <w:i w:val="false"/>
          <w:iCs w:val="false"/>
        </w:rPr>
        <w:t xml:space="preserve"> toy. The only </w:t>
      </w:r>
      <w:r>
        <w:rPr>
          <w:i/>
          <w:iCs/>
        </w:rPr>
        <w:t>Barosaurus</w:t>
      </w:r>
      <w:r>
        <w:rPr>
          <w:i w:val="false"/>
          <w:iCs w:val="false"/>
        </w:rPr>
        <w:t xml:space="preserve"> “toys”  on the market at the time of writing seem to be large museum-quality maquettes costing $500 or more. A </w:t>
      </w:r>
      <w:r>
        <w:rPr/>
        <w:t xml:space="preserve">Lego model of the rearing AMNH </w:t>
      </w:r>
      <w:r>
        <w:rPr>
          <w:i/>
          <w:iCs/>
        </w:rPr>
        <w:t>Barosaurus</w:t>
      </w:r>
      <w:r>
        <w:rPr/>
        <w:t xml:space="preserve"> has been created by Ambrosino (a pseudonym) and its instructions made freely available (Ambrosino 2023; Figure J).</w:t>
      </w:r>
    </w:p>
    <w:p>
      <w:pPr>
        <w:pStyle w:val="Heading2"/>
        <w:rPr/>
      </w:pPr>
      <w:bookmarkStart w:id="24" w:name="__RefHeading___Toc21934_68767826"/>
      <w:bookmarkEnd w:id="24"/>
      <w:r>
        <w:rPr/>
        <w:t>Size of the AMNH 6341 animal</w:t>
      </w:r>
    </w:p>
    <w:p>
      <w:pPr>
        <w:pStyle w:val="BodyText"/>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 However, see Taylor and Wedel (in prep.) for alternative estimates.</w:t>
      </w:r>
    </w:p>
    <w:p>
      <w:pPr>
        <w:pStyle w:val="BodyText"/>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3"/>
        </w:numPr>
        <w:ind w:hanging="0" w:left="0" w:right="0"/>
        <w:rPr/>
      </w:pPr>
      <w:bookmarkStart w:id="25" w:name="__RefHeading___Toc3403_68767826"/>
      <w:bookmarkEnd w:id="25"/>
      <w:r>
        <w:rPr/>
        <w:t>Acknowledgements</w:t>
      </w:r>
    </w:p>
    <w:p>
      <w:pPr>
        <w:pStyle w:val="BodyText"/>
        <w:rPr/>
      </w:pPr>
      <w:r>
        <w:rPr/>
        <w:t xml:space="preserve">We are grateful to Scott Hartman (University of Wisconsin-Madison) for allowing us to use his </w:t>
      </w:r>
      <w:r>
        <w:rPr>
          <w:i/>
          <w:iCs/>
        </w:rPr>
        <w:t>Barosaurus lentus</w:t>
      </w:r>
      <w:r>
        <w:rPr/>
        <w:t xml:space="preserve"> skeletal reconstruction, to Gregory S. Paul for permission to reproduce his artwork </w:t>
      </w:r>
      <w:r>
        <w:rPr>
          <w:i/>
          <w:iCs/>
        </w:rPr>
        <w:t>Ambush at Como Creek</w:t>
      </w:r>
      <w:r>
        <w:rPr/>
        <w:t xml:space="preserve">, to John Gurche for permission to reproduce his life restoration of the rearing </w:t>
      </w:r>
      <w:r>
        <w:rPr>
          <w:i/>
          <w:iCs/>
        </w:rPr>
        <w:t>Barosaurus</w:t>
      </w:r>
      <w:r>
        <w:rPr/>
        <w:t xml:space="preserve">, and to Ambrosino for permission to use a photograph of his Lego </w:t>
      </w:r>
      <w:r>
        <w:rPr>
          <w:i/>
          <w:iCs/>
        </w:rPr>
        <w:t>Barosaurus</w:t>
      </w:r>
      <w:r>
        <w:rPr/>
        <w:t xml:space="preserve"> model (Figure J). Gregory S. Paul also allowed us to quote personal communications. Carl Mehling (AMNH) searched collections for the missing C7 and allowed us to cite a personal communication. Mai Reitmeyer (Department of Library Services, AMNH) helped us to obtain historical photographs. Amelia Zietlow (Richard Gilder Graduate School at the AMNH) provided helpful photographs and information about the present public exhibits (Figure I). We thank Ray Wilhite (Auburn University College of Veterinary Medicine) and Brooks Britt and Rod Scheetz (both Brigham Young University) for help in accessing the archived notebooks of John S. McIntosh. Lynton Gardiner allowed us to cite a personal communication. Mick Ellison (AMNH) kindly photographed for us both the 1939 public gallery exhibit panel (Figure G) and the prototype model (Figure H), having had the model repaired. Photography of the model was courtesy of the AMNH Main Archives. Melissa Posen, Dingus’s administrative assistant on the </w:t>
      </w:r>
      <w:r>
        <w:rPr>
          <w:i/>
          <w:iCs/>
        </w:rPr>
        <w:t>Barosaurus</w:t>
      </w:r>
      <w:r>
        <w:rPr/>
        <w:t xml:space="preserve"> project, took most of the photographs of the initial assembly in Toronto.</w:t>
      </w:r>
    </w:p>
    <w:p>
      <w:pPr>
        <w:pStyle w:val="Heading1"/>
        <w:numPr>
          <w:ilvl w:val="0"/>
          <w:numId w:val="3"/>
        </w:numPr>
        <w:ind w:hanging="0" w:left="0" w:right="0"/>
        <w:rPr/>
      </w:pPr>
      <w:bookmarkStart w:id="26" w:name="__RefHeading___Toc3405_68767826"/>
      <w:bookmarkEnd w:id="26"/>
      <w:r>
        <w:rPr/>
        <w:t>References</w:t>
      </w:r>
    </w:p>
    <w:p>
      <w:pPr>
        <w:pStyle w:val="Reference"/>
        <w:rPr/>
      </w:pPr>
      <w:r>
        <w:rPr/>
        <w:t xml:space="preserve">Ambrosino. 2023. 21320: </w:t>
      </w:r>
      <w:r>
        <w:rPr>
          <w:i/>
          <w:iCs/>
        </w:rPr>
        <w:t>Barosaurus</w:t>
      </w:r>
      <w:r>
        <w:rPr/>
        <w:t xml:space="preserve"> skeleton. </w:t>
      </w:r>
      <w:hyperlink r:id="rId6">
        <w:r>
          <w:rPr>
            <w:rStyle w:val="Hyperlink"/>
          </w:rPr>
          <w:t>https://rebrickable.com/mocs/MOC-154998/Ambrosino/21320-barosaurus-skeleton/</w:t>
        </w:r>
      </w:hyperlink>
      <w:r>
        <w:rPr/>
        <w:t xml:space="preserve"> archived at </w:t>
      </w:r>
      <w:r>
        <w:fldChar w:fldCharType="begin"/>
      </w:r>
      <w:r>
        <w:rPr>
          <w:rStyle w:val="Hyperlink"/>
        </w:rPr>
        <w:instrText xml:space="preserve"> HYPERLINK "https://web.archive.org/web/20241109174605/https://rebrickable.com/mocs/MOC-154998/Ambrosino/21320-barosaurus-skeleton/" \l "details"</w:instrText>
      </w:r>
      <w:r>
        <w:rPr>
          <w:rStyle w:val="Hyperlink"/>
        </w:rPr>
        <w:fldChar w:fldCharType="separate"/>
      </w:r>
      <w:r>
        <w:rPr>
          <w:rStyle w:val="Hyperlink"/>
        </w:rPr>
        <w:t>https://web.archive.org/web/20241109174605/https://rebrickable.com/mocs/MOC-154998/Ambrosino/21320-barosaurus-skeleton/#details</w:t>
      </w:r>
      <w:r>
        <w:rPr>
          <w:rStyle w:val="Hyperlink"/>
        </w:rPr>
        <w:fldChar w:fldCharType="end"/>
      </w:r>
    </w:p>
    <w:p>
      <w:pPr>
        <w:pStyle w:val="Reference"/>
        <w:rPr/>
      </w:pPr>
      <w:r>
        <w:rPr/>
        <w:t xml:space="preserve">Anonymous. 1939. Museum monster loses by 14 feet; </w:t>
      </w:r>
      <w:r>
        <w:rPr>
          <w:i/>
          <w:iCs/>
        </w:rPr>
        <w:t>Brontosaurus</w:t>
      </w:r>
      <w:r>
        <w:rPr/>
        <w:t xml:space="preserve">, size champion, to be replaced by a much larger </w:t>
      </w:r>
      <w:r>
        <w:rPr>
          <w:i/>
          <w:iCs/>
        </w:rPr>
        <w:t>Barosaurus</w:t>
      </w:r>
      <w:r>
        <w:rPr/>
        <w:t xml:space="preserve">. </w:t>
      </w:r>
      <w:r>
        <w:rPr>
          <w:i/>
          <w:iCs/>
        </w:rPr>
        <w:t>New York Times</w:t>
      </w:r>
      <w:r>
        <w:rPr/>
        <w:t>, 18 April 1939, page 25.</w:t>
      </w:r>
    </w:p>
    <w:p>
      <w:pPr>
        <w:pStyle w:val="Reference"/>
        <w:rPr/>
      </w:pPr>
      <w:r>
        <w:rPr/>
        <w:t xml:space="preserve">Anonymous. 1991. They say even </w:t>
      </w:r>
      <w:r>
        <w:rPr>
          <w:i/>
          <w:iCs/>
        </w:rPr>
        <w:t>Barosaurus</w:t>
      </w:r>
      <w:r>
        <w:rPr/>
        <w:t xml:space="preserve"> danced. </w:t>
      </w:r>
      <w:r>
        <w:rPr>
          <w:i/>
          <w:iCs/>
        </w:rPr>
        <w:t>New York Times</w:t>
      </w:r>
      <w:r>
        <w:rPr/>
        <w:t>, 8 December 1991, section 1, page 75.</w:t>
      </w:r>
    </w:p>
    <w:p>
      <w:pPr>
        <w:pStyle w:val="Reference"/>
        <w:rPr/>
      </w:pPr>
      <w:r>
        <w:rPr/>
        <w:t xml:space="preserve">Ballou, William H. 1897. Strange creatures of the past: gigantic saurians of the reptilian age. </w:t>
      </w:r>
      <w:r>
        <w:rPr>
          <w:i/>
          <w:iCs/>
        </w:rPr>
        <w:t>Century Illustrated Magazine</w:t>
      </w:r>
      <w:r>
        <w:rPr/>
        <w:t xml:space="preserve"> </w:t>
      </w:r>
      <w:r>
        <w:rPr>
          <w:b/>
          <w:bCs/>
        </w:rPr>
        <w:t>55(1)</w:t>
      </w:r>
      <w:r>
        <w:rPr/>
        <w:t xml:space="preserve">:15–23. </w:t>
      </w:r>
      <w:hyperlink r:id="rId7">
        <w:r>
          <w:rPr>
            <w:rStyle w:val="Hyperlink"/>
          </w:rPr>
          <w:t>https://babel.hathitrust.org/cgi/pt?id=coo.31924080776994</w:t>
        </w:r>
      </w:hyperlink>
    </w:p>
    <w:p>
      <w:pPr>
        <w:pStyle w:val="Reference"/>
        <w:rPr/>
      </w:pPr>
      <w:r>
        <w:rPr/>
        <w:t xml:space="preserve">Badeer, Henry S., and James W. Hicks, 1996. Circulation to the head of </w:t>
      </w:r>
      <w:r>
        <w:rPr>
          <w:i/>
          <w:iCs/>
        </w:rPr>
        <w:t>Barosaurus</w:t>
      </w:r>
      <w:r>
        <w:rPr/>
        <w:t xml:space="preserve"> revisited: theoretical considerations. </w:t>
      </w:r>
      <w:r>
        <w:rPr>
          <w:i/>
          <w:iCs/>
        </w:rPr>
        <w:t>Comparative Biochemistry &amp; Physiology</w:t>
      </w:r>
      <w:r>
        <w:rPr/>
        <w:t xml:space="preserve"> </w:t>
      </w:r>
      <w:r>
        <w:rPr>
          <w:b/>
          <w:bCs/>
        </w:rPr>
        <w:t>A114</w:t>
      </w:r>
      <w:r>
        <w:rPr/>
        <w:t>:197–203.</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1978. Dinosaur feeding behaviour and the origin of flowering plants. </w:t>
      </w:r>
      <w:r>
        <w:rPr>
          <w:i/>
          <w:iCs/>
        </w:rPr>
        <w:t>Nature</w:t>
      </w:r>
      <w:r>
        <w:rPr/>
        <w:t xml:space="preserve"> </w:t>
      </w:r>
      <w:r>
        <w:rPr>
          <w:b/>
          <w:bCs/>
        </w:rPr>
        <w:t>274</w:t>
      </w:r>
      <w:r>
        <w:rPr/>
        <w:t>:661–663.</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Choy, Daniel S. J., and P. Altmann. 1992. The cardiovascular system of </w:t>
      </w:r>
      <w:r>
        <w:rPr>
          <w:i/>
          <w:iCs/>
        </w:rPr>
        <w:t>Barosaurus</w:t>
      </w:r>
      <w:r>
        <w:rPr/>
        <w:t xml:space="preserve">: an educated guess. </w:t>
      </w:r>
      <w:r>
        <w:rPr>
          <w:i/>
          <w:iCs/>
        </w:rPr>
        <w:t>The Lancet</w:t>
      </w:r>
      <w:r>
        <w:rPr/>
        <w:t xml:space="preserve"> </w:t>
      </w:r>
      <w:r>
        <w:rPr>
          <w:b/>
          <w:bCs/>
        </w:rPr>
        <w:t>340</w:t>
      </w:r>
      <w:r>
        <w:rPr/>
        <w:t>:534–536.</w:t>
      </w:r>
    </w:p>
    <w:p>
      <w:pPr>
        <w:pStyle w:val="Reference"/>
        <w:rPr/>
      </w:pPr>
      <w:r>
        <w:rPr/>
        <w:t xml:space="preserve">Collins, Glenn. 1991. Clearing a new path for T. Rex and company. </w:t>
      </w:r>
      <w:r>
        <w:rPr>
          <w:i/>
          <w:iCs/>
        </w:rPr>
        <w:t>New York Times</w:t>
      </w:r>
      <w:r>
        <w:rPr/>
        <w:t>, 1 December 1991, page 2038.</w:t>
      </w:r>
    </w:p>
    <w:p>
      <w:pPr>
        <w:pStyle w:val="Reference"/>
        <w:rPr/>
      </w:pPr>
      <w:r>
        <w:rPr/>
        <w:t xml:space="preserve">Coombs, W. 1975. Sauropod habits and habitats. </w:t>
      </w:r>
      <w:r>
        <w:rPr>
          <w:i/>
          <w:iCs/>
        </w:rPr>
        <w:t>Palaeogeography, Palaeoclimatology, Palaeoecology</w:t>
      </w:r>
      <w:r>
        <w:rPr/>
        <w:t xml:space="preserve"> </w:t>
      </w:r>
      <w:r>
        <w:rPr>
          <w:b/>
          <w:bCs/>
        </w:rPr>
        <w:t>17</w:t>
      </w:r>
      <w:r>
        <w:rPr/>
        <w:t>:1-33. doi:10.1016/0031-0182(75)90027-9</w:t>
      </w:r>
    </w:p>
    <w:p>
      <w:pPr>
        <w:pStyle w:val="Reference"/>
        <w:rPr/>
      </w:pPr>
      <w:r>
        <w:rPr/>
        <w:t xml:space="preserve">Coria, Rodolfo A. 1994. On a monospecific assemblage of sauropod dinosaurs from Patagonia: implication for gregarious behaviour. </w:t>
      </w:r>
      <w:r>
        <w:rPr>
          <w:i/>
          <w:iCs/>
        </w:rPr>
        <w:t>Gaia</w:t>
      </w:r>
      <w:r>
        <w:rPr/>
        <w:t xml:space="preserve"> </w:t>
      </w:r>
      <w:r>
        <w:rPr>
          <w:b/>
          <w:bCs/>
        </w:rPr>
        <w:t>10</w:t>
      </w:r>
      <w:r>
        <w:rPr/>
        <w:t>:209–213.</w:t>
      </w:r>
    </w:p>
    <w:p>
      <w:pPr>
        <w:pStyle w:val="Reference"/>
        <w:rPr/>
      </w:pPr>
      <w:r>
        <w:rPr/>
        <w:t xml:space="preserve">Day, Julia J., David B. Norman, Andrew S. Gale, Paul Upchurch and H. Philip Powell. 2004. A Middle Jurassic dinosaur trackway site from Oxfordshire, UK. </w:t>
      </w:r>
      <w:r>
        <w:rPr>
          <w:i/>
          <w:iCs/>
        </w:rPr>
        <w:t>Palaeontology</w:t>
      </w:r>
      <w:r>
        <w:rPr/>
        <w:t xml:space="preserve"> </w:t>
      </w:r>
      <w:r>
        <w:rPr>
          <w:b/>
          <w:bCs/>
        </w:rPr>
        <w:t>47</w:t>
      </w:r>
      <w:r>
        <w:rPr/>
        <w:t>:319–348. doi:10.1111/j.0031-0239.2004.00366.x</w:t>
      </w:r>
    </w:p>
    <w:p>
      <w:pPr>
        <w:pStyle w:val="Reference"/>
        <w:rPr/>
      </w:pPr>
      <w:r>
        <w:rPr/>
        <w:t xml:space="preserve">Dennis, James M.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bookmarkStart w:id="27" w:name="__DdeLink__2788_55120580"/>
      <w:r>
        <w:rPr>
          <w:i/>
          <w:iCs/>
        </w:rPr>
        <w:t>Proceedings of the United States National Museum</w:t>
      </w:r>
      <w:bookmarkEnd w:id="27"/>
      <w:r>
        <w:rPr/>
        <w:t xml:space="preserve"> </w:t>
      </w:r>
      <w:r>
        <w:rPr>
          <w:b/>
          <w:bCs/>
        </w:rPr>
        <w:t>81</w:t>
      </w:r>
      <w:r>
        <w:rPr/>
        <w:t>:1–21.</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Hicks, James W., and Henry S. Badeer. 1992. </w:t>
      </w:r>
      <w:r>
        <w:rPr>
          <w:i/>
          <w:iCs/>
        </w:rPr>
        <w:t>Barosaurus</w:t>
      </w:r>
      <w:r>
        <w:rPr/>
        <w:t xml:space="preserve"> and its circulation. </w:t>
      </w:r>
      <w:r>
        <w:rPr>
          <w:i/>
          <w:iCs/>
        </w:rPr>
        <w:t>The Lancet</w:t>
      </w:r>
      <w:r>
        <w:rPr/>
        <w:t xml:space="preserve"> </w:t>
      </w:r>
      <w:r>
        <w:rPr>
          <w:b/>
          <w:bCs/>
        </w:rPr>
        <w:t>340</w:t>
      </w:r>
      <w:r>
        <w:rPr/>
        <w:t>:1229.</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Kermack, Kenneth A. 1951. A note on the habits of sauropods. </w:t>
      </w:r>
      <w:r>
        <w:rPr>
          <w:i/>
          <w:iCs/>
        </w:rPr>
        <w:t>Annals and Magazine of Natural History</w:t>
      </w:r>
      <w:r>
        <w:rPr/>
        <w:t xml:space="preserve">, series 12, </w:t>
      </w:r>
      <w:r>
        <w:rPr>
          <w:b/>
          <w:bCs/>
        </w:rPr>
        <w:t>4</w:t>
      </w:r>
      <w:r>
        <w:rPr/>
        <w:t>:830–832. doi:10.1080/00222935108654213</w:t>
      </w:r>
    </w:p>
    <w:p>
      <w:pPr>
        <w:pStyle w:val="Reference"/>
        <w:rPr/>
      </w:pPr>
      <w:r>
        <w:rPr/>
        <w:t xml:space="preserve">Lambert, David. 2000. </w:t>
      </w:r>
      <w:r>
        <w:rPr>
          <w:i/>
          <w:iCs/>
        </w:rPr>
        <w:t>DK Guide: Dinosaurs</w:t>
      </w:r>
      <w:r>
        <w:rPr/>
        <w:t>. Dorling Kindersley (London). 64 pages.</w:t>
      </w:r>
    </w:p>
    <w:p>
      <w:pPr>
        <w:pStyle w:val="Reference"/>
        <w:rPr/>
      </w:pPr>
      <w:r>
        <w:rPr/>
        <w:t xml:space="preserve">Landry, Stuart O. 1992. Untitled abstract on rearing </w:t>
      </w:r>
      <w:r>
        <w:rPr>
          <w:i/>
          <w:iCs/>
        </w:rPr>
        <w:t>Barosaurus</w:t>
      </w:r>
      <w:r>
        <w:rPr/>
        <w:t xml:space="preserve">. </w:t>
      </w:r>
      <w:r>
        <w:rPr>
          <w:i/>
          <w:iCs/>
        </w:rPr>
        <w:t xml:space="preserve">American Zoologist </w:t>
      </w:r>
      <w:r>
        <w:rPr>
          <w:b/>
          <w:bCs/>
        </w:rPr>
        <w:t>32</w:t>
      </w:r>
      <w:r>
        <w:rPr/>
        <w:t>:5, Abstracts for annual meeting of the American Society of Zoologists, 26–30 December 1992, page 147A.</w:t>
      </w:r>
    </w:p>
    <w:p>
      <w:pPr>
        <w:pStyle w:val="Reference"/>
        <w:rPr/>
      </w:pPr>
      <w:r>
        <w:rPr/>
        <w:t xml:space="preserve">Lillywhite, Harvey B., 1991. Sauropods and gravity. </w:t>
      </w:r>
      <w:r>
        <w:rPr>
          <w:i/>
          <w:iCs/>
        </w:rPr>
        <w:t>Natural History</w:t>
      </w:r>
      <w:r>
        <w:rPr/>
        <w:t xml:space="preserve"> </w:t>
      </w:r>
      <w:r>
        <w:rPr>
          <w:b/>
          <w:bCs/>
        </w:rPr>
        <w:t>100(12)</w:t>
      </w:r>
      <w:r>
        <w:rPr/>
        <w:t>:33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Wade E. Miller, Kenneth L. Stadtman and David D. Gillette. 1996. The osteology of </w:t>
      </w:r>
      <w:r>
        <w:rPr>
          <w:i/>
          <w:iCs/>
        </w:rPr>
        <w:t>Camarasaurus lewisi</w:t>
      </w:r>
      <w:r>
        <w:rPr/>
        <w:t xml:space="preserve"> (Jensen, 1988). </w:t>
      </w:r>
      <w:r>
        <w:rPr>
          <w:i/>
          <w:iCs/>
        </w:rPr>
        <w:t>Brigham Young University Geology Studies</w:t>
      </w:r>
      <w:r>
        <w:rPr/>
        <w:t xml:space="preserve"> </w:t>
      </w:r>
      <w:r>
        <w:rPr>
          <w:b/>
          <w:bCs/>
        </w:rPr>
        <w:t>41</w:t>
      </w:r>
      <w:r>
        <w:rPr/>
        <w:t>:73–115.</w:t>
      </w:r>
    </w:p>
    <w:p>
      <w:pPr>
        <w:pStyle w:val="Reference"/>
        <w:rPr/>
      </w:pPr>
      <w:r>
        <w:rPr/>
        <w:t xml:space="preserve">Millard, Ronald W., Harvey B. Lillywhite and Alan R. Hargens. 1992. Cardiovascular system design and </w:t>
      </w:r>
      <w:r>
        <w:rPr>
          <w:i/>
          <w:iCs/>
        </w:rPr>
        <w:t>Barosaurus</w:t>
      </w:r>
      <w:r>
        <w:rPr/>
        <w:t xml:space="preserve">. </w:t>
      </w:r>
      <w:r>
        <w:rPr>
          <w:i/>
          <w:iCs/>
        </w:rPr>
        <w:t>The Lancet</w:t>
      </w:r>
      <w:r>
        <w:rPr/>
        <w:t xml:space="preserve"> </w:t>
      </w:r>
      <w:r>
        <w:rPr>
          <w:b/>
          <w:bCs/>
        </w:rPr>
        <w:t>340</w:t>
      </w:r>
      <w:r>
        <w:rPr/>
        <w:t>:914.</w:t>
      </w:r>
    </w:p>
    <w:p>
      <w:pPr>
        <w:pStyle w:val="Reference"/>
        <w:rPr/>
      </w:pPr>
      <w:bookmarkStart w:id="28" w:name="__DdeLink__16582_68767826"/>
      <w:r>
        <w:rPr/>
        <w:t>Nieuwland</w:t>
      </w:r>
      <w:bookmarkEnd w:id="28"/>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Hyper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 doi:10.1130/GSAB-30-379</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Paul, Gregory S. 1988. </w:t>
      </w:r>
      <w:r>
        <w:rPr>
          <w:i/>
          <w:iCs/>
        </w:rPr>
        <w:t>Predatory Dinosaurs of the World</w:t>
      </w:r>
      <w:r>
        <w:rPr/>
        <w:t>. Simon and Schuster Inc., New York. 446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Remes, Kristian, David M. Unwin, Nicole Klein, Wolf-Dieter Heinrich and Oliver Hampe. 2011. Skeletal Reconstruction of </w:t>
      </w:r>
      <w:r>
        <w:rPr>
          <w:i/>
          <w:iCs/>
        </w:rPr>
        <w:t>Brachiosaur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Smith, Adam S. (with contributions from 20 other authors). 2007. Dinosaur Toy Blog. </w:t>
      </w:r>
      <w:hyperlink r:id="rId9">
        <w:r>
          <w:rPr>
            <w:rStyle w:val="Hyperlink"/>
          </w:rPr>
          <w:t>https://dinotoyblog.com/</w:t>
        </w:r>
      </w:hyperlink>
    </w:p>
    <w:p>
      <w:pPr>
        <w:pStyle w:val="Reference"/>
        <w:rPr/>
      </w:pPr>
      <w:r>
        <w:rPr/>
        <w:t xml:space="preserve">Taylor, Michael A. 1992. </w:t>
      </w:r>
      <w:r>
        <w:rPr>
          <w:i/>
          <w:iCs/>
        </w:rPr>
        <w:t>Barosaurus</w:t>
      </w:r>
      <w:r>
        <w:rPr/>
        <w:t xml:space="preserve"> and its circulation. </w:t>
      </w:r>
      <w:r>
        <w:rPr>
          <w:i/>
          <w:iCs/>
        </w:rPr>
        <w:t>The Lancet</w:t>
      </w:r>
      <w:r>
        <w:rPr/>
        <w:t xml:space="preserve"> </w:t>
      </w:r>
      <w:r>
        <w:rPr>
          <w:b/>
          <w:bCs/>
        </w:rPr>
        <w:t>340</w:t>
      </w:r>
      <w:r>
        <w:rPr/>
        <w:t>:1228.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and Mathew J. Wedel. In prep. Giant specimens of the sauropod dinosaur </w:t>
      </w:r>
      <w:r>
        <w:rPr>
          <w:i/>
          <w:iCs/>
        </w:rPr>
        <w:t>Barosaurus</w:t>
      </w:r>
      <w:r>
        <w:rPr/>
        <w:t xml:space="preserve"> from Utah and Colorado, USA. </w:t>
      </w:r>
      <w:hyperlink r:id="rId10">
        <w:r>
          <w:rPr>
            <w:rStyle w:val="Hyperlink"/>
          </w:rPr>
          <w:t>https://github.com/miketaylor/palaeo-superbaro</w:t>
        </w:r>
      </w:hyperlink>
    </w:p>
    <w:p>
      <w:pPr>
        <w:pStyle w:val="Reference"/>
        <w:rPr/>
      </w:pPr>
      <w:r>
        <w:rPr/>
        <w:t xml:space="preserve">Taylor, Michael P., Steven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 10.31711/giw.v10.pp65-91.</w:t>
      </w:r>
    </w:p>
    <w:p>
      <w:pPr>
        <w:pStyle w:val="Reference"/>
        <w:rPr/>
      </w:pPr>
      <w:r>
        <w:rPr/>
        <w:t xml:space="preserve">Taylor, Michael P., Matthew C. Lamanna, Amy Henrici, Linsly Church and Ilja Nieuwland. 2024. In review. The history and composition of the Carnegie </w:t>
      </w:r>
      <w:r>
        <w:rPr>
          <w:i/>
          <w:iCs/>
        </w:rPr>
        <w:t xml:space="preserve">Diplodocus. </w:t>
      </w:r>
      <w:r>
        <w:rPr/>
        <w:t xml:space="preserve">Preprint doi:10.5281/zenodo.13732377 — available at </w:t>
      </w:r>
      <w:hyperlink r:id="rId11">
        <w:r>
          <w:rPr>
            <w:rStyle w:val="Hyperlink"/>
          </w:rPr>
          <w:t>https://zenodo.org/records/13732378</w:t>
        </w:r>
      </w:hyperlink>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 xml:space="preserve">:e857. </w:t>
      </w:r>
      <w:hyperlink r:id="rId12">
        <w:r>
          <w:rPr>
            <w:rStyle w:val="Hyperlink"/>
          </w:rPr>
          <w:t>doi:10.7717/peerj.857</w:t>
        </w:r>
      </w:hyperlink>
    </w:p>
    <w:p>
      <w:pPr>
        <w:pStyle w:val="Reference"/>
        <w:rPr/>
      </w:pPr>
      <w:r>
        <w:rPr/>
        <w:t xml:space="preserve">Tschopp, Emanuel, Octávio Mateus, Ralf Kosma, P. Martin Sander, Ulrich. Joger and Oliver W. M. Wings. 2014. A specimen-level cladistic analysis of </w:t>
      </w:r>
      <w:r>
        <w:rPr>
          <w:i/>
          <w:iCs/>
        </w:rPr>
        <w:t>Camarasaurus</w:t>
      </w:r>
      <w:r>
        <w:rPr/>
        <w:t xml:space="preserve"> (Dinosauria, Sauropoda) and a revision of camarasaurid taxonomy. 74th Annual Meeting of the Society of Vertebrate Paleontology, Program and Abstracts, 241.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hanging="0" w:left="0" w:right="0"/>
        <w:rPr/>
      </w:pPr>
      <w:bookmarkStart w:id="29" w:name="__RefHeading___Toc3407_68767826"/>
      <w:bookmarkEnd w:id="29"/>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as it appeared after the initial mounting and before repairs to the middle of the neck.</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are present, but it is not possible to say which six ribs.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w:t>
      </w:r>
      <w:r>
        <w:rPr>
          <w:b/>
          <w:bCs/>
        </w:rPr>
        <w:t>A.</w:t>
      </w:r>
      <w:r>
        <w:rPr/>
        <w:t xml:space="preserve"> Cranium to rear, mandible to the front, both in left dorsolateral view, photographed in 1991. </w:t>
      </w:r>
      <w:r>
        <w:rPr>
          <w:b/>
          <w:bCs/>
        </w:rPr>
        <w:t>B.</w:t>
      </w:r>
      <w:r>
        <w:rPr/>
        <w:t xml:space="preserve"> Cranium to rear, mandible to the front, both in right dorsolateral view, photographed in 1991. This skull was copied from that of the mounted Carnegie </w:t>
      </w:r>
      <w:r>
        <w:rPr>
          <w:i/>
          <w:iCs/>
        </w:rPr>
        <w:t>Diplodocus</w:t>
      </w:r>
      <w:r>
        <w:rPr/>
        <w:t xml:space="preserve">. Note its similarity to the skull “as placed in the restoration at the British Museum” in Holland (1906:figure 1). </w:t>
      </w:r>
      <w:r>
        <w:rPr>
          <w:b/>
          <w:bCs/>
        </w:rPr>
        <w:t>C.</w:t>
      </w:r>
      <w:r>
        <w:rPr/>
        <w:t xml:space="preserve"> The skull used in the Paris mount of </w:t>
      </w:r>
      <w:r>
        <w:rPr>
          <w:i/>
          <w:iCs/>
        </w:rPr>
        <w:t>Diplodocus</w:t>
      </w:r>
      <w:r>
        <w:rPr/>
        <w:t xml:space="preserve">, held by an unnamed worker, in left lateral view, photographed in 1908. That of the </w:t>
      </w:r>
      <w:r>
        <w:rPr>
          <w:i/>
          <w:iCs/>
        </w:rPr>
        <w:t>Barosaurus</w:t>
      </w:r>
      <w:r>
        <w:rPr/>
        <w:t xml:space="preserve"> mount is identical.</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b/>
          <w:bCs/>
        </w:rPr>
        <w:t>Figure F.</w:t>
      </w:r>
      <w:r>
        <w:rPr/>
        <w:t xml:space="preserve"> </w:t>
      </w:r>
      <w:r>
        <w:rPr>
          <w:i/>
          <w:iCs/>
        </w:rPr>
        <w:t>Barosaurus Defends Her Young</w:t>
      </w:r>
      <w:r>
        <w:rPr/>
        <w:t xml:space="preserve">, John Gurche’s painting of a rearing </w:t>
      </w:r>
      <w:r>
        <w:rPr>
          <w:i/>
          <w:iCs/>
        </w:rPr>
        <w:t>Barosaurus</w:t>
      </w:r>
      <w:r>
        <w:rPr/>
        <w:t xml:space="preserve"> confronting an </w:t>
      </w:r>
      <w:r>
        <w:rPr>
          <w:i/>
          <w:iCs/>
        </w:rPr>
        <w:t>Allosaurus</w:t>
      </w:r>
      <w:r>
        <w:rPr/>
        <w:t xml:space="preserve"> and protecting a juvenile, created especially for the publicity materials for the mount when unveiled in 1991. This painting was used in gallery signage and in numerous publications (e.g. the cover of </w:t>
      </w:r>
      <w:r>
        <w:rPr>
          <w:i/>
          <w:iCs/>
        </w:rPr>
        <w:t>New York Newsday</w:t>
      </w:r>
      <w:r>
        <w:rPr/>
        <w:t xml:space="preserve"> for 29 November 1991; the cover of the AMNH’s own magazine </w:t>
      </w:r>
      <w:r>
        <w:rPr>
          <w:i/>
          <w:iCs/>
        </w:rPr>
        <w:t>Natural History</w:t>
      </w:r>
      <w:r>
        <w:rPr/>
        <w:t xml:space="preserve"> for December 1991).</w:t>
      </w:r>
    </w:p>
    <w:p>
      <w:pPr>
        <w:pStyle w:val="FigureCaption"/>
        <w:spacing w:before="0" w:after="142"/>
        <w:rPr/>
      </w:pPr>
      <w:r>
        <w:rPr>
          <w:b/>
          <w:bCs/>
        </w:rPr>
        <w:t>Figure G.</w:t>
      </w:r>
      <w:r>
        <w:rPr/>
        <w:t xml:space="preserve"> Public gallery exhibit panel for AMNH 6341, prepared around 1939 to accompany the vertebral sequence, scapulocoracoid and humerus depicted in Figure D. Photographed by Mick Ellison, AMNH. Original caption reads:</w:t>
      </w:r>
    </w:p>
    <w:p>
      <w:pPr>
        <w:pStyle w:val="BlockQuotation"/>
        <w:rPr/>
      </w:pPr>
      <w:r>
        <w:rPr/>
        <w:t xml:space="preserve">Jurassic Period, Morrison Formation. Dinosaur National Monument, Vernal, Utah. </w:t>
      </w:r>
      <w:r>
        <w:rPr>
          <w:u w:val="single"/>
        </w:rPr>
        <w:t>Barosaurus</w:t>
      </w:r>
      <w:r>
        <w:rPr/>
        <w:t xml:space="preserve"> is related to </w:t>
      </w:r>
      <w:r>
        <w:rPr>
          <w:u w:val="single"/>
        </w:rPr>
        <w:t>Diplodocus</w:t>
      </w:r>
      <w:r>
        <w:rPr/>
        <w:t xml:space="preserve"> and is characterized by extremely long cervical vertebrae which are more hollow than in other sauropods. Bones of skeleton, colored brown in restoration, are displayed below and in adjoining case; missing parts outlined. Restoration of skeleton, one-twelfth natural size. Dimensions of skeleton as restored – length 78 ft. height 19–1/2 ft. Acquired by purchase and exchange. Amer. Mus. No. 6341.</w:t>
      </w:r>
    </w:p>
    <w:p>
      <w:pPr>
        <w:pStyle w:val="FigureCaption"/>
        <w:widowControl/>
        <w:suppressAutoHyphens w:val="true"/>
        <w:overflowPunct w:val="false"/>
        <w:bidi w:val="0"/>
        <w:spacing w:lineRule="auto" w:line="276" w:before="0" w:after="142"/>
        <w:ind w:hanging="0" w:left="283" w:right="0"/>
        <w:jc w:val="left"/>
        <w:rPr/>
      </w:pPr>
      <w:r>
        <w:rPr/>
        <w:t xml:space="preserve">The representation of which bones are included in the specimen is a good match for our modern reconstruction (Figure B), but there are some differences in the reconstruction. Most notably, only  14 cervical vertebrae are depicted, with the nine preserved cervicals interpreted as C6–C14. This is surprising as the closely related </w:t>
      </w:r>
      <w:r>
        <w:rPr>
          <w:i/>
          <w:iCs/>
        </w:rPr>
        <w:t>Diplodocus</w:t>
      </w:r>
      <w:r>
        <w:rPr/>
        <w:t xml:space="preserve"> had been known with some confidence since Hatcher’s (1901) monograph to have 15 cervicals. Also surprisingly, the 1939 reconstruction shows only nine dorsal vertebrae, compared with the ten described by Holland (1905:251–252) when omitting the dorsosacral. This was likely done to correctly depict the total number of preserved presacrals as 18. While McIntosh’s catalogue of material indicates that the first 29 caudals are preserved, the 1939 diagram shows 30 caudals, of which the neural spines of Ca1–3 and Ca26–28 are absent and Ca21 is represented only by the anterior portion of its centrum. Finally, the 1939 diagram suggests that of the right dorsal ribs, only those of D7 and D8 are present, which contradicts McIntosh’s (2005:57) assessment that two of the six preserved ribs are the left and right ribs of D1 or D2.</w:t>
      </w:r>
    </w:p>
    <w:p>
      <w:pPr>
        <w:pStyle w:val="FigureCaption"/>
        <w:bidi w:val="0"/>
        <w:spacing w:before="0" w:after="142"/>
        <w:jc w:val="left"/>
        <w:rPr/>
      </w:pPr>
      <w:r>
        <w:rPr>
          <w:b/>
          <w:bCs/>
        </w:rPr>
        <w:t>Figure H.</w:t>
      </w:r>
      <w:r>
        <w:rPr/>
        <w:t xml:space="preserve"> Prototype model of the proposed display. This model is three feet (91 cm) tall from the bottom of the base to the top of the rearing </w:t>
      </w:r>
      <w:r>
        <w:rPr>
          <w:i/>
          <w:iCs/>
        </w:rPr>
        <w:t>Barosaurus</w:t>
      </w:r>
      <w:r>
        <w:rPr/>
        <w:t>, and the base is 44 inches (112 cm) long. Despite some notable differences — for example, the model has a much more strongly S-curved neck than the full-size mount, and its forefeet lack digits — the model seems to have been followed fairly closely in composing the final mount, and remains a beautiful object in its own right. Photograph by Mick Ellison (AMNH).</w:t>
      </w:r>
    </w:p>
    <w:p>
      <w:pPr>
        <w:pStyle w:val="FigureCaption"/>
        <w:bidi w:val="0"/>
        <w:spacing w:before="0" w:after="142"/>
        <w:jc w:val="left"/>
        <w:rPr/>
      </w:pPr>
      <w:r>
        <w:rPr>
          <w:b/>
          <w:bCs/>
        </w:rPr>
        <w:t>Figure I.</w:t>
      </w:r>
      <w:r>
        <w:rPr/>
        <w:t xml:space="preserve"> The signage for the exhibit as it currently appears in the Roosevelt Memorial Hall. The headings read “Picturing the Past”, “</w:t>
      </w:r>
      <w:r>
        <w:rPr>
          <w:i/>
          <w:iCs/>
        </w:rPr>
        <w:t>Barosaurus</w:t>
      </w:r>
      <w:r>
        <w:rPr/>
        <w:t xml:space="preserve"> Defends Her Young”, “Did This Really Happen?”, “How Were These Dinosaur Skeletons Assembled?” and “Collecting the Evidence”. See text for full transcription of the “Did This Really Happen?” section.</w:t>
      </w:r>
    </w:p>
    <w:p>
      <w:pPr>
        <w:pStyle w:val="FigureCaption"/>
        <w:bidi w:val="0"/>
        <w:spacing w:before="0" w:after="142"/>
        <w:jc w:val="left"/>
        <w:rPr/>
      </w:pPr>
      <w:r>
        <w:rPr>
          <w:b/>
          <w:bCs/>
        </w:rPr>
        <w:t>Figure J.</w:t>
      </w:r>
      <w:r>
        <w:rPr/>
        <w:t xml:space="preserve"> Lego model of the rearing AMNH </w:t>
      </w:r>
      <w:r>
        <w:rPr>
          <w:i/>
          <w:iCs/>
        </w:rPr>
        <w:t>Barosaurus</w:t>
      </w:r>
      <w:r>
        <w:rPr/>
        <w:t>, created by Ambrosino (a pseudonym). Reproduced with permission. This model is built from the pieces of Lego’s official Dinosaur Fossils kit (number 21320) and its instructions are freely available (Ambrosino 2023). These instructions have been used as the basis for a commercially available, but unauthorized, kit.</w:t>
      </w:r>
    </w:p>
    <w:p>
      <w:pPr>
        <w:pStyle w:val="FigureCaption"/>
        <w:bidi w:val="0"/>
        <w:spacing w:before="0" w:after="142"/>
        <w:jc w:val="left"/>
        <w:rPr/>
      </w:pPr>
      <w:r>
        <w:rPr>
          <w:b/>
          <w:bCs/>
        </w:rPr>
        <w:t>Figure K.</w:t>
      </w:r>
      <w:r>
        <w:rPr/>
        <w:t xml:space="preserve"> Two views of the trial mount executed in the parking lot behind the RCI workshop in Spring 1991. </w:t>
      </w:r>
      <w:r>
        <w:rPr>
          <w:b/>
          <w:bCs/>
        </w:rPr>
        <w:t>A.</w:t>
      </w:r>
      <w:r>
        <w:rPr/>
        <w:t xml:space="preserve"> Right posterolateral view, with an RCI employee adjusting the anterior part of the neck. Note that two vertebrae — one very posterior, the other in the middle of the neck — are absent at this point. </w:t>
      </w:r>
      <w:r>
        <w:rPr>
          <w:b/>
          <w:bCs/>
        </w:rPr>
        <w:t>B.</w:t>
      </w:r>
      <w:r>
        <w:rPr/>
        <w:t xml:space="preserve"> left anterolateral view, with three RCI employees working on the anterior part of the neck: one in a cherry-picker, the other two on a scissor lift. That that the two missing cervical vertebra have been added, and that the posterior one is a different colour from the others. The ribs are a noticeably lighter colour than the rest of the skeleton, presumably because they had not been painted at this point.</w:t>
      </w:r>
    </w:p>
    <w:p>
      <w:pPr>
        <w:pStyle w:val="FigureCaption"/>
        <w:bidi w:val="0"/>
        <w:spacing w:before="0" w:after="142"/>
        <w:jc w:val="left"/>
        <w:rPr/>
      </w:pPr>
      <w:r>
        <w:rPr>
          <w:b/>
          <w:bCs/>
        </w:rPr>
        <w:t>Figure L.</w:t>
      </w:r>
      <w:r>
        <w:rPr/>
        <w:t xml:space="preserve"> Two views of the final mounting in the Roosevelt Memorial Hall of the American Museum of Natural History., both showing the use of two frighteningly unstable-looking cherry-picker crane. The RCI employee in the higher crane are moving the head-and-neck assembly into place, while the two in the lower crane attempt to fit it to the anterior torso.</w:t>
      </w:r>
    </w:p>
    <w:p>
      <w:pPr>
        <w:pStyle w:val="FigureCaption"/>
        <w:bidi w:val="0"/>
        <w:spacing w:before="0" w:after="142"/>
        <w:jc w:val="left"/>
        <w:rPr/>
      </w:pPr>
      <w:r>
        <w:rPr>
          <w:b/>
          <w:bCs/>
        </w:rPr>
        <w:t>Figure M.</w:t>
      </w:r>
      <w:r>
        <w:rPr/>
        <w:t xml:space="preserve"> The mold creation process at RCI. Lazlo Eger paints separator on the mold wall surrounding a posterior cervical vertebra of </w:t>
      </w:r>
      <w:r>
        <w:rPr>
          <w:i/>
          <w:iCs/>
        </w:rPr>
        <w:t>Barosaurus lentus</w:t>
      </w:r>
      <w:r>
        <w:rPr/>
        <w:t xml:space="preserve"> AMNH 6341, here seen upside-down in right ventrolateral view. The separator on the mold wall allows the rubber latex for the next mold section to be applied without adhering to the first mold section, so that the mold sections will separate easily.</w:t>
      </w:r>
    </w:p>
    <w:p>
      <w:pPr>
        <w:pStyle w:val="FigureCaption"/>
        <w:bidi w:val="0"/>
        <w:spacing w:before="0" w:after="142"/>
        <w:jc w:val="left"/>
        <w:rPr/>
      </w:pPr>
      <w:r>
        <w:rPr>
          <w:b/>
          <w:bCs/>
        </w:rPr>
        <w:t>Figure N.</w:t>
      </w:r>
      <w:r>
        <w:rPr/>
        <w:t xml:space="preserve"> Part way through the trial mounting process in the parking lot behind the RCI workshop in Spring 1991. In the lift platform, Peter May set</w:t>
      </w:r>
      <w:r>
        <w:rPr/>
        <w:t xml:space="preserve">s </w:t>
      </w:r>
      <w:r>
        <w:rPr/>
        <w:t xml:space="preserve">the humerus in place while Jack McIntosh advises on its articulation; and Rick Eyre </w:t>
      </w:r>
      <w:r>
        <w:rPr/>
        <w:t>(back to the camera) looks on. A</w:t>
      </w:r>
      <w:r>
        <w:rPr/>
        <w:t>t ground level, Gene Gaffney, Lowell Dingus and Mark Norell observe.</w:t>
      </w:r>
    </w:p>
    <w:p>
      <w:pPr>
        <w:pStyle w:val="FigureCaption"/>
        <w:bidi w:val="0"/>
        <w:spacing w:before="0" w:after="142"/>
        <w:jc w:val="left"/>
        <w:rPr/>
      </w:pPr>
      <w:r>
        <w:rPr>
          <w:b/>
          <w:bCs/>
        </w:rPr>
        <w:t>Figure O.</w:t>
      </w:r>
      <w:r>
        <w:rPr/>
        <w:t xml:space="preserve"> Elements of the cast </w:t>
      </w:r>
      <w:r>
        <w:rPr>
          <w:i/>
          <w:iCs/>
        </w:rPr>
        <w:t>Barosaurus</w:t>
      </w:r>
      <w:r>
        <w:rPr/>
        <w:t xml:space="preserve"> skeleton on the floor of the Roosevelt Memorial Hall of the American Museum of Natural History before mounting. Centrally, the skull and cervical vertebrae 2–16, all articulated in a single piece. By the wall to the left are two further vertebrae — probably anterior dorsals, although the presence of what looks like a cervical rib loop in the vertebra closest to the camera suggests possibly a spare copy of a posterior cervical. Between these and the neck is the distal (whiplash) portion of a tail: possibly that of the main </w:t>
      </w:r>
      <w:r>
        <w:rPr>
          <w:i/>
          <w:iCs/>
        </w:rPr>
        <w:t>Barosaurus</w:t>
      </w:r>
      <w:r>
        <w:rPr/>
        <w:t xml:space="preserve">, but more likely that of the juvenile based on the small size of the most proximal caudals. Between this and the neck is section that is probably the proximal part of the </w:t>
      </w:r>
      <w:r>
        <w:rPr>
          <w:i/>
          <w:iCs/>
        </w:rPr>
        <w:t>Allosaurus</w:t>
      </w:r>
      <w:r>
        <w:rPr/>
        <w:t xml:space="preserve"> tail. Finally, intruding on the image from the right is the distal part (whiplash) portion of the other </w:t>
      </w:r>
      <w:r>
        <w:rPr>
          <w:i/>
          <w:iCs/>
        </w:rPr>
        <w:t>Barosaurus</w:t>
      </w:r>
      <w:r>
        <w:rPr/>
        <w:t xml:space="preserve"> tail, probably that of the adult.</w:t>
      </w:r>
    </w:p>
    <w:p>
      <w:pPr>
        <w:pStyle w:val="FigureCaption"/>
        <w:bidi w:val="0"/>
        <w:spacing w:before="0" w:after="142"/>
        <w:jc w:val="left"/>
        <w:rPr/>
      </w:pPr>
      <w:r>
        <w:rPr/>
        <w:t>XXX Use Peter’s VHS video when we get it!</w:t>
      </w:r>
    </w:p>
    <w:p>
      <w:pPr>
        <w:pStyle w:val="FigureCaption"/>
        <w:bidi w:val="0"/>
        <w:spacing w:before="0" w:after="142"/>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spacing w:before="142" w:after="142"/>
      <w:ind w:hanging="0" w:left="0" w:right="0"/>
      <w:outlineLvl w:val="2"/>
    </w:pPr>
    <w:rPr>
      <w:b w:val="false"/>
      <w:bCs/>
      <w:sz w:val="22"/>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Hyperlink">
    <w:name w:val="Hyper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neNumber">
    <w:name w:val="line number"/>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38"/>
      <w:szCs w:val="56"/>
    </w:rPr>
  </w:style>
  <w:style w:type="paragraph" w:styleId="Author">
    <w:name w:val="Author"/>
    <w:basedOn w:val="BodyText"/>
    <w:qFormat/>
    <w:pPr>
      <w:tabs>
        <w:tab w:val="clear" w:pos="720"/>
      </w:tabs>
      <w:spacing w:before="0" w:after="142"/>
      <w:ind w:hanging="283" w:left="283" w:right="0"/>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s://rebrickable.com/mocs/MOC-154998/Ambrosino/21320-barosaurus-skeleton/" TargetMode="External"/><Relationship Id="rId7" Type="http://schemas.openxmlformats.org/officeDocument/2006/relationships/hyperlink" Target="https://babel.hathitrust.org/cgi/pt?id=coo.31924080776994" TargetMode="External"/><Relationship Id="rId8" Type="http://schemas.openxmlformats.org/officeDocument/2006/relationships/hyperlink" Target="http://hdl.handle.net/2246/6497" TargetMode="External"/><Relationship Id="rId9" Type="http://schemas.openxmlformats.org/officeDocument/2006/relationships/hyperlink" Target="https://dinotoyblog.com/" TargetMode="External"/><Relationship Id="rId10" Type="http://schemas.openxmlformats.org/officeDocument/2006/relationships/hyperlink" Target="https://github.com/miketaylor/palaeo-superbaro" TargetMode="External"/><Relationship Id="rId11" Type="http://schemas.openxmlformats.org/officeDocument/2006/relationships/hyperlink" Target="https://zenodo.org/records/13732378" TargetMode="External"/><Relationship Id="rId12" Type="http://schemas.openxmlformats.org/officeDocument/2006/relationships/hyperlink" Target="https://doi.org/10.7717/peerj.857"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23063</TotalTime>
  <Application>LibreOffice/24.8.2.1$MacOSX_X86_64 LibreOffice_project/0f794b6e29741098670a3b95d60478a65d05ef13</Application>
  <AppVersion>15.0000</AppVersion>
  <Pages>24</Pages>
  <Words>12682</Words>
  <Characters>67062</Characters>
  <CharactersWithSpaces>79432</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2024-11-12T14:02:50Z</dcterms:modified>
  <cp:revision>462</cp:revision>
  <dc:subject/>
  <dc:title/>
</cp:coreProperties>
</file>

<file path=docProps/custom.xml><?xml version="1.0" encoding="utf-8"?>
<Properties xmlns="http://schemas.openxmlformats.org/officeDocument/2006/custom-properties" xmlns:vt="http://schemas.openxmlformats.org/officeDocument/2006/docPropsVTypes"/>
</file>