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Internet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w:t>
      </w:r>
      <w:r>
        <w:rPr>
          <w:i w:val="false"/>
          <w:iCs w:val="false"/>
        </w:rPr>
        <w:t>onnecticut</w:t>
      </w:r>
      <w:r>
        <w:rPr>
          <w:i w:val="false"/>
          <w:iCs w:val="false"/>
        </w:rPr>
        <w:t>, USA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XXX to follow. </w:t>
      </w:r>
      <w:r>
        <w:rPr>
          <w:i w:val="false"/>
          <w:iCs w:val="false"/>
        </w:rPr>
        <w:t>M</w:t>
      </w:r>
      <w:r>
        <w:rPr>
          <w:i w:val="false"/>
          <w:iCs w:val="false"/>
        </w:rPr>
        <w:t>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2</w:t>
            </w:r>
          </w:hyperlink>
        </w:p>
        <w:p>
          <w:pPr>
            <w:pStyle w:val="Contents2"/>
            <w:tabs>
              <w:tab w:val="clear" w:pos="9355"/>
              <w:tab w:val="right" w:pos="9638" w:leader="dot"/>
            </w:tabs>
            <w:rPr/>
          </w:pPr>
          <w:hyperlink w:anchor="__RefHeading___Toc3323_2187837281">
            <w:r>
              <w:rPr>
                <w:rStyle w:val="IndexLink"/>
              </w:rPr>
              <w:t>Anatomical 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7</w:t>
            </w:r>
          </w:hyperlink>
        </w:p>
        <w:p>
          <w:pPr>
            <w:pStyle w:val="Contents2"/>
            <w:tabs>
              <w:tab w:val="clear" w:pos="9355"/>
              <w:tab w:val="right" w:pos="9638" w:leader="dot"/>
            </w:tabs>
            <w:rPr/>
          </w:pPr>
          <w:hyperlink w:anchor="__RefHeading___Toc5632_2187837281">
            <w:r>
              <w:rPr>
                <w:rStyle w:val="IndexLink"/>
              </w:rPr>
              <w:t>Photography of the mount</w:t>
              <w:tab/>
              <w:t>9</w:t>
            </w:r>
          </w:hyperlink>
        </w:p>
        <w:p>
          <w:pPr>
            <w:pStyle w:val="Contents2"/>
            <w:tabs>
              <w:tab w:val="clear" w:pos="9355"/>
              <w:tab w:val="right" w:pos="9638" w:leader="dot"/>
            </w:tabs>
            <w:rPr/>
          </w:pPr>
          <w:hyperlink w:anchor="__RefHeading___Toc5356_68767826">
            <w:r>
              <w:rPr>
                <w:rStyle w:val="IndexLink"/>
              </w:rPr>
              <w:t>The composition of the mount</w:t>
              <w:tab/>
              <w:t>9</w:t>
            </w:r>
          </w:hyperlink>
        </w:p>
        <w:p>
          <w:pPr>
            <w:pStyle w:val="Contents3"/>
            <w:tabs>
              <w:tab w:val="clear" w:pos="9072"/>
              <w:tab w:val="right" w:pos="9638" w:leader="dot"/>
            </w:tabs>
            <w:rPr/>
          </w:pPr>
          <w:hyperlink w:anchor="__RefHeading___Toc16585_68767826">
            <w:r>
              <w:rPr>
                <w:rStyle w:val="IndexLink"/>
              </w:rPr>
              <w:t>Overview</w:t>
              <w:tab/>
              <w:t>9</w:t>
            </w:r>
          </w:hyperlink>
        </w:p>
        <w:p>
          <w:pPr>
            <w:pStyle w:val="Contents3"/>
            <w:tabs>
              <w:tab w:val="clear" w:pos="9072"/>
              <w:tab w:val="right" w:pos="9638" w:leader="dot"/>
            </w:tabs>
            <w:rPr/>
          </w:pPr>
          <w:hyperlink w:anchor="__RefHeading___Toc16587_68767826">
            <w:r>
              <w:rPr>
                <w:rStyle w:val="IndexLink"/>
              </w:rPr>
              <w:t>Skull</w:t>
              <w:tab/>
              <w:t>11</w:t>
            </w:r>
          </w:hyperlink>
        </w:p>
        <w:p>
          <w:pPr>
            <w:pStyle w:val="Contents3"/>
            <w:tabs>
              <w:tab w:val="clear" w:pos="9072"/>
              <w:tab w:val="right" w:pos="9638" w:leader="dot"/>
            </w:tabs>
            <w:rPr/>
          </w:pPr>
          <w:hyperlink w:anchor="__RefHeading___Toc16589_68767826">
            <w:r>
              <w:rPr>
                <w:rStyle w:val="IndexLink"/>
              </w:rPr>
              <w:t>Neck</w:t>
              <w:tab/>
              <w:t>11</w:t>
            </w:r>
          </w:hyperlink>
        </w:p>
        <w:p>
          <w:pPr>
            <w:pStyle w:val="Contents3"/>
            <w:tabs>
              <w:tab w:val="clear" w:pos="9072"/>
              <w:tab w:val="right" w:pos="9638" w:leader="dot"/>
            </w:tabs>
            <w:rPr/>
          </w:pPr>
          <w:hyperlink w:anchor="__RefHeading___Toc2466_2187837281">
            <w:r>
              <w:rPr>
                <w:rStyle w:val="IndexLink"/>
              </w:rPr>
              <w:t>Torso and sacrum</w:t>
              <w:tab/>
              <w:t>12</w:t>
            </w:r>
          </w:hyperlink>
        </w:p>
        <w:p>
          <w:pPr>
            <w:pStyle w:val="Contents3"/>
            <w:tabs>
              <w:tab w:val="clear" w:pos="9072"/>
              <w:tab w:val="right" w:pos="9638" w:leader="dot"/>
            </w:tabs>
            <w:rPr/>
          </w:pPr>
          <w:hyperlink w:anchor="__RefHeading___Toc2468_2187837281">
            <w:r>
              <w:rPr>
                <w:rStyle w:val="IndexLink"/>
              </w:rPr>
              <w:t>Tail</w:t>
              <w:tab/>
              <w:t>12</w:t>
            </w:r>
          </w:hyperlink>
        </w:p>
        <w:p>
          <w:pPr>
            <w:pStyle w:val="Contents3"/>
            <w:tabs>
              <w:tab w:val="clear" w:pos="9072"/>
              <w:tab w:val="right" w:pos="9638" w:leader="dot"/>
            </w:tabs>
            <w:rPr/>
          </w:pPr>
          <w:hyperlink w:anchor="__RefHeading___Toc2470_2187837281">
            <w:r>
              <w:rPr>
                <w:rStyle w:val="IndexLink"/>
              </w:rPr>
              <w:t>Forelimbs and girdles</w:t>
              <w:tab/>
              <w:t>12</w:t>
            </w:r>
          </w:hyperlink>
        </w:p>
        <w:p>
          <w:pPr>
            <w:pStyle w:val="Contents3"/>
            <w:tabs>
              <w:tab w:val="clear" w:pos="9072"/>
              <w:tab w:val="right" w:pos="9638" w:leader="dot"/>
            </w:tabs>
            <w:rPr/>
          </w:pPr>
          <w:hyperlink w:anchor="__RefHeading___Toc2472_2187837281">
            <w:r>
              <w:rPr>
                <w:rStyle w:val="IndexLink"/>
              </w:rPr>
              <w:t>Hindlimbs and girdles</w:t>
              <w:tab/>
              <w:t>12</w:t>
            </w:r>
          </w:hyperlink>
        </w:p>
        <w:p>
          <w:pPr>
            <w:pStyle w:val="Contents1"/>
            <w:rPr/>
          </w:pPr>
          <w:hyperlink w:anchor="__RefHeading___Toc3401_68767826">
            <w:r>
              <w:rPr>
                <w:rStyle w:val="IndexLink"/>
              </w:rPr>
              <w:t>Discussion</w:t>
              <w:tab/>
              <w:t>12</w:t>
            </w:r>
          </w:hyperlink>
        </w:p>
        <w:p>
          <w:pPr>
            <w:pStyle w:val="Contents2"/>
            <w:tabs>
              <w:tab w:val="clear" w:pos="9355"/>
              <w:tab w:val="right" w:pos="9638" w:leader="dot"/>
            </w:tabs>
            <w:rPr/>
          </w:pPr>
          <w:hyperlink w:anchor="__RefHeading___Toc2476_2187837281">
            <w:r>
              <w:rPr>
                <w:rStyle w:val="IndexLink"/>
              </w:rPr>
              <w:t>Rearing pose</w:t>
              <w:tab/>
              <w:t>12</w:t>
            </w:r>
          </w:hyperlink>
        </w:p>
        <w:p>
          <w:pPr>
            <w:pStyle w:val="Contents2"/>
            <w:tabs>
              <w:tab w:val="clear" w:pos="9355"/>
              <w:tab w:val="right" w:pos="9638" w:leader="dot"/>
            </w:tabs>
            <w:rPr/>
          </w:pPr>
          <w:hyperlink w:anchor="__RefHeading___Toc21934_68767826">
            <w:r>
              <w:rPr>
                <w:rStyle w:val="IndexLink"/>
              </w:rPr>
              <w:t>Size of the AMNH 6341 animal</w:t>
              <w:tab/>
              <w:t>14</w:t>
            </w:r>
          </w:hyperlink>
        </w:p>
        <w:p>
          <w:pPr>
            <w:pStyle w:val="Contents1"/>
            <w:rPr/>
          </w:pPr>
          <w:hyperlink w:anchor="__RefHeading___Toc3403_68767826">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17</w:t>
            </w:r>
          </w:hyperlink>
        </w:p>
      </w:sdtContent>
    </w:sdt>
    <w:p>
      <w:pPr>
        <w:pStyle w:val="TextBody"/>
        <w:rPr>
          <w:i/>
          <w:i/>
          <w:iCs/>
        </w:rPr>
      </w:pPr>
      <w:r>
        <w:rPr>
          <w:i/>
          <w:iCs/>
        </w:rPr>
      </w:r>
      <w:r>
        <w:rPr>
          <w:i/>
          <w:iCs/>
        </w:rPr>
        <w:fldChar w:fldCharType="end"/>
      </w:r>
    </w:p>
    <w:p>
      <w:pPr>
        <w:pStyle w:val="Heading1"/>
        <w:numPr>
          <w:ilvl w:val="0"/>
          <w:numId w:val="1"/>
        </w:numPr>
        <w:ind w:left="0" w:right="0" w:hanging="0"/>
        <w:rPr/>
      </w:pPr>
      <w:bookmarkStart w:id="1" w:name="__RefHeading___Toc1018_1496310381"/>
      <w:bookmarkEnd w:id="1"/>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discuss the controversy generated by the mount.</w:t>
      </w:r>
    </w:p>
    <w:p>
      <w:pPr>
        <w:pStyle w:val="Heading2"/>
        <w:rPr/>
      </w:pPr>
      <w:bookmarkStart w:id="2" w:name="__RefHeading___Toc3323_2187837281"/>
      <w:bookmarkEnd w:id="2"/>
      <w:r>
        <w:rPr/>
        <w:t>Anatomical nomenclature</w:t>
      </w:r>
    </w:p>
    <w:p>
      <w:pPr>
        <w:pStyle w:val="TextBody"/>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Heading2"/>
        <w:rPr/>
      </w:pPr>
      <w:bookmarkStart w:id="3" w:name="__RefHeading___Toc5349_68767826"/>
      <w:bookmarkEnd w:id="3"/>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MfN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w:t>
      </w:r>
      <w:r>
        <w:rPr/>
        <w:t>8</w:t>
      </w:r>
      <w:r>
        <w:rPr/>
        <w:t xml:space="preserve">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t>
      </w:r>
      <w:r>
        <w:rPr/>
        <w:t xml:space="preserve">words </w:t>
      </w:r>
      <w:r>
        <w:rPr/>
        <w:t xml:space="preserve">in length, is largely uninformative. </w:t>
      </w:r>
      <w:r>
        <w:rPr/>
        <w:t>Subsequently</w:t>
      </w:r>
      <w:r>
        <w:rPr/>
        <w:t xml:space="preserve">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where partially excavated from the easternmost part of the quarry (McIntosh 2005:42). One of these, designated #355 In the field, was a </w:t>
      </w:r>
      <w:r>
        <w:rPr>
          <w:i/>
          <w:iCs/>
        </w:rPr>
        <w:t>Diplodocus</w:t>
      </w:r>
      <w:r>
        <w:rPr/>
        <w:t xml:space="preserve"> that was collected by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TextBody"/>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display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3"/>
        </w:numPr>
        <w:ind w:left="0" w:right="0" w:hanging="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TextBody"/>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w:t>
      </w:r>
      <w:r>
        <w:rPr/>
        <w:t>AMNH</w:t>
      </w:r>
      <w:r>
        <w:rPr/>
        <w:t xml:space="preserve"> seemed at a loss to know what to do with it. It lay dormant for a decade until the presacral vertebrae </w:t>
      </w:r>
      <w:r>
        <w:rPr/>
        <w:t xml:space="preserve">and some limb bones </w:t>
      </w:r>
      <w:r>
        <w:rPr/>
        <w:t xml:space="preserve">were exhibited in glass cabinets alongside the mounted </w:t>
      </w:r>
      <w:r>
        <w:rPr>
          <w:i/>
          <w:iCs/>
          <w:u w:val="none"/>
        </w:rPr>
        <w:t>Apatosaurus</w:t>
      </w:r>
      <w:r>
        <w:rPr/>
        <w:t xml:space="preserve"> in the Hall of Early Dinosaurs on 17 April 1939 (Figures D.A, G). </w:t>
      </w:r>
      <w:r>
        <w:rPr/>
        <w:t xml:space="preserve">Plans were made at that time to mount the skeleton in place of </w:t>
      </w:r>
      <w:r>
        <w:rPr>
          <w:i/>
          <w:iCs/>
        </w:rPr>
        <w:t>Apatosaurus</w:t>
      </w:r>
      <w:r>
        <w:rPr/>
        <w:t xml:space="preserve"> (Anonymous 1939), but these came to nothing. </w:t>
      </w:r>
      <w:r>
        <w:rPr/>
        <w:t xml:space="preserve">The </w:t>
      </w:r>
      <w:r>
        <w:rPr>
          <w:i/>
          <w:iCs/>
        </w:rPr>
        <w:t>Barosaurus</w:t>
      </w:r>
      <w:r>
        <w:rPr/>
        <w:t xml:space="preserve"> elements</w:t>
      </w:r>
      <w:r>
        <w:rPr/>
        <w:t xml:space="preserve"> remained here until the renovation supervised by Edwin H. Colbert in the early 1950s. At this point, tentative plans were made </w:t>
      </w:r>
      <w:r>
        <w:rPr/>
        <w:t xml:space="preserve">once more </w:t>
      </w:r>
      <w:r>
        <w:rPr/>
        <w:t xml:space="preserve">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TextBody"/>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w:t>
      </w:r>
      <w:r>
        <w:rPr/>
        <w:t>it</w:t>
      </w:r>
      <w:r>
        <w:rPr/>
        <w:t xml:space="preserve">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w:t>
      </w:r>
      <w:r>
        <w:rPr/>
        <w:t xml:space="preserve">Memorial </w:t>
      </w:r>
      <w:r>
        <w:rPr/>
        <w:t xml:space="preserve">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w:t>
      </w:r>
      <w:r>
        <w:rPr/>
        <w:t xml:space="preserve">Memorial </w:t>
      </w:r>
      <w:r>
        <w:rPr/>
        <w:t xml:space="preserve">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through work done in his spare time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t>
      </w:r>
      <w:r>
        <w:rPr/>
        <w:t>was to</w:t>
      </w:r>
      <w:r>
        <w:rPr/>
        <w:t xml:space="preserve">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r>
        <w:rPr>
          <w:i w:val="false"/>
          <w:iCs w:val="false"/>
        </w:rPr>
        <w:t>The purpose of the mount</w:t>
      </w:r>
    </w:p>
    <w:p>
      <w:pPr>
        <w:pStyle w:val="TextBody"/>
        <w:rPr/>
      </w:pPr>
      <w:r>
        <w:rPr>
          <w:i w:val="false"/>
          <w:iCs w:val="false"/>
        </w:rPr>
        <w:t>While serving as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"Did this really happen?":</w:t>
      </w:r>
    </w:p>
    <w:p>
      <w:pPr>
        <w:pStyle w:val="Quotations"/>
        <w:rPr/>
      </w:pPr>
      <w:r>
        <w:rPr>
          <w:i w:val="false"/>
          <w:iCs w:val="false"/>
        </w:rPr>
        <w:t xml:space="preserve">No one knows for sure. Our only evidence for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9" w:name="__RefHeading___Toc18297_68767826"/>
      <w:bookmarkEnd w:id="9"/>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w:t>
      </w:r>
      <w:r>
        <w:rPr/>
        <w:t>a</w:t>
      </w:r>
      <w:r>
        <w:rPr/>
        <w:t xml:space="preserv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w:t>
      </w:r>
      <w:r>
        <w:rPr>
          <w:highlight w:val="yellow"/>
        </w:rPr>
        <w:t>XXX Peter, do you remember what other bones were mirrored?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w:t>
      </w:r>
      <w:r>
        <w:rPr/>
        <w:t>and</w:t>
      </w:r>
      <w:r>
        <w:rPr/>
        <w:t xml:space="preserve"> Jack McIntosh, who had been brought in as a consultant to ensure that the bones were articulated correctly in the mount. Also present were photographers including National Geographic’s Louie </w:t>
      </w:r>
      <w:bookmarkStart w:id="10" w:name="__DdeLink__20117_68767826"/>
      <w:r>
        <w:rPr/>
        <w:t>Psihoyos</w:t>
      </w:r>
      <w:bookmarkEnd w:id="10"/>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w:t>
      </w:r>
      <w:r>
        <w:rPr/>
        <w:t xml:space="preserve">Formation (then the </w:t>
      </w:r>
      <w:r>
        <w:rPr/>
        <w:t>Tullock Formation</w:t>
      </w:r>
      <w:r>
        <w:rPr/>
        <w:t>)</w:t>
      </w:r>
      <w:r>
        <w:rPr/>
        <w:t xml:space="preserve">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it was difficult to raise it to sufficient height to slide into its slot.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and Lindsay (1992:18–20). It was soon corrected, however, in a near-disastrous but ultimately successful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w:t>
      </w:r>
      <w:r>
        <w:rPr/>
        <w:t>unveiled to select guests on Tuesday 3 December 1991 (Anonymous 1991) and opened to the public</w:t>
      </w:r>
      <w:r>
        <w:rPr/>
        <w:t xml:space="preserve"> on Wednesday 4 December 1991 </w:t>
      </w:r>
      <w:r>
        <w:rPr/>
        <w:t xml:space="preserve">(Gordy 1991, Collins 1991). It </w:t>
      </w:r>
      <w:r>
        <w:rPr/>
        <w:t xml:space="preserve">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TextBody"/>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TextBody"/>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Quotations"/>
        <w:rPr/>
      </w:pPr>
      <w:r>
        <w:rPr/>
        <w:t>The main hall at the AMNH is huge, unevenly and dimly lit, so to get clear bright shots I placed several 2400 and 5000 watt second Comet strobe packs and bare-bulb heads around the hall, synchronizing 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7"/>
        </w:numPr>
        <w:ind w:left="0" w:right="0" w:hanging="0"/>
        <w:rPr/>
      </w:pPr>
      <w:bookmarkStart w:id="13" w:name="__RefHeading___Toc16585_68767826"/>
      <w:bookmarkEnd w:id="13"/>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the history of that that copy is known, and so therefore so is the composition of the Carnegie original as it was at that time. The details follow.</w:t>
      </w:r>
    </w:p>
    <w:p>
      <w:pPr>
        <w:pStyle w:val="TextBody"/>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TextBody"/>
        <w:numPr>
          <w:ilvl w:val="0"/>
          <w:numId w:val="10"/>
        </w:numPr>
        <w:ind w:left="720" w:right="0" w:hanging="360"/>
        <w:rPr/>
      </w:pPr>
      <w:r>
        <w:rPr/>
        <w:t>the posterior part of the neck (cervicals 8–16)</w:t>
      </w:r>
    </w:p>
    <w:p>
      <w:pPr>
        <w:pStyle w:val="TextBody"/>
        <w:numPr>
          <w:ilvl w:val="0"/>
          <w:numId w:val="10"/>
        </w:numPr>
        <w:ind w:left="720" w:right="0" w:hanging="360"/>
        <w:rPr/>
      </w:pPr>
      <w:r>
        <w:rPr/>
        <w:t>all nine dorsal vertebrae (dorsals 1–9)</w:t>
      </w:r>
    </w:p>
    <w:p>
      <w:pPr>
        <w:pStyle w:val="TextBody"/>
        <w:numPr>
          <w:ilvl w:val="0"/>
          <w:numId w:val="10"/>
        </w:numPr>
        <w:ind w:left="720" w:right="0" w:hanging="360"/>
        <w:rPr/>
      </w:pPr>
      <w:r>
        <w:rPr/>
        <w:t>the complete sacrum (sacral vertebrae 1–5)</w:t>
      </w:r>
    </w:p>
    <w:p>
      <w:pPr>
        <w:pStyle w:val="TextBody"/>
        <w:numPr>
          <w:ilvl w:val="0"/>
          <w:numId w:val="10"/>
        </w:numPr>
        <w:ind w:left="720" w:right="0" w:hanging="360"/>
        <w:rPr/>
      </w:pPr>
      <w:r>
        <w:rPr/>
        <w:t>the anterior part of the tail (caudals 1–29)</w:t>
      </w:r>
    </w:p>
    <w:p>
      <w:pPr>
        <w:pStyle w:val="TextBody"/>
        <w:numPr>
          <w:ilvl w:val="0"/>
          <w:numId w:val="10"/>
        </w:numPr>
        <w:ind w:left="720" w:right="0" w:hanging="360"/>
        <w:rPr/>
      </w:pPr>
      <w:bookmarkStart w:id="14" w:name="__DdeLink__31298_802501007"/>
      <w:r>
        <w:rPr/>
        <w:t>six partial ribs, of which one is the first or possibly second on the left side, and another is probably its counterpart</w:t>
      </w:r>
      <w:bookmarkEnd w:id="14"/>
    </w:p>
    <w:p>
      <w:pPr>
        <w:pStyle w:val="TextBody"/>
        <w:numPr>
          <w:ilvl w:val="0"/>
          <w:numId w:val="10"/>
        </w:numPr>
        <w:ind w:left="720" w:right="0" w:hanging="360"/>
        <w:rPr/>
      </w:pPr>
      <w:r>
        <w:rPr/>
        <w:t>a single chevron, from further back than Ca13 and likely in the region Ca22–Ca28.</w:t>
      </w:r>
    </w:p>
    <w:p>
      <w:pPr>
        <w:pStyle w:val="TextBody"/>
        <w:numPr>
          <w:ilvl w:val="0"/>
          <w:numId w:val="10"/>
        </w:numPr>
        <w:ind w:left="720" w:right="0" w:hanging="360"/>
        <w:rPr/>
      </w:pPr>
      <w:r>
        <w:rPr/>
        <w:t>right (not left as in McIntosh 2005:43) scapulocoracoid, fully fused together; distal end of left scapula; left coracoid</w:t>
      </w:r>
    </w:p>
    <w:p>
      <w:pPr>
        <w:pStyle w:val="TextBody"/>
        <w:numPr>
          <w:ilvl w:val="0"/>
          <w:numId w:val="10"/>
        </w:numPr>
        <w:ind w:left="720" w:right="0" w:hanging="360"/>
        <w:rPr/>
      </w:pPr>
      <w:r>
        <w:rPr/>
        <w:t>right (not left as in McIntosh 2005:43) humerus</w:t>
      </w:r>
    </w:p>
    <w:p>
      <w:pPr>
        <w:pStyle w:val="TextBody"/>
        <w:numPr>
          <w:ilvl w:val="0"/>
          <w:numId w:val="10"/>
        </w:numPr>
        <w:ind w:left="720" w:right="0" w:hanging="360"/>
        <w:rPr/>
      </w:pPr>
      <w:r>
        <w:rPr/>
        <w:t>largely complete pelvis: right ilium complete except small part of the upper border; acetabular portion and “distal ends” of left ilium; both pubes and ischia complete except parts of the proximal ends of both pubes and the right ischium</w:t>
      </w:r>
    </w:p>
    <w:p>
      <w:pPr>
        <w:pStyle w:val="TextBody"/>
        <w:numPr>
          <w:ilvl w:val="0"/>
          <w:numId w:val="10"/>
        </w:numPr>
        <w:ind w:left="720" w:right="0" w:hanging="360"/>
        <w:rPr/>
      </w:pPr>
      <w:r>
        <w:rPr/>
        <w:t>complete right hindlimb (femur, tibia, fibula, astragalus)</w:t>
      </w:r>
    </w:p>
    <w:p>
      <w:pPr>
        <w:pStyle w:val="TextBody"/>
        <w:numPr>
          <w:ilvl w:val="0"/>
          <w:numId w:val="10"/>
        </w:numPr>
        <w:ind w:left="720" w:right="0" w:hanging="360"/>
        <w:rPr/>
      </w:pPr>
      <w:r>
        <w:rPr/>
        <w:t>elements of the right pes: metatarsals I, II and V, phalanges I-I and V-I, two 2nd phalanges, one ungual</w:t>
      </w:r>
    </w:p>
    <w:p>
      <w:pPr>
        <w:pStyle w:val="TextBody"/>
        <w:numPr>
          <w:ilvl w:val="0"/>
          <w:numId w:val="10"/>
        </w:numPr>
        <w:ind w:left="720" w:right="0" w:hanging="360"/>
        <w:rPr/>
      </w:pPr>
      <w:r>
        <w:rPr/>
        <w:t>three “ossicles” (McIntosh’s unpublished 1962 notes) — the meaning is unclear.</w:t>
      </w:r>
    </w:p>
    <w:p>
      <w:pPr>
        <w:pStyle w:val="TextBody"/>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TextBody"/>
        <w:rPr/>
      </w:pPr>
      <w:r>
        <w:rPr/>
        <w:t xml:space="preserve">This list of material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McIntosh’s unpublished 1962 notes further confirm the presence of these elements from the right side.</w:t>
      </w:r>
    </w:p>
    <w:p>
      <w:pPr>
        <w:pStyle w:val="TextBody"/>
        <w:rPr/>
      </w:pPr>
      <w:r>
        <w:rPr/>
        <w:t xml:space="preserve">In preparing the mounted skeleton, casts of all the elements of AMNH 6341 were used. </w:t>
      </w:r>
      <w:r>
        <w:rPr>
          <w:highlight w:val="yellow"/>
        </w:rPr>
        <w:t>XXX Peter, Lowell and Gene, is this correct? How much “correction” was done to the casts?</w:t>
      </w:r>
      <w:r>
        <w:rPr/>
        <w:t xml:space="preserve"> The missing elements </w:t>
      </w:r>
      <w:r>
        <w:rPr/>
        <w:t xml:space="preserve">were filled in with </w:t>
      </w:r>
      <w:r>
        <w:rPr>
          <w:i/>
          <w:iCs/>
        </w:rPr>
        <w:t>Diplodocus</w:t>
      </w:r>
      <w:r>
        <w:rPr/>
        <w:t xml:space="preserve"> casts that have a curious provenance. As recounted in detail by Taylor et al. (in prep, b),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used this concrete cast to create second-generation molds with the immediate goal of providing the Field House with a new, lightweight cast to be exhibited indoors at its new building. These new molds have also been used to create several additional </w:t>
      </w:r>
      <w:r>
        <w:rPr>
          <w:i/>
          <w:iCs/>
          <w:u w:val="none"/>
        </w:rPr>
        <w:t>Diplodocus</w:t>
      </w:r>
      <w:r>
        <w:rPr/>
        <w:t xml:space="preserve"> casts, and also the elements necessary to complete the AMNH </w:t>
      </w:r>
      <w:r>
        <w:rPr>
          <w:i/>
          <w:iCs/>
        </w:rPr>
        <w:t>Barosaurus</w:t>
      </w:r>
      <w:r>
        <w:rPr/>
        <w:t xml:space="preserve"> cast</w:t>
      </w:r>
      <w:r>
        <w:rPr/>
        <w:t xml:space="preserve">. </w:t>
      </w:r>
      <w:r>
        <w:rPr>
          <w:highlight w:val="yellow"/>
        </w:rPr>
        <w:t xml:space="preserve">XXX Peter, Lowell and Gene, </w:t>
      </w:r>
      <w:r>
        <w:rPr>
          <w:highlight w:val="yellow"/>
        </w:rPr>
        <w:t>w</w:t>
      </w:r>
      <w:r>
        <w:rPr>
          <w:highlight w:val="yellow"/>
        </w:rPr>
        <w:t xml:space="preserve">as no non-6341 </w:t>
      </w:r>
      <w:r>
        <w:rPr>
          <w:i/>
          <w:iCs/>
          <w:highlight w:val="yellow"/>
        </w:rPr>
        <w:t>Barosaurus</w:t>
      </w:r>
      <w:r>
        <w:rPr>
          <w:highlight w:val="yellow"/>
        </w:rPr>
        <w:t xml:space="preserve"> used at all?</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TextBody"/>
        <w:rPr/>
      </w:pPr>
      <w:r>
        <w:rPr>
          <w:lang w:val="en-US"/>
        </w:rPr>
        <w:t>With this in mind, w</w:t>
      </w:r>
      <w:r>
        <w:rPr>
          <w:lang w:val="en-US"/>
        </w:rPr>
        <w:t>e will now consider the source of specific elements of the cast.</w:t>
      </w:r>
    </w:p>
    <w:p>
      <w:pPr>
        <w:pStyle w:val="Heading3"/>
        <w:numPr>
          <w:ilvl w:val="2"/>
          <w:numId w:val="8"/>
        </w:numPr>
        <w:ind w:left="0" w:right="0" w:hanging="0"/>
        <w:rPr/>
      </w:pPr>
      <w:bookmarkStart w:id="15" w:name="__RefHeading___Toc16587_68767826"/>
      <w:bookmarkEnd w:id="15"/>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w:t>
      </w:r>
      <w:r>
        <w:rPr/>
        <w:t xml:space="preserve">As documented in Taylor et al. (in prep., a), </w:t>
      </w:r>
      <w:r>
        <w:rPr/>
        <w:t xml:space="preserve">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6" w:name="__RefHeading___Toc16589_68767826"/>
      <w:bookmarkEnd w:id="16"/>
      <w:r>
        <w:rPr/>
        <w:t>Neck</w:t>
      </w:r>
    </w:p>
    <w:p>
      <w:pPr>
        <w:pStyle w:val="TextBody"/>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Whether or not there may at some point have been a tenth cervical vertebra included in AMNH 6341, at present it preserves the last nine cervical vertebrae. These are therefore considered to be C8–C16.</w:t>
      </w:r>
    </w:p>
    <w:p>
      <w:pPr>
        <w:pStyle w:val="TextBody"/>
        <w:rPr/>
      </w:pPr>
      <w:r>
        <w:rPr/>
        <w:t xml:space="preserve">The anterior part of neck of the mount was completed using casts of seven anterior vertebrae from the Carnegie </w:t>
      </w:r>
      <w:r>
        <w:rPr>
          <w:i/>
          <w:iCs/>
        </w:rPr>
        <w:t>Diplodocus</w:t>
      </w:r>
      <w:r>
        <w:rPr/>
        <w:t>, but the anteriormost seven cervicals were not used as that would have resulted in an abrupt transition in length between C7 and C8. Instead, a non-contiguous sequence of Carnegie-</w:t>
      </w:r>
      <w:r>
        <w:rPr>
          <w:i/>
          <w:iCs/>
        </w:rPr>
        <w:t>Diplodocus</w:t>
      </w:r>
      <w:r>
        <w:rPr/>
        <w:t xml:space="preserve"> cervicals was used to obtain a smooth transition probably cervicals 10, 8, 6 and 4–1.</w:t>
      </w:r>
    </w:p>
    <w:p>
      <w:pPr>
        <w:pStyle w:val="TextBody"/>
        <w:rPr/>
      </w:pPr>
      <w:r>
        <w:rPr/>
        <w:t xml:space="preserve">CM 84, the specimen that forms most of the Carnegie mount, includes C2–7, but not the atlas (C1). It is not clear which specimen supplied the atlas in the Carnegie mount: Holland (1906), which discusses the composition of the cast sent to the British Museum, discusses two atlases but does not state which (if either) was used in the mount. One of these is the atlas of AMNH 969, part of a specimen including a skull that is now referred to </w:t>
      </w:r>
      <w:r>
        <w:rPr>
          <w:i/>
          <w:iCs/>
        </w:rPr>
        <w:t>Galeamopus</w:t>
      </w:r>
      <w:r>
        <w:rPr/>
        <w:t xml:space="preserve"> sp. (Tschopp et al. 2015:219); and the other is the unidentified atlas figured by Marsh (1896:plate XXVII:figures 1–2) and reproduced by Hatcher (1901:figures 4–5), but which neither of them identified with a specimen number. Unless further information comes to light, it is not possible to identify the atlas used in the Carnegie </w:t>
      </w:r>
      <w:r>
        <w:rPr>
          <w:i/>
          <w:iCs/>
        </w:rPr>
        <w:t>Diplodocus</w:t>
      </w:r>
      <w:r>
        <w:rPr/>
        <w:t xml:space="preserve"> — nor, therefore, in the </w:t>
      </w:r>
      <w:r>
        <w:rPr>
          <w:i/>
          <w:iCs/>
        </w:rPr>
        <w:t>Barosaurus</w:t>
      </w:r>
      <w:r>
        <w:rPr/>
        <w:t xml:space="preserve"> mount. </w:t>
      </w:r>
      <w:r>
        <w:rPr>
          <w:highlight w:val="yellow"/>
        </w:rPr>
        <w:t xml:space="preserve">XXX </w:t>
      </w:r>
      <w:r>
        <w:rPr>
          <w:highlight w:val="yellow"/>
        </w:rPr>
        <w:t xml:space="preserve">Update from Carnegie </w:t>
      </w:r>
      <w:r>
        <w:rPr>
          <w:i/>
          <w:iCs/>
          <w:highlight w:val="yellow"/>
        </w:rPr>
        <w:t>Diplodocus</w:t>
      </w:r>
      <w:r>
        <w:rPr>
          <w:highlight w:val="yellow"/>
        </w:rPr>
        <w:t xml:space="preserve"> manuscript if I ever get to the bottom of this</w:t>
      </w:r>
    </w:p>
    <w:p>
      <w:pPr>
        <w:pStyle w:val="Heading3"/>
        <w:numPr>
          <w:ilvl w:val="2"/>
          <w:numId w:val="2"/>
        </w:numPr>
        <w:ind w:left="0" w:right="0" w:hanging="0"/>
        <w:rPr/>
      </w:pPr>
      <w:bookmarkStart w:id="17" w:name="__RefHeading___Toc2466_2187837281"/>
      <w:bookmarkEnd w:id="17"/>
      <w:r>
        <w:rPr/>
        <w:t>Torso and sacrum</w:t>
      </w:r>
    </w:p>
    <w:p>
      <w:pPr>
        <w:pStyle w:val="TextBody"/>
        <w:rPr/>
      </w:pPr>
      <w:r>
        <w:rPr/>
        <w:t xml:space="preserve">The complete dorsal sequence (of nine vertebrae) and complete sacrum (of five vertebra) are present in AMNH 6341. However, McIntosh’s (2005:43) account says that only “six ribs and fragments” were included from a total of 18 (two per dorsal vertebra), the missing ribs were supplied by </w:t>
      </w:r>
      <w:r>
        <w:rPr>
          <w:highlight w:val="yellow"/>
        </w:rPr>
        <w:t>XXX Anyone?</w:t>
      </w:r>
    </w:p>
    <w:p>
      <w:pPr>
        <w:pStyle w:val="Heading3"/>
        <w:numPr>
          <w:ilvl w:val="2"/>
          <w:numId w:val="2"/>
        </w:numPr>
        <w:ind w:left="0" w:right="0" w:hanging="0"/>
        <w:rPr/>
      </w:pPr>
      <w:bookmarkStart w:id="18" w:name="__RefHeading___Toc2468_2187837281"/>
      <w:bookmarkEnd w:id="18"/>
      <w:r>
        <w:rPr/>
        <w:t>Tail</w:t>
      </w:r>
    </w:p>
    <w:p>
      <w:pPr>
        <w:pStyle w:val="TextBody"/>
        <w:rPr/>
      </w:pPr>
      <w:r>
        <w:rPr/>
        <w:t xml:space="preserve">AMNH 6341 includes the first 29 caudals but only one chevron. The distal part of the tail was supplied by </w:t>
      </w:r>
      <w:r>
        <w:rPr>
          <w:highlight w:val="yellow"/>
        </w:rPr>
        <w:t>XXX Anyone?</w:t>
      </w:r>
      <w:r>
        <w:rPr/>
        <w:t xml:space="preserve">, and the chevrons were taken from </w:t>
      </w:r>
      <w:r>
        <w:rPr>
          <w:highlight w:val="yellow"/>
        </w:rPr>
        <w:t>XXX Anyone?</w:t>
      </w:r>
    </w:p>
    <w:p>
      <w:pPr>
        <w:pStyle w:val="Heading3"/>
        <w:numPr>
          <w:ilvl w:val="2"/>
          <w:numId w:val="2"/>
        </w:numPr>
        <w:ind w:left="0" w:right="0" w:hanging="0"/>
        <w:rPr/>
      </w:pPr>
      <w:bookmarkStart w:id="19" w:name="__RefHeading___Toc2470_2187837281"/>
      <w:bookmarkEnd w:id="19"/>
      <w:r>
        <w:rPr/>
        <w:t>Forelimbs and girdles</w:t>
      </w:r>
    </w:p>
    <w:p>
      <w:pPr>
        <w:pStyle w:val="TextBody"/>
        <w:rPr/>
      </w:pPr>
      <w:r>
        <w:rPr/>
        <w:t xml:space="preserve">Missing bones in this region were also taken from the Carnegie </w:t>
      </w:r>
      <w:r>
        <w:rPr>
          <w:i/>
          <w:iCs/>
        </w:rPr>
        <w:t>Diplodocus</w:t>
      </w:r>
      <w:r>
        <w:rPr/>
        <w:t xml:space="preserve">. </w:t>
      </w:r>
      <w:r>
        <w:rPr>
          <w:highlight w:val="yellow"/>
        </w:rPr>
        <w:t>XXX Peter, can you confirm?</w:t>
      </w:r>
      <w:r>
        <w:rPr/>
        <w:t xml:space="preserve"> As noted by Hatcher (1901:45), the bones of the forelimb are not only absent from CM 84 but were completely unknown in the Carnegie collection at the time the mount was constructed. Holland (1906) makes no comment on how the forelimbs were obtained for the skeletal mount sent to England. XXX so?</w:t>
      </w:r>
    </w:p>
    <w:p>
      <w:pPr>
        <w:pStyle w:val="Heading3"/>
        <w:numPr>
          <w:ilvl w:val="2"/>
          <w:numId w:val="2"/>
        </w:numPr>
        <w:ind w:left="0" w:right="0" w:hanging="0"/>
        <w:rPr/>
      </w:pPr>
      <w:bookmarkStart w:id="20" w:name="__RefHeading___Toc2472_2187837281"/>
      <w:bookmarkEnd w:id="20"/>
      <w:r>
        <w:rPr/>
        <w:t>Hindlimbs and girdles</w:t>
      </w:r>
    </w:p>
    <w:p>
      <w:pPr>
        <w:pStyle w:val="TextBody"/>
        <w:rPr/>
      </w:pPr>
      <w:r>
        <w:rPr/>
        <w:t>XXX</w:t>
      </w:r>
    </w:p>
    <w:p>
      <w:pPr>
        <w:pStyle w:val="Heading1"/>
        <w:numPr>
          <w:ilvl w:val="0"/>
          <w:numId w:val="4"/>
        </w:numPr>
        <w:ind w:left="0" w:right="0" w:hanging="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TextBody"/>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TextBody"/>
        <w:rPr/>
      </w:pPr>
      <w:r>
        <w:rPr/>
        <w:t xml:space="preserve">The unveiling of the Carnegie </w:t>
      </w:r>
      <w:r>
        <w:rPr>
          <w:i/>
          <w:iCs/>
          <w:u w:val="none"/>
        </w:rPr>
        <w:t>Diplodocus</w:t>
      </w:r>
      <w:r>
        <w:rPr/>
        <w:t xml:space="preserve"> in 1908 catalysed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TextBody"/>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TextBody"/>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TextBody"/>
        <w:rPr/>
      </w:pPr>
      <w:r>
        <w:rPr/>
        <w:t xml:space="preserve">More substantial criticisms and comments were to follow in published articles. </w:t>
      </w:r>
      <w:r>
        <w:rPr/>
        <w:t xml:space="preserve">Surprisingly, much of the published discussion was in the medical journal </w:t>
      </w:r>
      <w:r>
        <w:rPr>
          <w:i/>
          <w:iCs/>
        </w:rPr>
        <w:t>The Lancet</w:t>
      </w:r>
      <w:r>
        <w:rPr/>
        <w:t xml:space="preserve">. Provoked by Lillywhite’s (1991) brief account of the high blood pressure required to circulate blood to the head of </w:t>
      </w:r>
      <w:r>
        <w:rPr>
          <w:i/>
          <w:iCs/>
        </w:rPr>
        <w:t>Barosaurus</w:t>
      </w:r>
      <w:r>
        <w:rPr/>
        <w:t xml:space="preserve">, </w:t>
      </w:r>
      <w:r>
        <w:rPr/>
        <w:t xml:space="preserve">Choy and Altmann (1992) </w:t>
      </w:r>
      <w:r>
        <w:rPr/>
        <w:t xml:space="preserve">noted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w:t>
      </w:r>
    </w:p>
    <w:p>
      <w:pPr>
        <w:pStyle w:val="TextBody"/>
        <w:rPr/>
      </w:pPr>
      <w:r>
        <w:rPr/>
        <w:t>XXX Millard et al. 1992</w:t>
      </w:r>
    </w:p>
    <w:p>
      <w:pPr>
        <w:pStyle w:val="TextBody"/>
        <w:rPr/>
      </w:pPr>
      <w:r>
        <w:rPr/>
        <w:t xml:space="preserve">Dennis (1992) </w:t>
      </w:r>
      <w:r>
        <w:rPr/>
        <w:t xml:space="preserve">claimed to have reached the same conclusion independently, and noted that hagfish, the giant Brazilian earthworm and some insects have multiple perfusion organs. He also considered and discarded the idea that the blood flow to the head operated as a siphon. </w:t>
      </w:r>
    </w:p>
    <w:p>
      <w:pPr>
        <w:pStyle w:val="TextBody"/>
        <w:rPr/>
      </w:pPr>
      <w:r>
        <w:rPr/>
        <w:t>Taylor (1992)</w:t>
      </w:r>
    </w:p>
    <w:p>
      <w:pPr>
        <w:pStyle w:val="TextBody"/>
        <w:rPr/>
      </w:pPr>
      <w:r>
        <w:rPr/>
        <w:t>Hicks and Badeer (1992)</w:t>
      </w:r>
    </w:p>
    <w:p>
      <w:pPr>
        <w:pStyle w:val="TextBody"/>
        <w:rPr/>
      </w:pPr>
      <w:r>
        <w:rPr/>
        <w:t>Landry (1992)</w:t>
      </w:r>
    </w:p>
    <w:p>
      <w:pPr>
        <w:pStyle w:val="TextBody"/>
        <w:rPr/>
      </w:pPr>
      <w:r>
        <w:rPr/>
        <w:t>Badeer and Hicks (1996)</w:t>
      </w:r>
    </w:p>
    <w:p>
      <w:pPr>
        <w:pStyle w:val="TextBody"/>
        <w:rPr/>
      </w:pPr>
      <w:r>
        <w:rPr/>
        <w:t xml:space="preserve"> </w:t>
      </w:r>
      <w:r>
        <w:rPr/>
        <w:t xml:space="preserve">XXX </w:t>
      </w:r>
      <w:r>
        <w:rPr/>
        <w:t>A</w:t>
      </w:r>
      <w:r>
        <w:rPr/>
        <w:t>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in 1984 depicted two rearing Baro individuals reproduced in Bird (1985:14).</w:t>
      </w:r>
    </w:p>
    <w:p>
      <w:pPr>
        <w:pStyle w:val="TextBody"/>
        <w:rPr/>
      </w:pPr>
      <w:r>
        <w:rPr/>
        <w:t>XXX See section in Taylor 2010</w:t>
      </w:r>
    </w:p>
    <w:p>
      <w:pPr>
        <w:pStyle w:val="TextBody"/>
        <w:rPr/>
      </w:pPr>
      <w:r>
        <w:rPr/>
        <w:t xml:space="preserve">XXX See </w:t>
      </w:r>
      <w:r>
        <w:fldChar w:fldCharType="begin"/>
      </w:r>
      <w:r>
        <w:rPr>
          <w:rStyle w:val="InternetLink"/>
        </w:rPr>
        <w:instrText> HYPERLINK "https://en.wikipedia.org/wiki/Sauropoda" \l "Rearing_stance"</w:instrText>
      </w:r>
      <w:r>
        <w:rPr>
          <w:rStyle w:val="InternetLink"/>
        </w:rPr>
        <w:fldChar w:fldCharType="separate"/>
      </w:r>
      <w:r>
        <w:rPr>
          <w:rStyle w:val="InternetLink"/>
        </w:rPr>
        <w:t>https://en.wikipedia.org/wiki/Sauropoda#Rearing_stance</w:t>
      </w:r>
      <w:r>
        <w:rPr>
          <w:rStyle w:val="InternetLink"/>
        </w:rPr>
        <w:fldChar w:fldCharType="end"/>
      </w:r>
    </w:p>
    <w:p>
      <w:pPr>
        <w:pStyle w:val="TextBody"/>
        <w:rPr/>
      </w:pPr>
      <w:r>
        <w:rPr/>
        <w:t xml:space="preserve">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 </w:t>
      </w:r>
      <w:r>
        <w:rPr>
          <w:highlight w:val="yellow"/>
        </w:rPr>
        <w:t>I think this would be a good place to again emphasize that the purpose of the mount was not to conclude or even argue that the barosaur could rear up. It was to introduce the theme of what we can and can’t know. As I state in Next of Kin, we anticipated that many of our colleagues would object to the rearing posture, and all that publicity was fine with us because, in the end, it would help us emphasize that theme. That’s how I would prefer that you complete this final paragraph of the Discussion.</w:t>
      </w:r>
    </w:p>
    <w:p>
      <w:pPr>
        <w:pStyle w:val="Heading2"/>
        <w:rPr/>
      </w:pPr>
      <w:bookmarkStart w:id="23" w:name="__RefHeading___Toc21934_68767826"/>
      <w:bookmarkEnd w:id="23"/>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24" w:name="__RefHeading___Toc3403_68767826"/>
      <w:bookmarkEnd w:id="24"/>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w:t>
      </w:r>
      <w:r>
        <w:rPr/>
        <w:t xml:space="preserve">and to John Gurche for permission to reproduce his life restoration of the rearing </w:t>
      </w:r>
      <w:r>
        <w:rPr>
          <w:i/>
          <w:iCs/>
        </w:rPr>
        <w:t>Barosaurus</w:t>
      </w:r>
      <w:r>
        <w:rPr/>
        <w:t xml:space="preserve">. </w:t>
      </w:r>
      <w:r>
        <w:rPr/>
        <w:t xml:space="preserve">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w:t>
      </w:r>
      <w:r>
        <w:rPr/>
        <w:t>for us both the 1939 p</w:t>
      </w:r>
      <w:r>
        <w:rPr/>
        <w:t xml:space="preserve">ublic gallery exhibit panel </w:t>
      </w:r>
      <w:r>
        <w:rPr/>
        <w:t xml:space="preserve">(Figure G) and the </w:t>
      </w:r>
      <w:r>
        <w:rPr/>
        <w:t xml:space="preserve">prototype model </w:t>
      </w:r>
      <w:r>
        <w:rPr/>
        <w:t>(Figure H)</w:t>
      </w:r>
      <w:r>
        <w:rPr/>
        <w:t xml:space="preserve">, having had </w:t>
      </w:r>
      <w:r>
        <w:rPr/>
        <w:t>the model</w:t>
      </w:r>
      <w:r>
        <w:rPr/>
        <w:t xml:space="preserve"> repaired. </w:t>
      </w:r>
      <w:r>
        <w:rPr/>
        <w:t xml:space="preserve">Photography of the model was courtesy of the AMNH Main Archives. Melissa Posen, Dingus’s administrative assistant on </w:t>
      </w:r>
      <w:r>
        <w:rPr/>
        <w:t xml:space="preserve">the </w:t>
      </w:r>
      <w:r>
        <w:rPr>
          <w:i/>
          <w:iCs/>
        </w:rPr>
        <w:t>Barosaurus</w:t>
      </w:r>
      <w:r>
        <w:rPr/>
        <w:t xml:space="preserve"> project</w:t>
      </w:r>
      <w:r>
        <w:rPr/>
        <w:t>, took most of the photo</w:t>
      </w:r>
      <w:r>
        <w:rPr/>
        <w:t>graph</w:t>
      </w:r>
      <w:r>
        <w:rPr/>
        <w:t>s of the initial assembly in Toronto.</w:t>
      </w:r>
    </w:p>
    <w:p>
      <w:pPr>
        <w:pStyle w:val="Heading1"/>
        <w:numPr>
          <w:ilvl w:val="0"/>
          <w:numId w:val="4"/>
        </w:numPr>
        <w:ind w:left="0" w:right="0" w:hanging="0"/>
        <w:rPr/>
      </w:pPr>
      <w:bookmarkStart w:id="25" w:name="__RefHeading___Toc3405_68767826"/>
      <w:bookmarkEnd w:id="25"/>
      <w:r>
        <w:rPr/>
        <w:t>References</w:t>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6" w:name="__DdeLink__2788_55120580"/>
      <w:r>
        <w:rPr>
          <w:i/>
          <w:iCs/>
        </w:rPr>
        <w:t>Proceedings of the United States National Museum</w:t>
      </w:r>
      <w:bookmarkEnd w:id="26"/>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w:t>
      </w:r>
      <w:r>
        <w:rPr/>
        <w:t>6</w:t>
      </w:r>
      <w:r>
        <w:rPr/>
        <w:t>–30 December 1</w:t>
      </w:r>
      <w:r>
        <w:rPr/>
        <w:t>992,</w:t>
      </w:r>
      <w:r>
        <w:rPr/>
        <w:t xml:space="preserve">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27" w:name="__DdeLink__16582_68767826"/>
      <w:r>
        <w:rPr/>
        <w:t>Nieuwland</w:t>
      </w:r>
      <w:bookmarkEnd w:id="2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Steven </w:t>
      </w:r>
      <w:r>
        <w:rPr/>
        <w:t xml:space="preserve">Sroka and Kenneth Carpenter. In prep, </w:t>
      </w:r>
      <w:r>
        <w:rPr/>
        <w:t>b</w:t>
      </w:r>
      <w:r>
        <w:rPr/>
        <w:t xml:space="preserve">. The concrete </w:t>
      </w:r>
      <w:r>
        <w:rPr>
          <w:i/>
          <w:iCs/>
        </w:rPr>
        <w:t>Diplodocus</w:t>
      </w:r>
      <w:r>
        <w:rPr/>
        <w:t xml:space="preserve"> of Vernal.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28" w:name="__RefHeading___Toc3407_68767826"/>
      <w:bookmarkEnd w:id="2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John Gurche’s painting XXX details, including title if any, and attribution.</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Quotations"/>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true"/>
        <w:bidi w:val="0"/>
        <w:spacing w:lineRule="auto" w:line="276" w:before="0" w:after="142"/>
        <w:ind w:left="283" w:right="0" w:hanging="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XXX say more, including stronger S-curve in neck. Small hands. Chicken bones. Photograph by Mick Ellison (AMNH). XXX reference this in the text.</w:t>
      </w:r>
    </w:p>
    <w:p>
      <w:pPr>
        <w:pStyle w:val="FigureCaption"/>
        <w:bidi w:val="0"/>
        <w:spacing w:before="0" w:after="142"/>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i w:val="false"/>
      <w:iCs w:val="false"/>
    </w:rPr>
  </w:style>
  <w:style w:type="character" w:styleId="ListLabel29">
    <w:name w:val="ListLabel 29"/>
    <w:qFormat/>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i w:val="false"/>
      <w:iCs w:val="false"/>
    </w:rPr>
  </w:style>
  <w:style w:type="character" w:styleId="ListLabel58">
    <w:name w:val="ListLabel 58"/>
    <w:qFormat/>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i w:val="false"/>
      <w:iCs w:val="false"/>
    </w:rPr>
  </w:style>
  <w:style w:type="character" w:styleId="ListLabel87">
    <w:name w:val="ListLabel 8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18652</TotalTime>
  <Application>LibreOffice/6.1.3.2$MacOSX_X86_64 LibreOffice_project/86daf60bf00efa86ad547e59e09d6bb77c699acb</Application>
  <Pages>20</Pages>
  <Words>9869</Words>
  <Characters>51617</Characters>
  <CharactersWithSpaces>61215</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2022-10-06T01:57:03Z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