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w:t>
      </w:r>
      <w:r>
        <w:rPr/>
        <w:t xml:space="preserve">vertebrae </w:t>
      </w:r>
      <w:r>
        <w:rPr/>
        <w:t xml:space="preserve">in anterior views and right pubis in lateral view (p12), </w:t>
      </w:r>
      <w:r>
        <w:rPr/>
        <w:t xml:space="preserve">articulated </w:t>
      </w:r>
      <w:r>
        <w:rPr/>
        <w:t xml:space="preserve">sequence of cast dorsals and posterior cervicals </w:t>
      </w:r>
      <w:r>
        <w:rPr/>
        <w:t xml:space="preserve">in right lateral view </w:t>
      </w:r>
      <w:r>
        <w:rPr/>
        <w:t>(p1</w:t>
      </w:r>
      <w:r>
        <w:rPr/>
        <w:t>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xml:space="preserve">. </w:t>
      </w:r>
      <w:r>
        <w:rPr/>
        <w:t xml:space="preserve">(The earliest mention of the sixteen-cervicals hypothesis in print appears in a caption in a children’s book, Lindsay 1992:20.) </w:t>
      </w:r>
      <w:r>
        <w:rPr/>
        <w:t xml:space="preserve">Whether or not the AMNH 6341 </w:t>
      </w:r>
      <w:r>
        <w:rPr/>
        <w:t xml:space="preserve">material </w:t>
      </w:r>
      <w:r>
        <w:rPr/>
        <w:t xml:space="preserve">may at some point have </w:t>
      </w:r>
      <w:r>
        <w:rPr/>
        <w:t xml:space="preserve">included </w:t>
      </w:r>
      <w:r>
        <w:rPr/>
        <w:t>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r>
        <w:rPr/>
        <w:t>Cultural impact</w:t>
      </w:r>
    </w:p>
    <w:p>
      <w:pPr>
        <w:pStyle w:val="BodyText"/>
        <w:rPr/>
      </w:pPr>
      <w:r>
        <w:rPr/>
        <w:t>XXX move JP here</w:t>
      </w:r>
    </w:p>
    <w:p>
      <w:pPr>
        <w:pStyle w:val="BodyText"/>
        <w:rPr/>
      </w:pPr>
      <w:r>
        <w:rPr/>
        <w:t>XXX move WWD here</w:t>
      </w:r>
    </w:p>
    <w:p>
      <w:pPr>
        <w:pStyle w:val="BodyText"/>
        <w:rPr/>
      </w:pPr>
      <w:r>
        <w:rPr/>
        <w:t>XXX Lego</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w:t>
      </w: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t>
      </w:r>
      <w:r>
        <w:rPr/>
        <w:t>and at other times</w:t>
      </w:r>
      <w:r>
        <w:rPr/>
        <w:t xml:space="preserve">. </w:t>
      </w:r>
      <w:r>
        <w:rPr/>
        <w:t xml:space="preserve">The frontispiece of the book </w:t>
      </w:r>
      <w:r>
        <w:rPr/>
        <w:t xml:space="preserve">illustrated this </w:t>
      </w:r>
      <w:r>
        <w:rPr/>
        <w:t xml:space="preserve">idea </w:t>
      </w:r>
      <w:r>
        <w:rPr/>
        <w:t xml:space="preserve">with a striking drawing of two apatosaurines fighting in tripodal posture. </w:t>
      </w:r>
      <w:r>
        <w:rPr/>
        <w:t xml:space="preserve">While the idea of rearing sauropods had been growing among researchers, </w:t>
      </w:r>
      <w:r>
        <w:rPr>
          <w:i/>
          <w:iCs/>
        </w:rPr>
        <w:t>The Dinosaur Heresies</w:t>
      </w:r>
      <w:r>
        <w:rPr/>
        <w:t xml:space="preserve"> </w:t>
      </w:r>
      <w:r>
        <w:rPr/>
        <w:t>probably marked the point where the idea began to impinge on non-specialists.</w:t>
      </w:r>
    </w:p>
    <w:p>
      <w:pPr>
        <w:pStyle w:val="BodyText"/>
        <w:rPr/>
      </w:pPr>
      <w:r>
        <w:rPr/>
        <w:t xml:space="preserve">Paul </w:t>
      </w:r>
      <w:r>
        <w:rPr/>
        <w:t>(</w:t>
      </w:r>
      <w:r>
        <w:rPr/>
        <w:t>1987:</w:t>
      </w:r>
      <w:r>
        <w:rPr/>
        <w:t xml:space="preserve">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w:t>
      </w:r>
      <w:r>
        <w:rPr/>
        <w:t xml:space="preserve">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w:t>
      </w:r>
      <w:r>
        <w:rPr/>
        <w:t xml:space="preserve">and to Ambrosino for permission to use a photograph of his Lego </w:t>
      </w:r>
      <w:r>
        <w:rPr>
          <w:i/>
          <w:iCs/>
        </w:rPr>
        <w:t>Barosaurus</w:t>
      </w:r>
      <w:r>
        <w:rPr/>
        <w:t xml:space="preserve"> model (Figure J).</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t>
      </w:r>
      <w:r>
        <w:rPr/>
        <w:t>(Figure I)</w:t>
      </w:r>
      <w:r>
        <w:rPr/>
        <w:t xml:space="preserve">.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w:t>
      </w:r>
      <w:r>
        <w:rPr/>
        <w:t xml:space="preserve">21320: </w:t>
      </w:r>
      <w:r>
        <w:rPr>
          <w:i/>
          <w:iCs/>
        </w:rPr>
        <w:t>Barosaurus</w:t>
      </w:r>
      <w:r>
        <w:rPr/>
        <w:t xml:space="preserve"> skeleton. </w:t>
      </w:r>
      <w:hyperlink r:id="rId6">
        <w:r>
          <w:rPr>
            <w:rStyle w:val="Hyperlink"/>
          </w:rPr>
          <w:t>https://rebrickable.com/mocs/MOC-154998/Ambrosino/21320-barosaurus-skeleton/</w:t>
        </w:r>
      </w:hyperlink>
      <w:r>
        <w:rPr/>
        <w:t xml:space="preserve"> </w:t>
      </w:r>
      <w:r>
        <w:rPr/>
        <w:t xml:space="preserve">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Bakker, Robert. 1978. Dinosaur feeding behaviour and th</w:t>
      </w:r>
      <w:r>
        <w:rPr/>
        <w:t xml:space="preserve">e </w:t>
      </w:r>
      <w:r>
        <w:rPr/>
        <w:t xml:space="preserve">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9">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0">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1">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w:t>
      </w:r>
      <w:r>
        <w:rPr/>
        <w:t xml:space="preserve">ranium to rear, mandible to the front, both in left dorsolateral view, photographed in 1991. </w:t>
      </w:r>
      <w:r>
        <w:rPr>
          <w:b/>
          <w:bCs/>
        </w:rPr>
        <w:t>B.</w:t>
      </w:r>
      <w:r>
        <w:rPr/>
        <w:t xml:space="preserve"> C</w:t>
      </w:r>
      <w:r>
        <w:rPr/>
        <w:t xml:space="preserve">ranium to rear, mandible to the front, both in </w:t>
      </w:r>
      <w:r>
        <w:rPr/>
        <w:t>right</w:t>
      </w:r>
      <w:r>
        <w:rPr/>
        <w:t xml:space="preserve">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w:t>
      </w:r>
      <w:r>
        <w:rPr/>
        <w:t xml:space="preserve">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w:t>
      </w:r>
      <w:r>
        <w:rPr/>
        <w:t xml:space="preserve">created especially for the publicity materials for the mount when unveiled in 1991. This painting </w:t>
      </w:r>
      <w:r>
        <w:rPr/>
        <w:t xml:space="preserve">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xml:space="preserve">, and the base is 44 inches (112 cm) long. </w:t>
      </w:r>
      <w:r>
        <w:rPr/>
        <w:t xml:space="preserve">Despite some notable differences — for example, the model has a much more strongly S-curved neck than the full-size mount, and its forefeet lack digits — the model seems to have been followed fairly closely in composing the final mount, and remains a beautiful object in its own right. </w:t>
      </w:r>
      <w:r>
        <w:rPr/>
        <w:t>Photograph by Mick Ellison (AMNH).</w:t>
      </w:r>
    </w:p>
    <w:p>
      <w:pPr>
        <w:pStyle w:val="FigureCaption"/>
        <w:bidi w:val="0"/>
        <w:spacing w:before="0" w:after="142"/>
        <w:jc w:val="left"/>
        <w:rPr/>
      </w:pPr>
      <w:r>
        <w:rPr>
          <w:b/>
          <w:bCs/>
        </w:rPr>
        <w:t>Figure I.</w:t>
      </w:r>
      <w:r>
        <w:rPr/>
        <w:t xml:space="preserve"> </w:t>
      </w:r>
      <w:r>
        <w:rPr/>
        <w:t xml:space="preserve">The </w:t>
      </w:r>
      <w:r>
        <w:rPr/>
        <w:t xml:space="preserve">signage </w:t>
      </w:r>
      <w:r>
        <w:rPr/>
        <w:t>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github.com/miketaylor/palaeo-superbaro" TargetMode="External"/><Relationship Id="rId10" Type="http://schemas.openxmlformats.org/officeDocument/2006/relationships/hyperlink" Target="https://zenodo.org/records/13732378" TargetMode="External"/><Relationship Id="rId11" Type="http://schemas.openxmlformats.org/officeDocument/2006/relationships/hyperlink" Target="https://doi.org/10.7717/peerj.85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22416</TotalTime>
  <Application>LibreOffice/24.8.2.1$MacOSX_X86_64 LibreOffice_project/0f794b6e29741098670a3b95d60478a65d05ef13</Application>
  <AppVersion>15.0000</AppVersion>
  <Pages>23</Pages>
  <Words>11837</Words>
  <Characters>62808</Characters>
  <CharactersWithSpaces>74335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2024-11-09T17:55:37Z</dcterms:modified>
  <cp:revision>434</cp:revision>
  <dc:subject/>
  <dc:title/>
</cp:coreProperties>
</file>

<file path=docProps/custom.xml><?xml version="1.0" encoding="utf-8"?>
<Properties xmlns="http://schemas.openxmlformats.org/officeDocument/2006/custom-properties" xmlns:vt="http://schemas.openxmlformats.org/officeDocument/2006/docPropsVTypes"/>
</file>