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7</w:t>
            </w:r>
          </w:hyperlink>
        </w:p>
        <w:p>
          <w:pPr>
            <w:pStyle w:val="Contents2"/>
            <w:tabs>
              <w:tab w:val="clear" w:pos="9355"/>
              <w:tab w:val="right" w:pos="9638" w:leader="dot"/>
            </w:tabs>
            <w:rPr/>
          </w:pPr>
          <w:hyperlink w:anchor="__RefHeading___Toc5632_2187837281">
            <w:r>
              <w:rPr>
                <w:rStyle w:val="IndexLink"/>
              </w:rPr>
              <w:t>Photography of the mount</w:t>
              <w:tab/>
              <w:t>9</w:t>
            </w:r>
          </w:hyperlink>
        </w:p>
        <w:p>
          <w:pPr>
            <w:pStyle w:val="Contents2"/>
            <w:tabs>
              <w:tab w:val="clear" w:pos="9355"/>
              <w:tab w:val="right" w:pos="9638" w:leader="dot"/>
            </w:tabs>
            <w:rPr/>
          </w:pPr>
          <w:hyperlink w:anchor="__RefHeading___Toc5356_68767826">
            <w:r>
              <w:rPr>
                <w:rStyle w:val="IndexLink"/>
              </w:rPr>
              <w:t>The composition of the mount</w:t>
              <w:tab/>
              <w:t>9</w:t>
            </w:r>
          </w:hyperlink>
        </w:p>
        <w:p>
          <w:pPr>
            <w:pStyle w:val="Contents3"/>
            <w:tabs>
              <w:tab w:val="clear" w:pos="9072"/>
              <w:tab w:val="right" w:pos="9638" w:leader="dot"/>
            </w:tabs>
            <w:rPr/>
          </w:pPr>
          <w:hyperlink w:anchor="__RefHeading___Toc16585_68767826">
            <w:r>
              <w:rPr>
                <w:rStyle w:val="IndexLink"/>
              </w:rPr>
              <w:t>Overview</w:t>
              <w:tab/>
              <w:t>9</w:t>
            </w:r>
          </w:hyperlink>
        </w:p>
        <w:p>
          <w:pPr>
            <w:pStyle w:val="Contents3"/>
            <w:tabs>
              <w:tab w:val="clear" w:pos="9072"/>
              <w:tab w:val="right" w:pos="9638" w:leader="dot"/>
            </w:tabs>
            <w:rPr/>
          </w:pPr>
          <w:hyperlink w:anchor="__RefHeading___Toc16587_68767826">
            <w:r>
              <w:rPr>
                <w:rStyle w:val="IndexLink"/>
              </w:rPr>
              <w:t>Skull</w:t>
              <w:tab/>
              <w:t>11</w:t>
            </w:r>
          </w:hyperlink>
        </w:p>
        <w:p>
          <w:pPr>
            <w:pStyle w:val="Contents3"/>
            <w:tabs>
              <w:tab w:val="clear" w:pos="9072"/>
              <w:tab w:val="right" w:pos="9638" w:leader="dot"/>
            </w:tabs>
            <w:rPr/>
          </w:pPr>
          <w:hyperlink w:anchor="__RefHeading___Toc16589_68767826">
            <w:r>
              <w:rPr>
                <w:rStyle w:val="IndexLink"/>
              </w:rPr>
              <w:t>Neck</w:t>
              <w:tab/>
              <w:t>11</w:t>
            </w:r>
          </w:hyperlink>
        </w:p>
        <w:p>
          <w:pPr>
            <w:pStyle w:val="Contents3"/>
            <w:tabs>
              <w:tab w:val="clear" w:pos="9072"/>
              <w:tab w:val="right" w:pos="9638" w:leader="dot"/>
            </w:tabs>
            <w:rPr/>
          </w:pPr>
          <w:hyperlink w:anchor="__RefHeading___Toc2466_2187837281">
            <w:r>
              <w:rPr>
                <w:rStyle w:val="IndexLink"/>
              </w:rPr>
              <w:t>Torso and sacrum</w:t>
              <w:tab/>
              <w:t>12</w:t>
            </w:r>
          </w:hyperlink>
        </w:p>
        <w:p>
          <w:pPr>
            <w:pStyle w:val="Contents3"/>
            <w:tabs>
              <w:tab w:val="clear" w:pos="9072"/>
              <w:tab w:val="right" w:pos="9638" w:leader="dot"/>
            </w:tabs>
            <w:rPr/>
          </w:pPr>
          <w:hyperlink w:anchor="__RefHeading___Toc2468_2187837281">
            <w:r>
              <w:rPr>
                <w:rStyle w:val="IndexLink"/>
              </w:rPr>
              <w:t>Tail</w:t>
              <w:tab/>
              <w:t>12</w:t>
            </w:r>
          </w:hyperlink>
        </w:p>
        <w:p>
          <w:pPr>
            <w:pStyle w:val="Contents3"/>
            <w:tabs>
              <w:tab w:val="clear" w:pos="9072"/>
              <w:tab w:val="right" w:pos="9638" w:leader="dot"/>
            </w:tabs>
            <w:rPr/>
          </w:pPr>
          <w:hyperlink w:anchor="__RefHeading___Toc2470_2187837281">
            <w:r>
              <w:rPr>
                <w:rStyle w:val="IndexLink"/>
              </w:rPr>
              <w:t>Forelimbs and girdles</w:t>
              <w:tab/>
              <w:t>12</w:t>
            </w:r>
          </w:hyperlink>
        </w:p>
        <w:p>
          <w:pPr>
            <w:pStyle w:val="Contents3"/>
            <w:tabs>
              <w:tab w:val="clear" w:pos="9072"/>
              <w:tab w:val="right" w:pos="9638" w:leader="dot"/>
            </w:tabs>
            <w:rPr/>
          </w:pPr>
          <w:hyperlink w:anchor="__RefHeading___Toc2472_2187837281">
            <w:r>
              <w:rPr>
                <w:rStyle w:val="IndexLink"/>
              </w:rPr>
              <w:t>Hindlimbs and girdles</w:t>
              <w:tab/>
              <w:t>12</w:t>
            </w:r>
          </w:hyperlink>
        </w:p>
        <w:p>
          <w:pPr>
            <w:pStyle w:val="Contents1"/>
            <w:rPr/>
          </w:pPr>
          <w:hyperlink w:anchor="__RefHeading___Toc3401_68767826">
            <w:r>
              <w:rPr>
                <w:rStyle w:val="IndexLink"/>
              </w:rPr>
              <w:t>Discussion</w:t>
              <w:tab/>
              <w:t>12</w:t>
            </w:r>
          </w:hyperlink>
        </w:p>
        <w:p>
          <w:pPr>
            <w:pStyle w:val="Contents2"/>
            <w:tabs>
              <w:tab w:val="clear" w:pos="9355"/>
              <w:tab w:val="right" w:pos="9638" w:leader="dot"/>
            </w:tabs>
            <w:rPr/>
          </w:pPr>
          <w:hyperlink w:anchor="__RefHeading___Toc2476_2187837281">
            <w:r>
              <w:rPr>
                <w:rStyle w:val="IndexLink"/>
              </w:rPr>
              <w:t>Rearing pose</w:t>
              <w:tab/>
              <w:t>12</w:t>
            </w:r>
          </w:hyperlink>
        </w:p>
        <w:p>
          <w:pPr>
            <w:pStyle w:val="Contents2"/>
            <w:tabs>
              <w:tab w:val="clear" w:pos="9355"/>
              <w:tab w:val="right" w:pos="9638" w:leader="dot"/>
            </w:tabs>
            <w:rPr/>
          </w:pPr>
          <w:hyperlink w:anchor="__RefHeading___Toc21934_68767826">
            <w:r>
              <w:rPr>
                <w:rStyle w:val="IndexLink"/>
              </w:rPr>
              <w:t>Size of the AMNH 6341 animal</w:t>
              <w:tab/>
              <w:t>14</w:t>
            </w:r>
          </w:hyperlink>
        </w:p>
        <w:p>
          <w:pPr>
            <w:pStyle w:val="Contents1"/>
            <w:rPr/>
          </w:pPr>
          <w:hyperlink w:anchor="__RefHeading___Toc3403_68767826">
            <w:r>
              <w:rPr>
                <w:rStyle w:val="IndexLink"/>
              </w:rPr>
              <w:t>Acknowledgements</w:t>
              <w:tab/>
              <w:t>14</w:t>
            </w:r>
          </w:hyperlink>
        </w:p>
        <w:p>
          <w:pPr>
            <w:pStyle w:val="Contents1"/>
            <w:rPr/>
          </w:pPr>
          <w:hyperlink w:anchor="__RefHeading___Toc3405_68767826">
            <w:r>
              <w:rPr>
                <w:rStyle w:val="IndexLink"/>
              </w:rPr>
              <w:t>References</w:t>
              <w:tab/>
              <w:t>15</w:t>
            </w:r>
          </w:hyperlink>
        </w:p>
        <w:p>
          <w:pPr>
            <w:pStyle w:val="Contents1"/>
            <w:rPr/>
          </w:pPr>
          <w:hyperlink w:anchor="__RefHeading___Toc3407_68767826">
            <w:r>
              <w:rPr>
                <w:rStyle w:val="IndexLink"/>
              </w:rPr>
              <w:t>Figure Captions</w:t>
              <w:tab/>
              <w:t>17</w:t>
            </w:r>
          </w:hyperlink>
        </w:p>
      </w:sdtContent>
    </w:sdt>
    <w:p>
      <w:pPr>
        <w:pStyle w:val="TextBody"/>
        <w:rPr>
          <w:i/>
          <w:i/>
          <w:iCs/>
        </w:rPr>
      </w:pPr>
      <w:r>
        <w:rPr>
          <w:i/>
          <w:iCs/>
        </w:rPr>
      </w:r>
      <w:r>
        <w:rPr>
          <w:i/>
          <w:iCs/>
        </w:rPr>
        <w:fldChar w:fldCharType="end"/>
      </w:r>
    </w:p>
    <w:p>
      <w:pPr>
        <w:pStyle w:val="Heading1"/>
        <w:numPr>
          <w:ilvl w:val="0"/>
          <w:numId w:val="1"/>
        </w:numPr>
        <w:ind w:left="0" w:right="0" w:hanging="0"/>
        <w:rPr/>
      </w:pPr>
      <w:bookmarkStart w:id="0" w:name="__RefHeading___Toc1018_1496310381"/>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discuss the controversy generated by the mount.</w:t>
      </w:r>
    </w:p>
    <w:p>
      <w:pPr>
        <w:pStyle w:val="Heading2"/>
        <w:rPr/>
      </w:pPr>
      <w:bookmarkStart w:id="1" w:name="__RefHeading___Toc3323_2187837281"/>
      <w:bookmarkEnd w:id="1"/>
      <w:r>
        <w:rPr/>
        <w:t>Anatomical nomenclature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2" w:name="__RefHeading___Toc5349_68767826"/>
      <w:bookmarkEnd w:id="2"/>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MfN</w:t>
      </w:r>
      <w:r>
        <w:rPr/>
        <w:t xml:space="preserve">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3" w:name="__RefHeading___Toc4316_68767826"/>
      <w:bookmarkEnd w:id="3"/>
      <w:r>
        <w:rPr/>
        <w:t>Historical background</w:t>
      </w:r>
    </w:p>
    <w:p>
      <w:pPr>
        <w:pStyle w:val="Heading2"/>
        <w:rPr/>
      </w:pPr>
      <w:bookmarkStart w:id="4" w:name="__RefHeading___Toc12350_68767826"/>
      <w:bookmarkEnd w:id="4"/>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5" w:name="__RefHeading___Toc12352_68767826"/>
      <w:bookmarkEnd w:id="5"/>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3"/>
        </w:numPr>
        <w:ind w:left="0" w:right="0" w:hanging="0"/>
        <w:rPr/>
      </w:pPr>
      <w:bookmarkStart w:id="6" w:name="__RefHeading___Toc5351_68767826"/>
      <w:bookmarkEnd w:id="6"/>
      <w:r>
        <w:rPr/>
        <w:t xml:space="preserve">The AMNH mounted </w:t>
      </w:r>
      <w:r>
        <w:rPr>
          <w:i/>
          <w:iCs/>
        </w:rPr>
        <w:t>Barosaurus</w:t>
      </w:r>
    </w:p>
    <w:p>
      <w:pPr>
        <w:pStyle w:val="Heading2"/>
        <w:rPr/>
      </w:pPr>
      <w:bookmarkStart w:id="7" w:name="__RefHeading___Toc5354_68767826"/>
      <w:bookmarkEnd w:id="7"/>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(Figures D.A, G).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8" w:name="__RefHeading___Toc18297_68767826"/>
      <w:bookmarkEnd w:id="8"/>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highlight w:val="yellow"/>
        </w:rPr>
        <w:t>XXX Peter, do you remember what other bones were mirrored?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9" w:name="__DdeLink__20117_68767826"/>
      <w:r>
        <w:rPr/>
        <w:t>Psihoyos</w:t>
      </w:r>
      <w:bookmarkEnd w:id="9"/>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it was difficult to raise it to sufficient height to slide into its slot.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on Wednesday 4 December 1991 </w:t>
      </w:r>
      <w:r>
        <w:rPr>
          <w:highlight w:val="yellow"/>
        </w:rPr>
        <w:t xml:space="preserve">XXX Lowell or Gene, can you confirm this date? I based it on the </w:t>
      </w:r>
      <w:r>
        <w:rPr>
          <w:i/>
          <w:iCs/>
          <w:highlight w:val="yellow"/>
        </w:rPr>
        <w:t>New York Newsday</w:t>
      </w:r>
      <w:r>
        <w:rPr>
          <w:highlight w:val="yellow"/>
        </w:rPr>
        <w:t xml:space="preserve"> of Friday 29 November saying the mount “is to be unveiled Wednesday” but I’d be happier with a more solid reference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10" w:name="__RefHeading___Toc5632_2187837281"/>
      <w:bookmarkEnd w:id="10"/>
      <w:r>
        <w:rPr/>
        <w:t>Photography of the mount</w:t>
      </w:r>
    </w:p>
    <w:p>
      <w:pPr>
        <w:pStyle w:val="TextBody"/>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Quotations"/>
        <w:rPr/>
      </w:pPr>
      <w:r>
        <w:rPr/>
        <w:t>The main hall at the AMNH is huge, unevenly and dimly lit, so to get clear bright shots I placed several 2400 and 5000 watt second Comet strobe packs and bare-bulb heads around the hall, synchronizing 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1" w:name="__RefHeading___Toc5356_68767826"/>
      <w:bookmarkEnd w:id="11"/>
      <w:r>
        <w:rPr/>
        <w:t>The composition of the mount</w:t>
      </w:r>
    </w:p>
    <w:p>
      <w:pPr>
        <w:pStyle w:val="Heading3"/>
        <w:numPr>
          <w:ilvl w:val="2"/>
          <w:numId w:val="7"/>
        </w:numPr>
        <w:ind w:left="0" w:right="0" w:hanging="0"/>
        <w:rPr/>
      </w:pPr>
      <w:bookmarkStart w:id="12" w:name="__RefHeading___Toc16585_68767826"/>
      <w:bookmarkEnd w:id="12"/>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TextBody"/>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0"/>
        </w:numPr>
        <w:ind w:left="720" w:right="0" w:hanging="360"/>
        <w:rPr/>
      </w:pPr>
      <w:r>
        <w:rPr/>
        <w:t>the posterior part of the neck (cervicals 8–16)</w:t>
      </w:r>
    </w:p>
    <w:p>
      <w:pPr>
        <w:pStyle w:val="TextBody"/>
        <w:numPr>
          <w:ilvl w:val="0"/>
          <w:numId w:val="10"/>
        </w:numPr>
        <w:ind w:left="720" w:right="0" w:hanging="360"/>
        <w:rPr/>
      </w:pPr>
      <w:r>
        <w:rPr/>
        <w:t>all nine dorsal vertebrae (dorsals 1–9)</w:t>
      </w:r>
    </w:p>
    <w:p>
      <w:pPr>
        <w:pStyle w:val="TextBody"/>
        <w:numPr>
          <w:ilvl w:val="0"/>
          <w:numId w:val="10"/>
        </w:numPr>
        <w:ind w:left="720" w:right="0" w:hanging="360"/>
        <w:rPr/>
      </w:pPr>
      <w:r>
        <w:rPr/>
        <w:t>the complete sacrum (sacral vertebrae 1–5)</w:t>
      </w:r>
    </w:p>
    <w:p>
      <w:pPr>
        <w:pStyle w:val="TextBody"/>
        <w:numPr>
          <w:ilvl w:val="0"/>
          <w:numId w:val="10"/>
        </w:numPr>
        <w:ind w:left="720" w:right="0" w:hanging="360"/>
        <w:rPr/>
      </w:pPr>
      <w:r>
        <w:rPr/>
        <w:t>the anterior part of the tail (caudals 1–29)</w:t>
      </w:r>
    </w:p>
    <w:p>
      <w:pPr>
        <w:pStyle w:val="TextBody"/>
        <w:numPr>
          <w:ilvl w:val="0"/>
          <w:numId w:val="10"/>
        </w:numPr>
        <w:ind w:left="720" w:right="0" w:hanging="360"/>
        <w:rPr/>
      </w:pPr>
      <w:bookmarkStart w:id="13" w:name="__DdeLink__31298_802501007"/>
      <w:r>
        <w:rPr/>
        <w:t>six partial ribs, of which one is the first or possibly second on the left side, and another is probably its counterpart</w:t>
      </w:r>
      <w:bookmarkEnd w:id="13"/>
    </w:p>
    <w:p>
      <w:pPr>
        <w:pStyle w:val="TextBody"/>
        <w:numPr>
          <w:ilvl w:val="0"/>
          <w:numId w:val="10"/>
        </w:numPr>
        <w:ind w:left="720" w:right="0" w:hanging="360"/>
        <w:rPr/>
      </w:pPr>
      <w:r>
        <w:rPr/>
        <w:t>a single chevron, from further back than Ca13 and likely in the region Ca22–Ca28.</w:t>
      </w:r>
    </w:p>
    <w:p>
      <w:pPr>
        <w:pStyle w:val="TextBody"/>
        <w:numPr>
          <w:ilvl w:val="0"/>
          <w:numId w:val="10"/>
        </w:numPr>
        <w:ind w:left="720" w:right="0" w:hanging="360"/>
        <w:rPr/>
      </w:pPr>
      <w:r>
        <w:rPr/>
        <w:t>right (not left as in McIntosh 2005:43) scapulocoracoid, fully fused together; distal end of left scapula; left coracoid</w:t>
      </w:r>
    </w:p>
    <w:p>
      <w:pPr>
        <w:pStyle w:val="TextBody"/>
        <w:numPr>
          <w:ilvl w:val="0"/>
          <w:numId w:val="10"/>
        </w:numPr>
        <w:ind w:left="720" w:right="0" w:hanging="360"/>
        <w:rPr/>
      </w:pPr>
      <w:r>
        <w:rPr/>
        <w:t>right (not left as in McIntosh 2005:43) humerus</w:t>
      </w:r>
    </w:p>
    <w:p>
      <w:pPr>
        <w:pStyle w:val="TextBody"/>
        <w:numPr>
          <w:ilvl w:val="0"/>
          <w:numId w:val="10"/>
        </w:numPr>
        <w:ind w:left="720" w:right="0" w:hanging="360"/>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TextBody"/>
        <w:numPr>
          <w:ilvl w:val="0"/>
          <w:numId w:val="10"/>
        </w:numPr>
        <w:ind w:left="720" w:right="0" w:hanging="360"/>
        <w:rPr/>
      </w:pPr>
      <w:r>
        <w:rPr/>
        <w:t>complete right hindlimb (femur, tibia, fibula, astragalus)</w:t>
      </w:r>
    </w:p>
    <w:p>
      <w:pPr>
        <w:pStyle w:val="TextBody"/>
        <w:numPr>
          <w:ilvl w:val="0"/>
          <w:numId w:val="10"/>
        </w:numPr>
        <w:ind w:left="720" w:right="0" w:hanging="360"/>
        <w:rPr/>
      </w:pPr>
      <w:r>
        <w:rPr/>
        <w:t>elements of the right pes: metatarsals I, II and V, phalanges I-I and V-I, two 2nd phalanges, one ungual</w:t>
      </w:r>
    </w:p>
    <w:p>
      <w:pPr>
        <w:pStyle w:val="TextBody"/>
        <w:numPr>
          <w:ilvl w:val="0"/>
          <w:numId w:val="10"/>
        </w:numPr>
        <w:ind w:left="720" w:right="0" w:hanging="360"/>
        <w:rPr/>
      </w:pPr>
      <w:r>
        <w:rPr/>
        <w:t>three “ossicles” (McIntosh’s unpublished 1962 notes) — the meaning is unclear.</w:t>
      </w:r>
    </w:p>
    <w:p>
      <w:pPr>
        <w:pStyle w:val="TextBody"/>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TextBody"/>
        <w:rPr/>
      </w:pPr>
      <w:r>
        <w:rPr/>
        <w:t xml:space="preserve">This list of material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McIntosh’s unpublished 1962 notes further confirm the presence of these elements from the right side.</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cast or modelled moulds that had been made by Jim Madsen from the mounted cast of </w:t>
      </w:r>
      <w:r>
        <w:rPr>
          <w:i/>
          <w:iCs/>
        </w:rPr>
        <w:t>Diplodocus</w:t>
      </w:r>
      <w:r>
        <w:rPr/>
        <w:t xml:space="preserve"> at the Utah Field House, Vernal. </w:t>
      </w:r>
      <w:r>
        <w:rPr>
          <w:highlight w:val="yellow"/>
        </w:rPr>
        <w:t xml:space="preserve">XXX Peter, Lowell and Gene, is this correct?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 XXX When was the Vernal cast made? XXX What was in the Carnegie mount at that time? The answers to those questions may supersede some of what follows.</w:t>
      </w:r>
    </w:p>
    <w:p>
      <w:pPr>
        <w:pStyle w:val="TextBody"/>
        <w:rPr/>
      </w:pPr>
      <w:r>
        <w:rPr>
          <w:lang w:val="en-US"/>
        </w:rPr>
        <w:t>We will now consider the source of specific elements of the cast.</w:t>
      </w:r>
    </w:p>
    <w:p>
      <w:pPr>
        <w:pStyle w:val="Heading3"/>
        <w:numPr>
          <w:ilvl w:val="2"/>
          <w:numId w:val="8"/>
        </w:numPr>
        <w:ind w:left="0" w:right="0" w:hanging="0"/>
        <w:rPr/>
      </w:pPr>
      <w:bookmarkStart w:id="14" w:name="__RefHeading___Toc16587_68767826"/>
      <w:bookmarkEnd w:id="14"/>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rPr/>
      </w:pPr>
      <w:r>
        <w:rPr/>
        <w:t>XXX This bullet list also appears in the Carnegie Diplodocus paper.</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TextBody"/>
        <w:rPr/>
      </w:pPr>
      <w:r>
        <w:rPr/>
        <w:t xml:space="preserve">In the Carnegie mount, the skull was replaced in XXX year by a cast of the </w:t>
      </w:r>
      <w:r>
        <w:rPr>
          <w:i/>
          <w:iCs/>
        </w:rPr>
        <w:t>Diplodocus</w:t>
      </w:r>
      <w:r>
        <w:rPr/>
        <w:t xml:space="preserve"> sp. skull CM 11161 (Matt Lamana, pers. comm., 2022) — but this change was not been reflected in the Vernal copy of the Carnegie mount, nor therefore in the skull cast from this for the AMNH’s mounted </w:t>
      </w:r>
      <w:r>
        <w:rPr>
          <w:i/>
          <w:iCs/>
        </w:rPr>
        <w:t>Barosaurus</w:t>
      </w:r>
      <w:r>
        <w:rPr/>
        <w:t>.</w:t>
      </w:r>
    </w:p>
    <w:p>
      <w:pPr>
        <w:pStyle w:val="Heading3"/>
        <w:numPr>
          <w:ilvl w:val="2"/>
          <w:numId w:val="9"/>
        </w:numPr>
        <w:ind w:left="0" w:right="0" w:hanging="0"/>
        <w:rPr/>
      </w:pPr>
      <w:bookmarkStart w:id="15" w:name="__RefHeading___Toc16589_68767826"/>
      <w:bookmarkEnd w:id="15"/>
      <w:r>
        <w:rPr/>
        <w:t>Neck</w:t>
      </w:r>
    </w:p>
    <w:p>
      <w:pPr>
        <w:pStyle w:val="TextBody"/>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One of these is the atlas of AMNH 969, part of a specimen including a skull that is now referred to </w:t>
      </w:r>
      <w:r>
        <w:rPr>
          <w:i/>
          <w:iCs/>
        </w:rPr>
        <w:t>Galeamopus</w:t>
      </w:r>
      <w:r>
        <w:rPr/>
        <w:t xml:space="preserve"> sp. (Tschopp et al. 2015:219); and the other is the unidentified atlas 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XXX Am I missing something?</w:t>
      </w:r>
    </w:p>
    <w:p>
      <w:pPr>
        <w:pStyle w:val="Heading3"/>
        <w:numPr>
          <w:ilvl w:val="2"/>
          <w:numId w:val="2"/>
        </w:numPr>
        <w:ind w:left="0" w:right="0" w:hanging="0"/>
        <w:rPr/>
      </w:pPr>
      <w:bookmarkStart w:id="16" w:name="__RefHeading___Toc2466_2187837281"/>
      <w:bookmarkEnd w:id="16"/>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2"/>
        </w:numPr>
        <w:ind w:left="0" w:right="0" w:hanging="0"/>
        <w:rPr/>
      </w:pPr>
      <w:bookmarkStart w:id="17" w:name="__RefHeading___Toc2468_2187837281"/>
      <w:bookmarkEnd w:id="17"/>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2"/>
        </w:numPr>
        <w:ind w:left="0" w:right="0" w:hanging="0"/>
        <w:rPr/>
      </w:pPr>
      <w:bookmarkStart w:id="18" w:name="__RefHeading___Toc2470_2187837281"/>
      <w:bookmarkEnd w:id="18"/>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2"/>
        </w:numPr>
        <w:ind w:left="0" w:right="0" w:hanging="0"/>
        <w:rPr/>
      </w:pPr>
      <w:bookmarkStart w:id="19" w:name="__RefHeading___Toc2472_2187837281"/>
      <w:bookmarkEnd w:id="19"/>
      <w:r>
        <w:rPr/>
        <w:t>Hindlimbs and girdles</w:t>
      </w:r>
    </w:p>
    <w:p>
      <w:pPr>
        <w:pStyle w:val="TextBody"/>
        <w:rPr/>
      </w:pPr>
      <w:r>
        <w:rPr/>
        <w:t>XXX</w:t>
      </w:r>
    </w:p>
    <w:p>
      <w:pPr>
        <w:pStyle w:val="Heading1"/>
        <w:numPr>
          <w:ilvl w:val="0"/>
          <w:numId w:val="4"/>
        </w:numPr>
        <w:ind w:left="0" w:right="0" w:hanging="0"/>
        <w:rPr/>
      </w:pPr>
      <w:bookmarkStart w:id="20" w:name="__RefHeading___Toc3401_68767826"/>
      <w:bookmarkEnd w:id="20"/>
      <w:r>
        <w:rPr/>
        <w:t>Discussion</w:t>
      </w:r>
    </w:p>
    <w:p>
      <w:pPr>
        <w:pStyle w:val="Heading2"/>
        <w:rPr/>
      </w:pPr>
      <w:bookmarkStart w:id="21" w:name="__RefHeading___Toc2476_2187837281"/>
      <w:bookmarkEnd w:id="21"/>
      <w:r>
        <w:rPr/>
        <w:t>Rearing pose</w:t>
      </w:r>
    </w:p>
    <w:p>
      <w:pPr>
        <w:pStyle w:val="TextBody"/>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TextBody"/>
        <w:rPr/>
      </w:pPr>
      <w:r>
        <w:rPr/>
        <w:t xml:space="preserve">The unveiling of the Carnegie </w:t>
      </w:r>
      <w:r>
        <w:rPr>
          <w:i/>
          <w:iCs/>
          <w:u w:val="none"/>
        </w:rPr>
        <w:t>Diplodocus</w:t>
      </w:r>
      <w:r>
        <w:rPr/>
        <w:t xml:space="preserve"> in 1908 catalysed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TextBody"/>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TextBody"/>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TextBody"/>
        <w:rPr/>
      </w:pPr>
      <w:r>
        <w:rPr/>
        <w:t>More substantial criticisms and comments were to follow in published articles. XXXXX</w:t>
      </w:r>
    </w:p>
    <w:p>
      <w:pPr>
        <w:pStyle w:val="TextBody"/>
        <w:rPr/>
      </w:pPr>
      <w:r>
        <w:rPr/>
        <w:t>Hicks and Badeer (1992)</w:t>
      </w:r>
    </w:p>
    <w:p>
      <w:pPr>
        <w:pStyle w:val="TextBody"/>
        <w:rPr/>
      </w:pPr>
      <w:r>
        <w:rPr/>
        <w:t>Taylor (1992)</w:t>
      </w:r>
    </w:p>
    <w:p>
      <w:pPr>
        <w:pStyle w:val="TextBody"/>
        <w:rPr/>
      </w:pPr>
      <w:r>
        <w:rPr/>
        <w:t>Choy and Altmann (1992)</w:t>
      </w:r>
    </w:p>
    <w:p>
      <w:pPr>
        <w:pStyle w:val="TextBody"/>
        <w:rPr/>
      </w:pPr>
      <w:r>
        <w:rPr/>
        <w:t>Dennis (1992)</w:t>
      </w:r>
    </w:p>
    <w:p>
      <w:pPr>
        <w:pStyle w:val="TextBody"/>
        <w:rPr/>
      </w:pPr>
      <w:r>
        <w:rPr/>
        <w:t>Landry (1992)</w:t>
      </w:r>
    </w:p>
    <w:p>
      <w:pPr>
        <w:pStyle w:val="TextBody"/>
        <w:rPr/>
      </w:pPr>
      <w:r>
        <w:rPr/>
        <w:t>Badeer and Hicks (1996)</w:t>
      </w:r>
    </w:p>
    <w:p>
      <w:pPr>
        <w:pStyle w:val="TextBody"/>
        <w:rPr/>
      </w:pPr>
      <w:r>
        <w:rPr/>
        <w:t xml:space="preserve"> </w:t>
      </w:r>
      <w:r>
        <w:rPr/>
        <w:t>XXX get these in the right order, add references, see what else they cite that I have missed.</w:t>
      </w:r>
    </w:p>
    <w:p>
      <w:pPr>
        <w:pStyle w:val="TextBody"/>
        <w:pBdr>
          <w:bottom w:val="double" w:sz="6" w:space="2" w:color="000000"/>
        </w:pBdr>
        <w:rPr/>
      </w:pPr>
      <w:r>
        <w:rPr/>
        <w:t>xxx</w:t>
      </w:r>
    </w:p>
    <w:p>
      <w:pPr>
        <w:pStyle w:val="TextBody"/>
        <w:rPr/>
      </w:pPr>
      <w:r>
        <w:rPr/>
        <w:t>xxx</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See section in Taylor 2010</w:t>
      </w:r>
    </w:p>
    <w:p>
      <w:pPr>
        <w:pStyle w:val="TextBody"/>
        <w:rPr/>
      </w:pPr>
      <w:r>
        <w:rPr/>
        <w:t xml:space="preserve">XXX See </w:t>
      </w:r>
      <w:r>
        <w:fldChar w:fldCharType="begin"/>
      </w:r>
      <w:r>
        <w:rPr>
          <w:rStyle w:val="InternetLink"/>
        </w:rPr>
        <w:instrText> HYPERLINK "https://en.wikipedia.org/wiki/Sauropoda" \l "Rearing_stance"</w:instrText>
      </w:r>
      <w:r>
        <w:rPr>
          <w:rStyle w:val="InternetLink"/>
        </w:rPr>
        <w:fldChar w:fldCharType="separate"/>
      </w:r>
      <w:r>
        <w:rPr>
          <w:rStyle w:val="InternetLink"/>
        </w:rPr>
        <w:t>https://en.wikipedia.org/wiki/Sauropoda#Rearing_stance</w:t>
      </w:r>
      <w:r>
        <w:rPr>
          <w:rStyle w:val="InternetLink"/>
        </w:rPr>
        <w:fldChar w:fldCharType="end"/>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22" w:name="__RefHeading___Toc21934_68767826"/>
      <w:bookmarkEnd w:id="22"/>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4"/>
        </w:numPr>
        <w:ind w:left="0" w:right="0" w:hanging="0"/>
        <w:rPr/>
      </w:pPr>
      <w:bookmarkStart w:id="23" w:name="__RefHeading___Toc3403_68767826"/>
      <w:bookmarkEnd w:id="23"/>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Matt Lamana (Carnegie Museum) provided information about the composition of the Carnegie </w:t>
      </w:r>
      <w:r>
        <w:rPr>
          <w:i/>
          <w:iCs/>
        </w:rPr>
        <w:t>Diplodocus</w:t>
      </w:r>
      <w:r>
        <w:rPr/>
        <w:t xml:space="preserve"> mount and allowed us to cite personal communications. Lynton Gardiner allowed us to cite a personal communication. Mick Ellison (AMNH) kindly photographed the prototype model for us, having had it repaired.</w:t>
      </w:r>
    </w:p>
    <w:p>
      <w:pPr>
        <w:pStyle w:val="Heading1"/>
        <w:numPr>
          <w:ilvl w:val="0"/>
          <w:numId w:val="4"/>
        </w:numPr>
        <w:ind w:left="0" w:right="0" w:hanging="0"/>
        <w:rPr/>
      </w:pPr>
      <w:bookmarkStart w:id="24" w:name="__RefHeading___Toc3405_68767826"/>
      <w:bookmarkEnd w:id="24"/>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5" w:name="__DdeLink__2788_55120580"/>
      <w:r>
        <w:rPr>
          <w:i/>
          <w:iCs/>
        </w:rPr>
        <w:t>Proceedings of the United States National Museum</w:t>
      </w:r>
      <w:bookmarkEnd w:id="25"/>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6" w:name="__DdeLink__16582_68767826"/>
      <w:r>
        <w:rPr/>
        <w:t>Nieuwland</w:t>
      </w:r>
      <w:bookmarkEnd w:id="26"/>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27" w:name="__RefHeading___Toc3407_68767826"/>
      <w:bookmarkEnd w:id="27"/>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Quotations"/>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true"/>
        <w:bidi w:val="0"/>
        <w:spacing w:lineRule="auto" w:line="276" w:before="0" w:after="142"/>
        <w:ind w:left="283" w:right="0" w:hanging="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XXX say more, including stronger S-curve in neck. Small hands. Chicken bones. Photograph by Mick Ellison (AMNH). XXX reference this in the text.</w:t>
      </w:r>
    </w:p>
    <w:p>
      <w:pPr>
        <w:pStyle w:val="FigureCaption"/>
        <w:bidi w:val="0"/>
        <w:spacing w:before="0" w:after="142"/>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i w:val="false"/>
      <w:iCs w:val="false"/>
    </w:rPr>
  </w:style>
  <w:style w:type="character" w:styleId="ListLabel29">
    <w:name w:val="ListLabel 29"/>
    <w:qFormat/>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i w:val="false"/>
      <w:iCs w:val="false"/>
    </w:rPr>
  </w:style>
  <w:style w:type="character" w:styleId="ListLabel58">
    <w:name w:val="ListLabel 58"/>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18418</TotalTime>
  <Application>LibreOffice/6.1.3.2$MacOSX_X86_64 LibreOffice_project/86daf60bf00efa86ad547e59e09d6bb77c699acb</Application>
  <Pages>19</Pages>
  <Words>9079</Words>
  <Characters>47489</Characters>
  <CharactersWithSpaces>56306</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2022-09-05T11:27:23Z</dcterms:modified>
  <cp:revision>306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