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Division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Division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w:t>
      </w:r>
      <w:r>
        <w:rPr>
          <w:rFonts w:eastAsia="Baskerville" w:cs="Baskerville"/>
          <w:i w:val="false"/>
          <w:iCs w:val="false"/>
        </w:rPr>
        <w:t>†</w:t>
      </w:r>
      <w:r>
        <w:rPr>
          <w:i w:val="false"/>
          <w:iCs w:val="false"/>
        </w:rPr>
        <w:t xml:space="preserve">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Early discoveries</w:t>
              <w:tab/>
              <w:t>3</w:t>
            </w:r>
          </w:hyperlink>
        </w:p>
        <w:p>
          <w:pPr>
            <w:pStyle w:val="Contents2"/>
            <w:tabs>
              <w:tab w:val="clear" w:pos="9355"/>
              <w:tab w:val="right" w:pos="9638" w:leader="dot"/>
            </w:tabs>
            <w:rPr/>
          </w:pPr>
          <w:hyperlink w:anchor="__RefHeading___Toc12352_68767826">
            <w:r>
              <w:rPr>
                <w:rStyle w:val="IndexLink"/>
              </w:rPr>
              <w:t>The AMNH specimen</w:t>
              <w:tab/>
              <w:t>4</w:t>
            </w:r>
          </w:hyperlink>
        </w:p>
        <w:p>
          <w:pPr>
            <w:pStyle w:val="Contents1"/>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creation of the mount</w:t>
              <w:tab/>
              <w:t>5</w:t>
            </w:r>
          </w:hyperlink>
        </w:p>
        <w:p>
          <w:pPr>
            <w:pStyle w:val="Contents2"/>
            <w:tabs>
              <w:tab w:val="clear" w:pos="9355"/>
              <w:tab w:val="right" w:pos="9638" w:leader="dot"/>
            </w:tabs>
            <w:rPr/>
          </w:pPr>
          <w:hyperlink w:anchor="__RefHeading___Toc5356_68767826">
            <w:r>
              <w:rPr>
                <w:rStyle w:val="IndexLink"/>
              </w:rPr>
              <w:t>Composition of the mount</w:t>
              <w:tab/>
              <w:t>5</w:t>
            </w:r>
          </w:hyperlink>
        </w:p>
        <w:p>
          <w:pPr>
            <w:pStyle w:val="Contents3"/>
            <w:tabs>
              <w:tab w:val="clear" w:pos="9072"/>
              <w:tab w:val="right" w:pos="9638" w:leader="dot"/>
            </w:tabs>
            <w:rPr/>
          </w:pPr>
          <w:hyperlink w:anchor="__RefHeading___Toc16585_68767826">
            <w:r>
              <w:rPr>
                <w:rStyle w:val="IndexLink"/>
              </w:rPr>
              <w:t>Overview</w:t>
              <w:tab/>
              <w:t>5</w:t>
            </w:r>
          </w:hyperlink>
        </w:p>
        <w:p>
          <w:pPr>
            <w:pStyle w:val="Contents3"/>
            <w:tabs>
              <w:tab w:val="clear" w:pos="9072"/>
              <w:tab w:val="right" w:pos="9638" w:leader="dot"/>
            </w:tabs>
            <w:rPr/>
          </w:pPr>
          <w:hyperlink w:anchor="__RefHeading___Toc16587_68767826">
            <w:r>
              <w:rPr>
                <w:rStyle w:val="IndexLink"/>
              </w:rPr>
              <w:t>Skull</w:t>
              <w:tab/>
              <w:t>5</w:t>
            </w:r>
          </w:hyperlink>
        </w:p>
        <w:p>
          <w:pPr>
            <w:pStyle w:val="Contents3"/>
            <w:tabs>
              <w:tab w:val="clear" w:pos="9072"/>
              <w:tab w:val="right" w:pos="9638" w:leader="dot"/>
            </w:tabs>
            <w:rPr/>
          </w:pPr>
          <w:hyperlink w:anchor="__RefHeading___Toc16589_68767826">
            <w:r>
              <w:rPr>
                <w:rStyle w:val="IndexLink"/>
              </w:rPr>
              <w:t>Neck</w:t>
              <w:tab/>
              <w:t>6</w:t>
            </w:r>
          </w:hyperlink>
        </w:p>
        <w:p>
          <w:pPr>
            <w:pStyle w:val="Contents1"/>
            <w:rPr/>
          </w:pPr>
          <w:hyperlink w:anchor="__RefHeading___Toc3399_68767826">
            <w:r>
              <w:rPr>
                <w:rStyle w:val="IndexLink"/>
              </w:rPr>
              <w:t>Results</w:t>
              <w:tab/>
              <w:t>6</w:t>
            </w:r>
          </w:hyperlink>
        </w:p>
        <w:p>
          <w:pPr>
            <w:pStyle w:val="Contents2"/>
            <w:tabs>
              <w:tab w:val="clear" w:pos="9355"/>
              <w:tab w:val="right" w:pos="9638" w:leader="dot"/>
            </w:tabs>
            <w:rPr/>
          </w:pPr>
          <w:hyperlink w:anchor="__RefHeading___Toc16562_68767826">
            <w:r>
              <w:rPr>
                <w:rStyle w:val="IndexLink"/>
              </w:rPr>
              <w:t>Size of the AMNH 6341 animal</w:t>
              <w:tab/>
              <w:t>6</w:t>
            </w:r>
          </w:hyperlink>
        </w:p>
        <w:p>
          <w:pPr>
            <w:pStyle w:val="Contents1"/>
            <w:rPr/>
          </w:pPr>
          <w:hyperlink w:anchor="__RefHeading___Toc3401_68767826">
            <w:r>
              <w:rPr>
                <w:rStyle w:val="IndexLink"/>
              </w:rPr>
              <w:t>Discussion</w:t>
              <w:tab/>
              <w:t>7</w:t>
            </w:r>
          </w:hyperlink>
        </w:p>
        <w:p>
          <w:pPr>
            <w:pStyle w:val="Contents2"/>
            <w:tabs>
              <w:tab w:val="clear" w:pos="9355"/>
              <w:tab w:val="right" w:pos="9638" w:leader="dot"/>
            </w:tabs>
            <w:rPr/>
          </w:pPr>
          <w:hyperlink w:anchor="__RefHeading___Toc5358_68767826">
            <w:r>
              <w:rPr>
                <w:rStyle w:val="IndexLink"/>
              </w:rPr>
              <w:t>Rearing pose</w:t>
              <w:tab/>
              <w:t>7</w:t>
            </w:r>
          </w:hyperlink>
        </w:p>
        <w:p>
          <w:pPr>
            <w:pStyle w:val="Contents1"/>
            <w:rPr/>
          </w:pPr>
          <w:hyperlink w:anchor="__RefHeading___Toc3403_68767826">
            <w:r>
              <w:rPr>
                <w:rStyle w:val="IndexLink"/>
              </w:rPr>
              <w:t>Acknowledgements</w:t>
              <w:tab/>
              <w:t>7</w:t>
            </w:r>
          </w:hyperlink>
        </w:p>
        <w:p>
          <w:pPr>
            <w:pStyle w:val="Contents1"/>
            <w:rPr/>
          </w:pPr>
          <w:hyperlink w:anchor="__RefHeading___Toc3405_68767826">
            <w:r>
              <w:rPr>
                <w:rStyle w:val="IndexLink"/>
              </w:rPr>
              <w:t>References</w:t>
              <w:tab/>
              <w:t>8</w:t>
            </w:r>
          </w:hyperlink>
        </w:p>
        <w:p>
          <w:pPr>
            <w:pStyle w:val="Contents1"/>
            <w:rPr/>
          </w:pPr>
          <w:hyperlink w:anchor="__RefHeading___Toc3407_68767826">
            <w:r>
              <w:rPr>
                <w:rStyle w:val="IndexLink"/>
              </w:rPr>
              <w:t>Figure Captions</w:t>
              <w:tab/>
              <w:t>9</w:t>
            </w:r>
          </w:hyperlink>
          <w:r>
            <w:rPr>
              <w:rStyle w:val="IndexLink"/>
            </w:rPr>
            <w:fldChar w:fldCharType="end"/>
          </w:r>
        </w:p>
      </w:sdtContent>
    </w:sdt>
    <w:p>
      <w:pPr>
        <w:pStyle w:val="TextBody"/>
        <w:spacing w:lineRule="auto" w:line="276" w:before="0" w:after="140"/>
        <w:rPr/>
      </w:pPr>
      <w:r>
        <w:rPr/>
      </w:r>
    </w:p>
    <w:p>
      <w:pPr>
        <w:pStyle w:val="Heading1"/>
        <w:numPr>
          <w:ilvl w:val="0"/>
          <w:numId w:val="2"/>
        </w:numPr>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Early discoveries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The AMNH specimen</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creation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 xml:space="preserve">The iconoclastic palaeontogist Robert T. Bakker had in 1971 included </w:t>
      </w:r>
      <w:r>
        <w:rPr/>
        <w:t xml:space="preserve">a skeletal reconstruction </w:t>
      </w:r>
      <w:r>
        <w:rPr/>
        <w:t xml:space="preserve">of </w:t>
      </w:r>
      <w:r>
        <w:rPr/>
        <w:t xml:space="preserve">a </w:t>
      </w:r>
      <w:r>
        <w:rPr/>
        <w:t xml:space="preserve">rearing </w:t>
      </w:r>
      <w:r>
        <w:rPr>
          <w:i/>
          <w:iCs/>
        </w:rPr>
        <w:t>Apatosaurus</w:t>
      </w:r>
      <w:r>
        <w:rPr/>
        <w:t xml:space="preserve"> </w:t>
      </w:r>
      <w:r>
        <w:rPr/>
        <w:t xml:space="preserve">in </w:t>
      </w:r>
      <w:r>
        <w:rPr/>
        <w:t xml:space="preserve">an entry in </w:t>
      </w:r>
      <w:r>
        <w:rPr/>
        <w:t xml:space="preserve">the </w:t>
      </w:r>
      <w:r>
        <w:rPr>
          <w:i/>
          <w:iCs/>
        </w:rPr>
        <w:t>McGraw-Hill Yearbook of Science and Technology</w:t>
      </w:r>
      <w:r>
        <w:rPr/>
        <w:t xml:space="preserve"> </w:t>
      </w:r>
      <w:r>
        <w:rPr/>
        <w:t>(Bakker 1971:figure 7f)</w:t>
      </w:r>
      <w:r>
        <w:rPr/>
        <w:t>. Th</w:t>
      </w:r>
      <w:r>
        <w:rPr/>
        <w:t>is</w:t>
      </w:r>
      <w:r>
        <w:rPr/>
        <w:t xml:space="preserve"> w</w:t>
      </w:r>
      <w:r>
        <w:rPr/>
        <w:t>as</w:t>
      </w:r>
      <w:r>
        <w:rPr/>
        <w:t xml:space="preserve"> provocative to the palaeoartist Gregory S. Paul, who incorporated the idea in his painting </w:t>
      </w:r>
      <w:r>
        <w:rPr>
          <w:i/>
          <w:iCs/>
        </w:rPr>
        <w:t>Ambush at Como Creek</w:t>
      </w:r>
      <w:r>
        <w:rPr/>
        <w:t xml:space="preserve"> in the late 1970s or early 1980s.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XXX Gaffney inspired by this</w:t>
      </w:r>
    </w:p>
    <w:p>
      <w:pPr>
        <w:pStyle w:val="TextBody"/>
        <w:rPr/>
      </w:pPr>
      <w:r>
        <w:rPr/>
        <w:t>XXX Lowell Dingus, then project director of the fossil halls renovation project ...</w:t>
      </w:r>
    </w:p>
    <w:p>
      <w:pPr>
        <w:pStyle w:val="TextBody"/>
        <w:rPr/>
      </w:pPr>
      <w:r>
        <w:rPr/>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TextBody"/>
        <w:rPr/>
      </w:pPr>
      <w:r>
        <w:rPr/>
        <w:t xml:space="preserve">— </w:t>
      </w:r>
      <w:r>
        <w:rPr/>
        <w:t>John Gurche painting</w:t>
      </w:r>
    </w:p>
    <w:p>
      <w:pPr>
        <w:pStyle w:val="Heading2"/>
        <w:rPr/>
      </w:pPr>
      <w:bookmarkStart w:id="7" w:name="__RefHeading___Toc5356_68767826"/>
      <w:bookmarkEnd w:id="7"/>
      <w:r>
        <w:rPr/>
        <w:t>Composition of the mount</w:t>
      </w:r>
    </w:p>
    <w:p>
      <w:pPr>
        <w:pStyle w:val="Heading3"/>
        <w:numPr>
          <w:ilvl w:val="2"/>
          <w:numId w:val="7"/>
        </w:numPr>
        <w:ind w:left="0" w:right="0" w:hanging="0"/>
        <w:rPr/>
      </w:pPr>
      <w:bookmarkStart w:id="8" w:name="__RefHeading___Toc16585_68767826"/>
      <w:bookmarkEnd w:id="8"/>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 xml:space="preserve">There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numPr>
          <w:ilvl w:val="2"/>
          <w:numId w:val="8"/>
        </w:numPr>
        <w:ind w:left="0" w:right="0" w:hanging="0"/>
        <w:rPr/>
      </w:pPr>
      <w:bookmarkStart w:id="9" w:name="__RefHeading___Toc16587_68767826"/>
      <w:bookmarkEnd w:id="9"/>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0" w:name="__RefHeading___Toc16589_68767826"/>
      <w:bookmarkEnd w:id="10"/>
      <w:r>
        <w:rPr/>
        <w:t>Neck</w:t>
      </w:r>
    </w:p>
    <w:p>
      <w:pPr>
        <w:pStyle w:val="TextBody"/>
        <w:rPr/>
      </w:pPr>
      <w:r>
        <w:rPr/>
        <w:t xml:space="preserve">Whether or not there may at some point have been a tenth, at present AMNH 6341 preserves the last nine cervical vertebrae. McIntosh (2005:45) considered thers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Heading1"/>
        <w:numPr>
          <w:ilvl w:val="0"/>
          <w:numId w:val="4"/>
        </w:numPr>
        <w:ind w:left="0" w:right="0" w:hanging="0"/>
        <w:rPr/>
      </w:pPr>
      <w:bookmarkStart w:id="11" w:name="__RefHeading___Toc3399_68767826"/>
      <w:bookmarkEnd w:id="11"/>
      <w:r>
        <w:rPr/>
        <w:t>Results</w:t>
      </w:r>
    </w:p>
    <w:p>
      <w:pPr>
        <w:pStyle w:val="Heading2"/>
        <w:rPr/>
      </w:pPr>
      <w:bookmarkStart w:id="12" w:name="__RefHeading___Toc16562_68767826"/>
      <w:bookmarkEnd w:id="1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4"/>
        </w:numPr>
        <w:ind w:left="0" w:right="0" w:hanging="0"/>
        <w:rPr/>
      </w:pPr>
      <w:bookmarkStart w:id="13" w:name="__RefHeading___Toc3401_68767826"/>
      <w:bookmarkEnd w:id="13"/>
      <w:r>
        <w:rPr/>
        <w:t>Discussion</w:t>
      </w:r>
    </w:p>
    <w:p>
      <w:pPr>
        <w:pStyle w:val="Heading2"/>
        <w:rPr/>
      </w:pPr>
      <w:bookmarkStart w:id="14" w:name="__RefHeading___Toc5358_68767826"/>
      <w:bookmarkEnd w:id="14"/>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for allowing us to use his </w:t>
      </w:r>
      <w:r>
        <w:rPr>
          <w:i/>
          <w:iCs/>
        </w:rPr>
        <w:t>Barosaurus lentus</w:t>
      </w:r>
      <w:r>
        <w:rPr/>
        <w:t xml:space="preserve"> skeletal reconstruction and to Gregory S. Paul for permission to reproduce his artwork </w:t>
      </w:r>
      <w:r>
        <w:rPr>
          <w:i/>
          <w:iCs/>
        </w:rPr>
        <w:t>Ambush at Como Creek</w:t>
      </w:r>
      <w:r>
        <w:rPr/>
        <w:t>. Gregory S. Paul also allowed us to quote personal communications.</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1971. Brontosaurs. pp. 178-181 in: </w:t>
      </w:r>
      <w:r>
        <w:rPr>
          <w:i/>
          <w:iCs/>
        </w:rPr>
        <w:t>McGraw-Hill Yearbook of Science and Technology</w:t>
      </w:r>
      <w:r>
        <w:rPr/>
        <w:t xml:space="preserve">, 1971. </w:t>
      </w:r>
      <w:r>
        <w:rPr/>
        <w:t>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Cranium to rear, mandible to the front, both in left dorsolateral view.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 taken during or shortly after the renovations. The focus is the mounted skeleton of </w:t>
      </w:r>
      <w:r>
        <w:rPr>
          <w:i/>
          <w:iCs/>
        </w:rPr>
        <w:t>Brontosaurus</w:t>
      </w:r>
      <w:r>
        <w:rPr/>
        <w:t xml:space="preserve"> (now thought to be </w:t>
      </w:r>
      <w:r>
        <w:rPr>
          <w:i/>
          <w:iCs/>
        </w:rPr>
        <w:t>Apatosaurus</w:t>
      </w:r>
      <w:r>
        <w:rPr/>
        <w:t xml:space="preserve">), but in cabinets behind it the presacral vertebrae of </w:t>
      </w:r>
      <w:r>
        <w:rPr>
          <w:i/>
          <w:iCs/>
        </w:rPr>
        <w:t>Barosaurus</w:t>
      </w:r>
      <w:r>
        <w:rPr/>
        <w:t xml:space="preserve"> AMNH 6341 can be seen in right lateral view. Photograph 315932 in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16088</TotalTime>
  <Application>LibreOffice/7.2.5.2$Linux_X86_64 LibreOffice_project/20$Build-2</Application>
  <AppVersion>15.0000</AppVersion>
  <Pages>10</Pages>
  <Words>4614</Words>
  <Characters>24475</Characters>
  <CharactersWithSpaces>28927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2022-03-17T15:18:59Z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file>