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tabs>
          <w:tab w:val="right" w:pos="9638" w:leader="dot"/>
        </w:tabs>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21934_68767826">
        <w:r>
          <w:rPr>
            <w:rStyle w:val="IndexLink"/>
          </w:rPr>
          <w:t>Size of the AMNH 6341 animal</w:t>
          <w:tab/>
          <w:t>9</w:t>
        </w:r>
      </w:hyperlink>
    </w:p>
    <w:p>
      <w:pPr>
        <w:pStyle w:val="Contents2"/>
        <w:tabs>
          <w:tab w:val="clear" w:pos="9355"/>
          <w:tab w:val="right" w:pos="9638" w:leader="dot"/>
        </w:tabs>
        <w:rPr/>
      </w:pPr>
      <w:hyperlink w:anchor="__RefHeading___Toc5358_68767826">
        <w:r>
          <w:rPr>
            <w:rStyle w:val="IndexLink"/>
          </w:rPr>
          <w:t xml:space="preserve">Comparison with </w:t>
        </w:r>
        <w:r>
          <w:rPr>
            <w:rStyle w:val="IndexLink"/>
            <w:i/>
            <w:iCs/>
          </w:rPr>
          <w:t>Diplodocus</w:t>
        </w:r>
        <w:r>
          <w:rPr>
            <w:rStyle w:val="IndexLink"/>
          </w:rPr>
          <w:t>.</w:t>
          <w:tab/>
          <w:t>10</w:t>
        </w:r>
      </w:hyperlink>
    </w:p>
    <w:p>
      <w:pPr>
        <w:pStyle w:val="Contents2"/>
        <w:tabs>
          <w:tab w:val="clear" w:pos="9355"/>
          <w:tab w:val="right" w:pos="9638" w:leader="dot"/>
        </w:tabs>
        <w:rPr/>
      </w:pPr>
      <w:hyperlink w:anchor="__RefHeading___Toc21936_68767826">
        <w:r>
          <w:rPr>
            <w:rStyle w:val="IndexLink"/>
          </w:rPr>
          <w:t>Rearing pose</w:t>
          <w:tab/>
          <w:t>10</w:t>
        </w:r>
      </w:hyperlink>
    </w:p>
    <w:p>
      <w:pPr>
        <w:pStyle w:val="Contents1"/>
        <w:tabs>
          <w:tab w:val="right" w:pos="9638" w:leader="dot"/>
        </w:tabs>
        <w:rPr/>
      </w:pPr>
      <w:hyperlink w:anchor="__RefHeading___Toc3403_68767826">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13</w:t>
        </w:r>
      </w:hyperlink>
    </w:p>
    <w:p>
      <w:pPr>
        <w:pStyle w:val="TextBody"/>
        <w:rPr/>
      </w:pPr>
      <w:r>
        <w:rPr/>
      </w:r>
      <w:r>
        <w:rPr/>
        <w:fldChar w:fldCharType="end"/>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w:t>
      </w:r>
      <w:r>
        <w:rPr/>
        <w:t>A</w:t>
      </w:r>
      <w:r>
        <w:rPr/>
        <w:t xml:space="preserve">).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they did not specify which elements were included in that missing fifth, nor which specific other skeletons the replacements were based on. </w:t>
      </w:r>
      <w:r>
        <w:rPr/>
        <w:t>A certain amount of detective work is therefore required.</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w:t>
      </w:r>
      <w:r>
        <w:rPr/>
        <w:t xml:space="preserve">seems to have </w:t>
      </w:r>
      <w:r>
        <w:rPr/>
        <w:t xml:space="preserve">been lost or destroyed, as both </w:t>
      </w:r>
      <w:r>
        <w:rPr/>
        <w:t xml:space="preserve">the </w:t>
      </w:r>
      <w:r>
        <w:rPr/>
        <w:t xml:space="preserve">written account </w:t>
      </w:r>
      <w:r>
        <w:rPr/>
        <w:t xml:space="preserve">of </w:t>
      </w:r>
      <w:r>
        <w:rPr/>
        <w:t xml:space="preserve">McIntosh </w:t>
      </w:r>
      <w:r>
        <w:rPr/>
        <w:t>(</w:t>
      </w:r>
      <w:r>
        <w:rPr/>
        <w:t xml:space="preserve">2005) and the present fossil display at the AMNH include only nine cervical vertebrae, C8–16. </w:t>
      </w:r>
      <w:r>
        <w:rPr/>
        <w:t>Carl Mehling (pers. comm.)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 xml:space="preserve">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w:t>
      </w:r>
      <w:r>
        <w:rPr/>
        <w:t>aside</w:t>
      </w:r>
      <w:r>
        <w:rPr/>
        <w:t xml:space="preserve"> from Brown’s statement that “the last ten cervical vertebrae” (not just the last nine) were at that time present. </w:t>
      </w:r>
      <w:r>
        <w:rPr/>
        <w:t xml:space="preserve">But while both Brown and McIntosh state that the left scapulocoracoid and humerus are present, the elements that was on display in 1939 (Figure D.B) is clearly a complete and well preserved </w:t>
      </w:r>
      <w:r>
        <w:rPr>
          <w:i/>
          <w:iCs/>
        </w:rPr>
        <w:t>right</w:t>
      </w:r>
      <w:r>
        <w:rPr/>
        <w:t xml:space="preserve"> scapulocoracoid, based on the location of the glenoid fossa in combination with the curvature of the shaft — not “part of the right scapula” as reporting by McIntosh. Similarly the humerus that was on display in 1939 is the right, not the left, based on the shape of the proximal end and the anterior projections at the distal end. It is possible that Brown carelessly misidentified the elements in his letter and McIntosh transcribed the error. Unfortunately, these two errors in McIntosh’s (2005:43) account of the preserved material must cast doubt on the accuracy of other catalogued elements.</w:t>
      </w:r>
    </w:p>
    <w:p>
      <w:pPr>
        <w:pStyle w:val="TextBody"/>
        <w:rPr/>
      </w:pPr>
      <w:r>
        <w:rPr/>
        <w:t xml:space="preserve">In preparing the mounted skeleton, the missing elements were cast or modelled from specimens of </w:t>
      </w:r>
      <w:r>
        <w:rPr>
          <w:i/>
          <w:iCs/>
        </w:rPr>
        <w:t>Diplodocus</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CM 84, the specimen from which the Carnegie mount is mostly assembled, </w:t>
      </w:r>
      <w:r>
        <w:rPr/>
        <w:t>does not include a skull</w:t>
      </w:r>
      <w:r>
        <w:rPr/>
        <w:t xml:space="preserve">.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w:t>
      </w:r>
      <w:r>
        <w:rPr/>
        <w:t>a 1991 photograph (</w:t>
      </w:r>
      <w:r>
        <w:rPr/>
        <w:t>Figure C</w:t>
      </w:r>
      <w:r>
        <w:rPr/>
        <w:t>)</w:t>
      </w:r>
      <w:r>
        <w:rPr/>
        <w:t xml:space="preserve">.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Whether or not there may at some point have been a tenth, at present AMNH 6341 preserves the last nine cervical vertebrae. McIntosh (2005:45) considered thes</w:t>
      </w:r>
      <w:r>
        <w:rPr/>
        <w:t>e</w:t>
      </w:r>
      <w:r>
        <w:rPr/>
        <w:t xml:space="preserv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TextBody"/>
        <w:rPr/>
      </w:pPr>
      <w:r>
        <w:rPr/>
        <w:t>XXX Reference Figure B, with elements greyed out.</w:t>
      </w:r>
    </w:p>
    <w:p>
      <w:pPr>
        <w:pStyle w:val="Heading1"/>
        <w:numPr>
          <w:ilvl w:val="0"/>
          <w:numId w:val="4"/>
        </w:numPr>
        <w:ind w:left="0" w:right="0" w:hanging="0"/>
        <w:rPr/>
      </w:pPr>
      <w:bookmarkStart w:id="13" w:name="__RefHeading___Toc3401_68767826"/>
      <w:bookmarkEnd w:id="13"/>
      <w:r>
        <w:rPr/>
        <w:t>Discussion</w:t>
      </w:r>
    </w:p>
    <w:p>
      <w:pPr>
        <w:pStyle w:val="Heading2"/>
        <w:rPr/>
      </w:pPr>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14" w:name="__RefHeading___Toc21934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w:t>
      </w:r>
      <w:r>
        <w:rPr/>
        <w:t xml:space="preserve">(University of Wisconsin-Madison) </w:t>
      </w:r>
      <w:r>
        <w:rPr/>
        <w:t xml:space="preserve">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w:t>
      </w:r>
      <w:r>
        <w:rPr/>
        <w:t xml:space="preserve">Carl Mehling (AMNH) searched collections for the missing C7 and allowed us to cite a personal communication. </w:t>
      </w:r>
      <w:r>
        <w:rPr/>
        <w:t>Amelia Zietlow (Richard Gilder Graduate School at the AMNH) provided helpful photographs and information about the present public exhibits.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w:t>
      </w:r>
      <w:r>
        <w:rPr>
          <w:b w:val="false"/>
          <w:bCs w:val="false"/>
        </w:rPr>
        <w:t>2012.</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w:t>
      </w:r>
      <w:r>
        <w:rPr/>
        <w:t>photographed in 1991: c</w:t>
      </w:r>
      <w:r>
        <w:rPr/>
        <w:t xml:space="preserve">ranium to rear, mandible to the front, both in left dorsolateral view. </w:t>
      </w:r>
      <w:r>
        <w:rPr/>
        <w:t xml:space="preserve">This skull was </w:t>
      </w:r>
      <w:r>
        <w:rPr/>
        <w:t xml:space="preserve">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The Jurassic Hall in April 1939, photograph</w:t>
      </w:r>
      <w:r>
        <w:rPr/>
        <w:t>s</w:t>
      </w:r>
      <w:r>
        <w:rPr/>
        <w:t xml:space="preserve"> taken during or shortly after the renovations. </w:t>
      </w:r>
      <w:r>
        <w:rPr>
          <w:b/>
          <w:bCs/>
        </w:rPr>
        <w:t>A.</w:t>
      </w:r>
      <w:r>
        <w:rPr/>
        <w:t xml:space="preserve"> T</w:t>
      </w:r>
      <w:r>
        <w:rPr/>
        <w:t xml:space="preserve">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w:t>
      </w:r>
      <w:r>
        <w:rPr/>
        <w:t xml:space="preserve">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w:t>
      </w:r>
      <w:r>
        <w:rPr/>
        <w:t xml:space="preserve"> </w:t>
      </w:r>
      <w:r>
        <w:rPr/>
        <w:t>p</w:t>
      </w:r>
      <w:r>
        <w:rPr/>
        <w:t>hotograph</w:t>
      </w:r>
      <w:r>
        <w:rPr/>
        <w:t>s</w:t>
      </w:r>
      <w:r>
        <w:rPr/>
        <w:t xml:space="preserve"> 315932 </w:t>
      </w:r>
      <w:r>
        <w:rPr/>
        <w:t xml:space="preserve">(part A) and 315930 (part B) from </w:t>
      </w:r>
      <w:r>
        <w:rPr/>
        <w:t>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16639</TotalTime>
  <Application>LibreOffice/6.1.3.2$MacOSX_X86_64 LibreOffice_project/86daf60bf00efa86ad547e59e09d6bb77c699acb</Application>
  <Pages>14</Pages>
  <Words>6708</Words>
  <Characters>35139</Characters>
  <CharactersWithSpaces>41670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2022-03-22T23:09:39Z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