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Division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Division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3"/>
            <w:tabs>
              <w:tab w:val="clear" w:pos="9072"/>
              <w:tab w:val="right" w:pos="9638" w:leader="dot"/>
            </w:tabs>
            <w:rPr/>
          </w:pPr>
          <w:hyperlink w:anchor="__RefHeading___Toc16585_68767826">
            <w:r>
              <w:rPr>
                <w:rStyle w:val="IndexLink"/>
              </w:rPr>
              <w:t>Overview</w:t>
              <w:tab/>
              <w:t>5</w:t>
            </w:r>
          </w:hyperlink>
        </w:p>
        <w:p>
          <w:pPr>
            <w:pStyle w:val="Contents3"/>
            <w:tabs>
              <w:tab w:val="clear" w:pos="9072"/>
              <w:tab w:val="right" w:pos="9638" w:leader="dot"/>
            </w:tabs>
            <w:rPr/>
          </w:pPr>
          <w:hyperlink w:anchor="__RefHeading___Toc16587_68767826">
            <w:r>
              <w:rPr>
                <w:rStyle w:val="IndexLink"/>
              </w:rPr>
              <w:t>Skull</w:t>
              <w:tab/>
              <w:t>5</w:t>
            </w:r>
          </w:hyperlink>
        </w:p>
        <w:p>
          <w:pPr>
            <w:pStyle w:val="Contents3"/>
            <w:tabs>
              <w:tab w:val="clear" w:pos="9072"/>
              <w:tab w:val="right" w:pos="9638" w:leader="dot"/>
            </w:tabs>
            <w:rPr/>
          </w:pPr>
          <w:hyperlink w:anchor="__RefHeading___Toc16589_68767826">
            <w:r>
              <w:rPr>
                <w:rStyle w:val="IndexLink"/>
              </w:rPr>
              <w:t>Neck</w:t>
              <w:tab/>
              <w:t>6</w:t>
            </w:r>
          </w:hyperlink>
        </w:p>
        <w:p>
          <w:pPr>
            <w:pStyle w:val="Contents1"/>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16562_68767826">
            <w:r>
              <w:rPr>
                <w:rStyle w:val="IndexLink"/>
              </w:rPr>
              <w:t>Size of the AMNH 6341 animal</w:t>
              <w:tab/>
              <w:t>6</w:t>
            </w:r>
          </w:hyperlink>
        </w:p>
        <w:p>
          <w:pPr>
            <w:pStyle w:val="Contents1"/>
            <w:rPr/>
          </w:pPr>
          <w:hyperlink w:anchor="__RefHeading___Toc3401_68767826">
            <w:r>
              <w:rPr>
                <w:rStyle w:val="IndexLink"/>
              </w:rPr>
              <w:t>Discussion</w:t>
              <w:tab/>
              <w:t>7</w:t>
            </w:r>
          </w:hyperlink>
        </w:p>
        <w:p>
          <w:pPr>
            <w:pStyle w:val="Contents2"/>
            <w:tabs>
              <w:tab w:val="clear" w:pos="9355"/>
              <w:tab w:val="right" w:pos="9638" w:leader="dot"/>
            </w:tabs>
            <w:rPr/>
          </w:pPr>
          <w:hyperlink w:anchor="__RefHeading___Toc5358_68767826">
            <w:r>
              <w:rPr>
                <w:rStyle w:val="IndexLink"/>
              </w:rPr>
              <w:t>Rearing pose</w:t>
              <w:tab/>
              <w:t>7</w:t>
            </w:r>
          </w:hyperlink>
        </w:p>
        <w:p>
          <w:pPr>
            <w:pStyle w:val="Contents1"/>
            <w:rPr/>
          </w:pPr>
          <w:hyperlink w:anchor="__RefHeading___Toc3403_68767826">
            <w:r>
              <w:rPr>
                <w:rStyle w:val="IndexLink"/>
              </w:rPr>
              <w:t>Acknowledgements</w:t>
              <w:tab/>
              <w:t>7</w:t>
            </w:r>
          </w:hyperlink>
        </w:p>
        <w:p>
          <w:pPr>
            <w:pStyle w:val="Contents1"/>
            <w:rPr/>
          </w:pPr>
          <w:hyperlink w:anchor="__RefHeading___Toc3405_68767826">
            <w:r>
              <w:rPr>
                <w:rStyle w:val="IndexLink"/>
              </w:rPr>
              <w:t>References</w:t>
              <w:tab/>
              <w:t>8</w:t>
            </w:r>
          </w:hyperlink>
        </w:p>
        <w:p>
          <w:pPr>
            <w:pStyle w:val="Contents1"/>
            <w:rPr/>
          </w:pPr>
          <w:hyperlink w:anchor="__RefHeading___Toc3407_68767826">
            <w:r>
              <w:rPr>
                <w:rStyle w:val="IndexLink"/>
              </w:rPr>
              <w:t>Figure Captions</w:t>
              <w:tab/>
              <w:t>9</w:t>
            </w:r>
          </w:hyperlink>
        </w:p>
      </w:sdtContent>
    </w:sdt>
    <w:p>
      <w:pPr>
        <w:pStyle w:val="TextBody"/>
        <w:spacing w:lineRule="auto" w:line="276" w:before="0" w:after="140"/>
        <w:rPr/>
      </w:pPr>
      <w:r>
        <w:rPr/>
      </w:r>
      <w:r>
        <w:rPr/>
        <w:fldChar w:fldCharType="end"/>
      </w:r>
    </w:p>
    <w:p>
      <w:pPr>
        <w:pStyle w:val="Heading1"/>
        <w:numPr>
          <w:ilvl w:val="0"/>
          <w:numId w:val="2"/>
        </w:numPr>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w:t>
      </w:r>
      <w:r>
        <w:rPr/>
        <w:t xml:space="preserve">plans were </w:t>
      </w:r>
      <w:r>
        <w:rPr/>
        <w:t>made</w:t>
      </w:r>
      <w:r>
        <w:rPr/>
        <w:t xml:space="preserve"> </w:t>
      </w:r>
      <w:r>
        <w:rPr/>
        <w:t xml:space="preserve">in the </w:t>
      </w:r>
      <w:r>
        <w:rPr/>
        <w:t xml:space="preserve">to mount </w:t>
      </w:r>
      <w:r>
        <w:rPr/>
        <w:t xml:space="preserve">the </w:t>
      </w:r>
      <w:r>
        <w:rPr>
          <w:i/>
          <w:iCs/>
        </w:rPr>
        <w:t>Barosaurus</w:t>
      </w:r>
      <w:r>
        <w:rPr/>
        <w:t xml:space="preserve"> skeleton in the dinosaur gallery</w:t>
      </w:r>
      <w:r>
        <w:rPr/>
        <w:t xml:space="preserve">, but </w:t>
      </w:r>
      <w:r>
        <w:rPr/>
        <w:t>it was felt that the mount would take up too much space and these plans were abandoned</w:t>
      </w:r>
      <w:r>
        <w:rPr/>
        <w:t xml:space="preserve">. </w:t>
      </w:r>
      <w:r>
        <w:rPr/>
        <w:t xml:space="preserve">Instead, the entire specimen was moved into collections. </w:t>
      </w:r>
      <w:r>
        <w:rPr/>
        <w:t xml:space="preserve">Four more decades were to pass before the skeleton (or at least a cast based on it) was </w:t>
      </w:r>
      <w:r>
        <w:rPr/>
        <w:t>finally</w:t>
      </w:r>
      <w:r>
        <w:rPr/>
        <w:t xml:space="preserve">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w:t>
      </w:r>
      <w:r>
        <w:rPr/>
        <w:t xml:space="preserve">is </w:t>
      </w:r>
      <w:r>
        <w:rPr/>
        <w:t xml:space="preserve">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w:t>
      </w:r>
      <w:r>
        <w:rPr/>
        <w:t>that could introduce new visitors to dinosaurs, draw them in to the main galleries, and provoke them to think about paleobiological issues.</w:t>
      </w:r>
    </w:p>
    <w:p>
      <w:pPr>
        <w:pStyle w:val="TextBody"/>
        <w:rPr/>
      </w:pPr>
      <w:r>
        <w:rPr/>
        <w:t xml:space="preserve">The iconoclastic palaeontogist Robert T. Bakker had in 1971 included drawings of rearing sauropods in his entry on “Brontosaurs” in the McGraw Hill Yearbook of Science and Technology. These were provocative to the palaeoartist Gregory S. Paul, who incorporated the idea in his painting </w:t>
      </w:r>
      <w:r>
        <w:rPr>
          <w:i/>
          <w:iCs/>
        </w:rPr>
        <w:t>Ambush at Como Creek</w:t>
      </w:r>
      <w:r>
        <w:rPr/>
        <w:t xml:space="preserve"> in the late 1970s or early 1980s.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XXX Gaffney inspired by this</w:t>
      </w:r>
    </w:p>
    <w:p>
      <w:pPr>
        <w:pStyle w:val="TextBody"/>
        <w:rPr/>
      </w:pPr>
      <w:r>
        <w:rPr/>
        <w:t xml:space="preserve">XXX </w:t>
      </w:r>
      <w:r>
        <w:rPr/>
        <w:t xml:space="preserve">Lowell Dingus, then </w:t>
      </w:r>
      <w:r>
        <w:rPr/>
        <w:t>project director of the fossil halls renovation project ...</w:t>
      </w:r>
    </w:p>
    <w:p>
      <w:pPr>
        <w:pStyle w:val="TextBody"/>
        <w:rPr/>
      </w:pPr>
      <w:r>
        <w:rPr/>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Heading3"/>
        <w:numPr>
          <w:ilvl w:val="2"/>
          <w:numId w:val="7"/>
        </w:numPr>
        <w:ind w:left="0" w:right="0" w:hanging="0"/>
        <w:rPr/>
      </w:pPr>
      <w:bookmarkStart w:id="8" w:name="__RefHeading___Toc16585_68767826"/>
      <w:bookmarkEnd w:id="8"/>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These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9" w:name="__RefHeading___Toc16587_68767826"/>
      <w:bookmarkEnd w:id="9"/>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0" w:name="__RefHeading___Toc16589_68767826"/>
      <w:bookmarkEnd w:id="10"/>
      <w:r>
        <w:rPr/>
        <w:t>Neck</w:t>
      </w:r>
    </w:p>
    <w:p>
      <w:pPr>
        <w:pStyle w:val="TextBody"/>
        <w:rPr/>
      </w:pPr>
      <w:r>
        <w:rPr/>
        <w:t>Whether or not there may at some point have been a tenth, at present AMNH 6341 preserves the last nine cervical vertebrae. McIntosh (2005:45) considered ther</w:t>
      </w:r>
      <w:r>
        <w:rPr/>
        <w:t>s</w:t>
      </w:r>
      <w:r>
        <w:rPr/>
        <w:t xml:space="preserve">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1" w:name="__RefHeading___Toc3399_68767826"/>
      <w:bookmarkEnd w:id="11"/>
      <w:r>
        <w:rPr/>
        <w:t>Results</w:t>
      </w:r>
    </w:p>
    <w:p>
      <w:pPr>
        <w:pStyle w:val="Heading2"/>
        <w:rPr/>
      </w:pPr>
      <w:bookmarkStart w:id="12" w:name="__RefHeading___Toc16562_68767826"/>
      <w:bookmarkEnd w:id="1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3" w:name="__RefHeading___Toc3401_68767826"/>
      <w:bookmarkEnd w:id="13"/>
      <w:r>
        <w:rPr/>
        <w:t>Discussion</w:t>
      </w:r>
    </w:p>
    <w:p>
      <w:pPr>
        <w:pStyle w:val="Heading2"/>
        <w:rPr/>
      </w:pPr>
      <w:bookmarkStart w:id="14" w:name="__RefHeading___Toc5358_68767826"/>
      <w:bookmarkEnd w:id="14"/>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XXX something in Riggs</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 </w:t>
      </w:r>
      <w:r>
        <w:rPr/>
        <w:t xml:space="preserve">and to Gregory S. Paul for permission to reproduce his artwork </w:t>
      </w:r>
      <w:r>
        <w:rPr>
          <w:i/>
          <w:iCs/>
        </w:rPr>
        <w:t>Ambush at Como Creek</w:t>
      </w:r>
      <w:r>
        <w:rPr/>
        <w:t>.</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w:t>
      </w:r>
      <w:r>
        <w:rPr/>
        <w:t>4</w:t>
      </w:r>
      <w:r>
        <w:rPr/>
        <w:t xml:space="preserve">–49 </w:t>
      </w:r>
      <w:r>
        <w:rPr/>
        <w:t>in</w:t>
      </w:r>
      <w:r>
        <w:rPr/>
        <w:t xml:space="preserve">: </w:t>
      </w:r>
      <w:r>
        <w:rPr/>
        <w:t xml:space="preserve">Sylvia J. </w:t>
      </w:r>
      <w:r>
        <w:rPr/>
        <w:t xml:space="preserve">Czerkas and </w:t>
      </w:r>
      <w:r>
        <w:rPr/>
        <w:t xml:space="preserve">Everett C. </w:t>
      </w:r>
      <w:r>
        <w:rPr/>
        <w:t xml:space="preserve">Olson </w:t>
      </w:r>
      <w:r>
        <w:rPr/>
        <w:t>(e</w:t>
      </w:r>
      <w:r>
        <w:rPr/>
        <w:t>ds.</w:t>
      </w:r>
      <w:r>
        <w:rPr/>
        <w:t>)</w:t>
      </w:r>
      <w:r>
        <w:rPr/>
        <w:t xml:space="preserve">, </w:t>
      </w:r>
      <w:r>
        <w:rPr>
          <w:i/>
          <w:iCs/>
        </w:rPr>
        <w:t>Dinosaurs Past and Present, Vol</w:t>
      </w:r>
      <w:r>
        <w:rPr>
          <w:i/>
          <w:iCs/>
        </w:rPr>
        <w:t>ume</w:t>
      </w:r>
      <w:r>
        <w:rPr>
          <w:i/>
          <w:iCs/>
        </w:rPr>
        <w:t xml:space="preserve"> II</w:t>
      </w:r>
      <w:r>
        <w:rPr/>
        <w:t xml:space="preserve"> . N</w:t>
      </w:r>
      <w:r>
        <w:rPr/>
        <w:t xml:space="preserve">atural History Museum </w:t>
      </w:r>
      <w:r>
        <w:rPr/>
        <w:t xml:space="preserve">of Los Angeles County in </w:t>
      </w:r>
      <w:r>
        <w:rPr/>
        <w:t>a</w:t>
      </w:r>
      <w:r>
        <w:rPr/>
        <w:t xml:space="preserve">ssociation with University of Washington Press, Los Angeles. </w:t>
      </w:r>
      <w:r>
        <w:rPr/>
        <w:t>150 pp.</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b w:val="false"/>
          <w:bCs w:val="false"/>
        </w:rPr>
        <w:t>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w:t>
      </w:r>
      <w:r>
        <w:rPr/>
        <w:t>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xml:space="preserve">. </w:t>
      </w:r>
      <w:r>
        <w:rPr/>
        <w:t xml:space="preserve">Cranium to rear, mandible to the front, both in left dorsolateral view. </w:t>
      </w:r>
      <w:r>
        <w:rPr/>
        <w:t>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w:t>
      </w:r>
      <w:r>
        <w:rPr/>
        <w:t xml:space="preserve">Photograph 315932 </w:t>
      </w:r>
      <w:r>
        <w:rPr/>
        <w:t>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16078</TotalTime>
  <Application>LibreOffice/6.1.3.2$MacOSX_X86_64 LibreOffice_project/86daf60bf00efa86ad547e59e09d6bb77c699acb</Application>
  <Pages>11</Pages>
  <Words>4483</Words>
  <Characters>23730</Characters>
  <CharactersWithSpaces>28056</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2022-03-17T10:41:17Z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