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Internet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099_1709072779">
            <w:r>
              <w:rPr>
                <w:rStyle w:val="IndexLink"/>
                <w:i w:val="false"/>
                <w:iCs w:val="false"/>
              </w:rPr>
              <w:t>The purpose of the mount</w:t>
            </w:r>
            <w:r>
              <w:rPr>
                <w:rStyle w:val="IndexLink"/>
              </w:rPr>
              <w:tab/>
              <w:t>7</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12</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rPr/>
          </w:pPr>
          <w:hyperlink w:anchor="__RefHeading___Toc3401_68767826">
            <w:r>
              <w:rPr>
                <w:rStyle w:val="IndexLink"/>
              </w:rPr>
              <w:t>Discussion</w:t>
              <w:tab/>
              <w:t>13</w:t>
            </w:r>
          </w:hyperlink>
        </w:p>
        <w:p>
          <w:pPr>
            <w:pStyle w:val="Contents2"/>
            <w:tabs>
              <w:tab w:val="clear" w:pos="9355"/>
              <w:tab w:val="right" w:pos="9638" w:leader="dot"/>
            </w:tabs>
            <w:rPr/>
          </w:pPr>
          <w:hyperlink w:anchor="__RefHeading___Toc2476_2187837281">
            <w:r>
              <w:rPr>
                <w:rStyle w:val="IndexLink"/>
              </w:rPr>
              <w:t>Rearing pose</w:t>
              <w:tab/>
              <w:t>13</w:t>
            </w:r>
          </w:hyperlink>
        </w:p>
        <w:p>
          <w:pPr>
            <w:pStyle w:val="Contents2"/>
            <w:tabs>
              <w:tab w:val="clear" w:pos="9355"/>
              <w:tab w:val="right" w:pos="9638" w:leader="dot"/>
            </w:tabs>
            <w:rPr/>
          </w:pPr>
          <w:hyperlink w:anchor="__RefHeading___Toc21934_68767826">
            <w:r>
              <w:rPr>
                <w:rStyle w:val="IndexLink"/>
              </w:rPr>
              <w:t>Size of the AMNH 6341 animal</w:t>
              <w:tab/>
              <w:t>15</w:t>
            </w:r>
          </w:hyperlink>
        </w:p>
        <w:p>
          <w:pPr>
            <w:pStyle w:val="Contents1"/>
            <w:rPr/>
          </w:pPr>
          <w:hyperlink w:anchor="__RefHeading___Toc3403_68767826">
            <w:r>
              <w:rPr>
                <w:rStyle w:val="IndexLink"/>
              </w:rPr>
              <w:t>Acknowledgements</w:t>
              <w:tab/>
              <w:t>15</w:t>
            </w:r>
          </w:hyperlink>
        </w:p>
        <w:p>
          <w:pPr>
            <w:pStyle w:val="Contents1"/>
            <w:rPr/>
          </w:pPr>
          <w:hyperlink w:anchor="__RefHeading___Toc3405_68767826">
            <w:r>
              <w:rPr>
                <w:rStyle w:val="IndexLink"/>
              </w:rPr>
              <w:t>References</w:t>
              <w:tab/>
              <w:t>16</w:t>
            </w:r>
          </w:hyperlink>
        </w:p>
        <w:p>
          <w:pPr>
            <w:pStyle w:val="Contents1"/>
            <w:rPr/>
          </w:pPr>
          <w:hyperlink w:anchor="__RefHeading___Toc3407_68767826">
            <w:r>
              <w:rPr>
                <w:rStyle w:val="IndexLink"/>
              </w:rPr>
              <w:t>Figure Captions</w:t>
              <w:tab/>
              <w:t>19</w:t>
            </w:r>
          </w:hyperlink>
        </w:p>
        <w:p>
          <w:pPr>
            <w:pStyle w:val="Heading1"/>
            <w:numPr>
              <w:ilvl w:val="0"/>
              <w:numId w:val="1"/>
            </w:numPr>
            <w:ind w:left="0" w:right="0" w:hanging="0"/>
            <w:rPr/>
          </w:pPr>
          <w:bookmarkStart w:id="1" w:name="__RefHeading___Toc1018_1496310381"/>
          <w:bookmarkEnd w:id="1"/>
          <w:r>
            <w:rPr/>
            <w:t>Introduction</w:t>
          </w:r>
          <w:r>
            <w:rPr/>
            <w:fldChar w:fldCharType="end"/>
          </w:r>
        </w:p>
      </w:sdtContent>
    </w:sdt>
    <w:p>
      <w:pPr>
        <w:pStyle w:val="TextBody"/>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2" w:name="__RefHeading___Toc3323_2187837281"/>
      <w:bookmarkEnd w:id="2"/>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3" w:name="__RefHeading___Toc5349_68767826"/>
      <w:bookmarkEnd w:id="3"/>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MfN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3"/>
        </w:numPr>
        <w:ind w:left="0" w:right="0" w:hanging="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TextBody"/>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D.A,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TextBody"/>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through work done in his spare time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TextBody"/>
        <w:rPr/>
      </w:pPr>
      <w:r>
        <w:rPr>
          <w:i w:val="false"/>
          <w:iCs w:val="false"/>
        </w:rPr>
        <w:t>While serving as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"Did this really happen?":</w:t>
      </w:r>
    </w:p>
    <w:p>
      <w:pPr>
        <w:pStyle w:val="Quotations"/>
        <w:rPr/>
      </w:pPr>
      <w:r>
        <w:rPr>
          <w:i w:val="false"/>
          <w:iCs w:val="false"/>
        </w:rPr>
        <w:t xml:space="preserve">No one knows for sure. Our only evidence for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a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w:t>
      </w:r>
      <w:bookmarkStart w:id="11" w:name="__DdeLink__20117_68767826"/>
      <w:r>
        <w:rPr/>
        <w:t>Psihoyos</w:t>
      </w:r>
      <w:bookmarkEnd w:id="11"/>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TextBody"/>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2" w:name="__RefHeading___Toc5632_2187837281"/>
      <w:bookmarkEnd w:id="12"/>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3" w:name="__RefHeading___Toc5356_68767826"/>
      <w:bookmarkEnd w:id="13"/>
      <w:r>
        <w:rPr/>
        <w:t>The composition of the mount</w:t>
      </w:r>
    </w:p>
    <w:p>
      <w:pPr>
        <w:pStyle w:val="Heading3"/>
        <w:numPr>
          <w:ilvl w:val="2"/>
          <w:numId w:val="7"/>
        </w:numPr>
        <w:ind w:left="0" w:right="0" w:hanging="0"/>
        <w:rPr/>
      </w:pPr>
      <w:bookmarkStart w:id="14" w:name="__RefHeading___Toc16585_68767826"/>
      <w:bookmarkEnd w:id="14"/>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0"/>
        </w:numPr>
        <w:ind w:left="720" w:right="0" w:hanging="360"/>
        <w:rPr/>
      </w:pPr>
      <w:r>
        <w:rPr/>
        <w:t>the posterior part of the neck (cervicals 8–16)</w:t>
      </w:r>
    </w:p>
    <w:p>
      <w:pPr>
        <w:pStyle w:val="TextBody"/>
        <w:numPr>
          <w:ilvl w:val="0"/>
          <w:numId w:val="10"/>
        </w:numPr>
        <w:ind w:left="720" w:right="0" w:hanging="360"/>
        <w:rPr/>
      </w:pPr>
      <w:r>
        <w:rPr/>
        <w:t>all nine dorsal vertebrae (dorsals 1–9)</w:t>
      </w:r>
    </w:p>
    <w:p>
      <w:pPr>
        <w:pStyle w:val="TextBody"/>
        <w:numPr>
          <w:ilvl w:val="0"/>
          <w:numId w:val="10"/>
        </w:numPr>
        <w:ind w:left="720" w:right="0" w:hanging="360"/>
        <w:rPr/>
      </w:pPr>
      <w:r>
        <w:rPr/>
        <w:t>the complete sacrum (sacral vertebrae 1–5)</w:t>
      </w:r>
    </w:p>
    <w:p>
      <w:pPr>
        <w:pStyle w:val="TextBody"/>
        <w:numPr>
          <w:ilvl w:val="0"/>
          <w:numId w:val="10"/>
        </w:numPr>
        <w:ind w:left="720" w:right="0" w:hanging="360"/>
        <w:rPr/>
      </w:pPr>
      <w:r>
        <w:rPr/>
        <w:t>the anterior part of the tail (caudals 1–29)</w:t>
      </w:r>
    </w:p>
    <w:p>
      <w:pPr>
        <w:pStyle w:val="TextBody"/>
        <w:numPr>
          <w:ilvl w:val="0"/>
          <w:numId w:val="10"/>
        </w:numPr>
        <w:ind w:left="720" w:right="0" w:hanging="360"/>
        <w:rPr/>
      </w:pPr>
      <w:bookmarkStart w:id="15" w:name="__DdeLink__31298_802501007"/>
      <w:r>
        <w:rPr/>
        <w:t>six partial ribs, of which one is the first or possibly second on the left side, and another is probably its counterpart</w:t>
      </w:r>
      <w:bookmarkEnd w:id="15"/>
    </w:p>
    <w:p>
      <w:pPr>
        <w:pStyle w:val="TextBody"/>
        <w:numPr>
          <w:ilvl w:val="0"/>
          <w:numId w:val="10"/>
        </w:numPr>
        <w:ind w:left="720" w:right="0" w:hanging="360"/>
        <w:rPr/>
      </w:pPr>
      <w:r>
        <w:rPr/>
        <w:t>a single chevron, from further back than Ca13 and likely in the region Ca22–Ca28.</w:t>
      </w:r>
    </w:p>
    <w:p>
      <w:pPr>
        <w:pStyle w:val="TextBody"/>
        <w:numPr>
          <w:ilvl w:val="0"/>
          <w:numId w:val="10"/>
        </w:numPr>
        <w:ind w:left="720" w:right="0" w:hanging="360"/>
        <w:rPr/>
      </w:pPr>
      <w:r>
        <w:rPr/>
        <w:t>right (not left as in McIntosh 2005:43) scapulocoracoid, fully fused together; distal end of left scapula; left coracoid</w:t>
      </w:r>
    </w:p>
    <w:p>
      <w:pPr>
        <w:pStyle w:val="TextBody"/>
        <w:numPr>
          <w:ilvl w:val="0"/>
          <w:numId w:val="10"/>
        </w:numPr>
        <w:ind w:left="720" w:right="0" w:hanging="360"/>
        <w:rPr/>
      </w:pPr>
      <w:r>
        <w:rPr/>
        <w:t>right (not left as in McIntosh 2005:43) humerus</w:t>
      </w:r>
    </w:p>
    <w:p>
      <w:pPr>
        <w:pStyle w:val="TextBody"/>
        <w:numPr>
          <w:ilvl w:val="0"/>
          <w:numId w:val="10"/>
        </w:numPr>
        <w:ind w:left="720" w:right="0" w:hanging="36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0"/>
        </w:numPr>
        <w:ind w:left="720" w:right="0" w:hanging="360"/>
        <w:rPr/>
      </w:pPr>
      <w:r>
        <w:rPr/>
        <w:t>complete right hindlimb (femur, tibia, fibula, astragalus)</w:t>
      </w:r>
    </w:p>
    <w:p>
      <w:pPr>
        <w:pStyle w:val="TextBody"/>
        <w:numPr>
          <w:ilvl w:val="0"/>
          <w:numId w:val="10"/>
        </w:numPr>
        <w:ind w:left="720" w:right="0" w:hanging="360"/>
        <w:rPr/>
      </w:pPr>
      <w:r>
        <w:rPr/>
        <w:t>elements of the right pes: metatarsals I, II and V, phalanges I-I and V-I, two 2nd phalanges, one ungual</w:t>
      </w:r>
    </w:p>
    <w:p>
      <w:pPr>
        <w:pStyle w:val="TextBody"/>
        <w:numPr>
          <w:ilvl w:val="0"/>
          <w:numId w:val="10"/>
        </w:numPr>
        <w:ind w:left="720" w:right="0" w:hanging="360"/>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filled in with </w:t>
      </w:r>
      <w:r>
        <w:rPr>
          <w:i/>
          <w:iCs/>
        </w:rPr>
        <w:t>Diplodocus</w:t>
      </w:r>
      <w:r>
        <w:rPr/>
        <w:t xml:space="preserve"> casts that have a curious provenance. As recounted in detail by Taylor et al. (in prep, b),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used this concrete cast to create second-generation molds with the immediate goal of providing the Field House with a new, lightweight cast to be exhibited indoors at its new building. These new molds have also been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TextBody"/>
        <w:rPr/>
      </w:pPr>
      <w:r>
        <w:rPr>
          <w:lang w:val="en-US"/>
        </w:rPr>
        <w:t>With this in mind, we will now consider the source of specific elements of the cast.</w:t>
      </w:r>
    </w:p>
    <w:p>
      <w:pPr>
        <w:pStyle w:val="Heading3"/>
        <w:numPr>
          <w:ilvl w:val="2"/>
          <w:numId w:val="8"/>
        </w:numPr>
        <w:ind w:left="0" w:right="0" w:hanging="0"/>
        <w:rPr/>
      </w:pPr>
      <w:bookmarkStart w:id="16" w:name="__RefHeading___Toc16587_68767826"/>
      <w:bookmarkEnd w:id="16"/>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prep., a),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7" w:name="__RefHeading___Toc16589_68767826"/>
      <w:bookmarkEnd w:id="17"/>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neither </w:t>
      </w:r>
      <w:r>
        <w:rPr/>
        <w:t xml:space="preserve">paper </w:t>
      </w:r>
      <w:r>
        <w:rPr/>
        <w:t>identifie</w:t>
      </w:r>
      <w:r>
        <w:rPr/>
        <w:t>s it</w:t>
      </w:r>
      <w:r>
        <w:rPr/>
        <w:t xml:space="preserve">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 xml:space="preserve">XXX Update from Carnegie </w:t>
      </w:r>
      <w:r>
        <w:rPr>
          <w:i/>
          <w:iCs/>
          <w:highlight w:val="yellow"/>
        </w:rPr>
        <w:t>Diplodocus</w:t>
      </w:r>
      <w:r>
        <w:rPr>
          <w:highlight w:val="yellow"/>
        </w:rPr>
        <w:t xml:space="preserve"> manuscript if I ever get to the bottom of this</w:t>
      </w:r>
    </w:p>
    <w:p>
      <w:pPr>
        <w:pStyle w:val="Heading3"/>
        <w:numPr>
          <w:ilvl w:val="2"/>
          <w:numId w:val="2"/>
        </w:numPr>
        <w:ind w:left="0" w:right="0" w:hanging="0"/>
        <w:rPr/>
      </w:pPr>
      <w:bookmarkStart w:id="18" w:name="__RefHeading___Toc2466_2187837281"/>
      <w:bookmarkEnd w:id="18"/>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9" w:name="__RefHeading___Toc2468_2187837281"/>
      <w:bookmarkEnd w:id="19"/>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20" w:name="__RefHeading___Toc2470_2187837281"/>
      <w:bookmarkEnd w:id="20"/>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left="0" w:right="0" w:hanging="0"/>
        <w:rPr/>
      </w:pPr>
      <w:bookmarkStart w:id="21" w:name="__RefHeading___Toc2472_2187837281"/>
      <w:bookmarkEnd w:id="21"/>
      <w:r>
        <w:rPr/>
        <w:t>Hindlimbs and girdles</w:t>
      </w:r>
    </w:p>
    <w:p>
      <w:pPr>
        <w:pStyle w:val="TextBody"/>
        <w:rPr/>
      </w:pPr>
      <w:r>
        <w:rPr/>
        <w:t>XXX</w:t>
      </w:r>
    </w:p>
    <w:p>
      <w:pPr>
        <w:pStyle w:val="Heading1"/>
        <w:numPr>
          <w:ilvl w:val="0"/>
          <w:numId w:val="4"/>
        </w:numPr>
        <w:ind w:left="0" w:right="0" w:hanging="0"/>
        <w:rPr/>
      </w:pPr>
      <w:bookmarkStart w:id="22" w:name="__RefHeading___Toc3401_68767826"/>
      <w:bookmarkEnd w:id="22"/>
      <w:r>
        <w:rPr/>
        <w:t>Discussion</w:t>
      </w:r>
    </w:p>
    <w:p>
      <w:pPr>
        <w:pStyle w:val="Heading2"/>
        <w:rPr/>
      </w:pPr>
      <w:bookmarkStart w:id="23" w:name="__RefHeading___Toc2476_2187837281"/>
      <w:bookmarkEnd w:id="23"/>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 xml:space="preserve">More substantial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noted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w:t>
      </w:r>
    </w:p>
    <w:p>
      <w:pPr>
        <w:pStyle w:val="TextBody"/>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TextBody"/>
        <w:rPr/>
      </w:pPr>
      <w:r>
        <w:rPr/>
        <w:t xml:space="preserve">Separately from the </w:t>
      </w:r>
      <w:r>
        <w:rPr>
          <w:i/>
          <w:iCs/>
        </w:rPr>
        <w:t>Lancet</w:t>
      </w:r>
      <w:r>
        <w:rPr/>
        <w:t xml:space="preserve"> discussion, Landry (1992) argued briefly that </w:t>
      </w:r>
      <w:r>
        <w:rPr>
          <w:i/>
          <w:iCs/>
        </w:rPr>
        <w:t>Barosaurus</w:t>
      </w:r>
      <w:r>
        <w:rPr/>
        <w:t xml:space="preserve"> would not have the necessary muscle mass to rear up, that compressive stresses in a vertical spine would exceed the bending stresses in a horizontal spine, and that dropping down from a rearing posture would create too much kinetic energy to disperse.</w:t>
      </w:r>
    </w:p>
    <w:p>
      <w:pPr>
        <w:pStyle w:val="TextBody"/>
        <w:rPr/>
      </w:pPr>
      <w:r>
        <w:rPr/>
        <w:t>XXX the mount catalysed discussion as intended</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xml:space="preserve">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 xml:space="preserve">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 </w:t>
      </w:r>
      <w:r>
        <w:rPr>
          <w:highlight w:val="yellow"/>
        </w:rPr>
        <w:t>I think this would be a good place to again emphasize that the purpose of the mount was not to conclude or even argue that the barosaur could rear up. It was to introduce the theme of what we can and can’t know. As I state in Next of Kin, we anticipated that many of our colleagues would object to the rearing posture, and all that publicity was fine with us because, in the end, it would help us emphasize that theme. That’s how I would prefer that you complete this final paragraph of the Discussion.</w:t>
      </w:r>
    </w:p>
    <w:p>
      <w:pPr>
        <w:pStyle w:val="Heading2"/>
        <w:rPr/>
      </w:pPr>
      <w:bookmarkStart w:id="24" w:name="__RefHeading___Toc21934_68767826"/>
      <w:bookmarkEnd w:id="24"/>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25" w:name="__RefHeading___Toc3403_68767826"/>
      <w:bookmarkEnd w:id="25"/>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and to John Gurche for permission to reproduce his life restoration of the rearing </w:t>
      </w:r>
      <w:r>
        <w:rPr>
          <w:i/>
          <w:iCs/>
        </w:rPr>
        <w:t>Barosaurus</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4"/>
        </w:numPr>
        <w:ind w:left="0" w:right="0" w:hanging="0"/>
        <w:rPr/>
      </w:pPr>
      <w:bookmarkStart w:id="26" w:name="__RefHeading___Toc3405_68767826"/>
      <w:bookmarkEnd w:id="26"/>
      <w:r>
        <w:rPr/>
        <w:t>References</w:t>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Steven Sroka and Kenneth Carpenter. In prep, b. The concrete </w:t>
      </w:r>
      <w:r>
        <w:rPr>
          <w:i/>
          <w:iCs/>
        </w:rPr>
        <w:t>Diplodocus</w:t>
      </w:r>
      <w:r>
        <w:rPr/>
        <w:t xml:space="preserve"> of Vernal.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Quotations"/>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left="283" w:right="0" w:hanging="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9">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18686</TotalTime>
  <Application>LibreOffice/7.3.6.2$Linux_X86_64 LibreOffice_project/30$Build-2</Application>
  <AppVersion>15.0000</AppVersion>
  <Pages>19</Pages>
  <Words>10159</Words>
  <Characters>53246</Characters>
  <CharactersWithSpaces>63126</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2022-10-07T11:30:08Z</dcterms:modified>
  <cp:revision>340</cp:revision>
  <dc:subject/>
  <dc:title/>
</cp:coreProperties>
</file>

<file path=docProps/custom.xml><?xml version="1.0" encoding="utf-8"?>
<Properties xmlns="http://schemas.openxmlformats.org/officeDocument/2006/custom-properties" xmlns:vt="http://schemas.openxmlformats.org/officeDocument/2006/docPropsVTypes"/>
</file>